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29"/>
        <w:tblW w:w="10244" w:type="dxa"/>
        <w:tblLook w:val="04A0" w:firstRow="1" w:lastRow="0" w:firstColumn="1" w:lastColumn="0" w:noHBand="0" w:noVBand="1"/>
      </w:tblPr>
      <w:tblGrid>
        <w:gridCol w:w="702"/>
        <w:gridCol w:w="1670"/>
        <w:gridCol w:w="1676"/>
        <w:gridCol w:w="1134"/>
        <w:gridCol w:w="1476"/>
        <w:gridCol w:w="2066"/>
        <w:gridCol w:w="1520"/>
      </w:tblGrid>
      <w:tr w:rsidR="00A06011" w14:paraId="09C1F228" w14:textId="77777777" w:rsidTr="000E0059">
        <w:trPr>
          <w:trHeight w:val="726"/>
        </w:trPr>
        <w:tc>
          <w:tcPr>
            <w:tcW w:w="702" w:type="dxa"/>
          </w:tcPr>
          <w:p w14:paraId="14A6E227" w14:textId="77777777" w:rsidR="00843264" w:rsidRDefault="00843264" w:rsidP="00843264">
            <w:r>
              <w:t>S.NO</w:t>
            </w:r>
          </w:p>
        </w:tc>
        <w:tc>
          <w:tcPr>
            <w:tcW w:w="1670" w:type="dxa"/>
          </w:tcPr>
          <w:p w14:paraId="613EBB5F" w14:textId="77777777" w:rsidR="00843264" w:rsidRDefault="00843264" w:rsidP="00843264">
            <w:r>
              <w:t>Authors</w:t>
            </w:r>
          </w:p>
        </w:tc>
        <w:tc>
          <w:tcPr>
            <w:tcW w:w="1676" w:type="dxa"/>
          </w:tcPr>
          <w:p w14:paraId="3EA7171C" w14:textId="77777777" w:rsidR="00843264" w:rsidRDefault="00843264" w:rsidP="00843264">
            <w:r>
              <w:t>Title</w:t>
            </w:r>
          </w:p>
        </w:tc>
        <w:tc>
          <w:tcPr>
            <w:tcW w:w="1134" w:type="dxa"/>
          </w:tcPr>
          <w:p w14:paraId="2B2E60B8" w14:textId="77777777" w:rsidR="00843264" w:rsidRDefault="00843264" w:rsidP="00843264">
            <w:r>
              <w:t>Publishing</w:t>
            </w:r>
          </w:p>
        </w:tc>
        <w:tc>
          <w:tcPr>
            <w:tcW w:w="1476" w:type="dxa"/>
          </w:tcPr>
          <w:p w14:paraId="2D413AA0" w14:textId="77777777" w:rsidR="00843264" w:rsidRDefault="00843264" w:rsidP="00843264">
            <w:r w:rsidRPr="00CF4893">
              <w:t>Techniques</w:t>
            </w:r>
            <w:r>
              <w:t xml:space="preserve"> </w:t>
            </w:r>
            <w:r w:rsidRPr="00CF4893">
              <w:t xml:space="preserve">&amp; dataset  </w:t>
            </w:r>
          </w:p>
        </w:tc>
        <w:tc>
          <w:tcPr>
            <w:tcW w:w="2066" w:type="dxa"/>
          </w:tcPr>
          <w:p w14:paraId="3A72E66A" w14:textId="77777777" w:rsidR="00843264" w:rsidRDefault="00843264" w:rsidP="00843264">
            <w:r w:rsidRPr="00CF4893">
              <w:t xml:space="preserve">Pros  </w:t>
            </w:r>
            <w:r>
              <w:t xml:space="preserve">    </w:t>
            </w:r>
          </w:p>
        </w:tc>
        <w:tc>
          <w:tcPr>
            <w:tcW w:w="1520" w:type="dxa"/>
          </w:tcPr>
          <w:p w14:paraId="64FE45A0" w14:textId="77777777" w:rsidR="00843264" w:rsidRDefault="00843264" w:rsidP="00843264">
            <w:r w:rsidRPr="00CF4893">
              <w:t>Cons</w:t>
            </w:r>
          </w:p>
        </w:tc>
      </w:tr>
      <w:tr w:rsidR="00E72F63" w14:paraId="2395D4FB" w14:textId="77777777" w:rsidTr="000E0059">
        <w:trPr>
          <w:trHeight w:val="367"/>
        </w:trPr>
        <w:tc>
          <w:tcPr>
            <w:tcW w:w="702" w:type="dxa"/>
          </w:tcPr>
          <w:p w14:paraId="707392A3" w14:textId="4265BE5B" w:rsidR="00E72F63" w:rsidRDefault="00E72F63" w:rsidP="00E72F63">
            <w:r>
              <w:t>1</w:t>
            </w:r>
          </w:p>
        </w:tc>
        <w:tc>
          <w:tcPr>
            <w:tcW w:w="1670" w:type="dxa"/>
          </w:tcPr>
          <w:p w14:paraId="1CCD7A91" w14:textId="152BC0F4" w:rsidR="00E72F63" w:rsidRDefault="00E72F63" w:rsidP="00E72F63">
            <w:r>
              <w:t>Colin A. Depp1,  Varsha D. Badal1</w:t>
            </w:r>
          </w:p>
        </w:tc>
        <w:tc>
          <w:tcPr>
            <w:tcW w:w="1676" w:type="dxa"/>
          </w:tcPr>
          <w:p w14:paraId="546FC3DD" w14:textId="1962E645" w:rsidR="00E72F63" w:rsidRPr="00A06011" w:rsidRDefault="00E72F63" w:rsidP="00E72F63">
            <w:pPr>
              <w:pStyle w:val="Heading1"/>
              <w:shd w:val="clear" w:color="auto" w:fill="FFFFFF"/>
              <w:spacing w:before="450" w:beforeAutospacing="0" w:after="450" w:afterAutospacing="0" w:line="276" w:lineRule="atLeast"/>
              <w:outlineLvl w:val="0"/>
              <w:rPr>
                <w:rFonts w:ascii="Georgia" w:hAnsi="Georgia"/>
                <w:color w:val="020202"/>
                <w:sz w:val="16"/>
                <w:szCs w:val="16"/>
              </w:rPr>
            </w:pPr>
            <w:r w:rsidRPr="00A06011">
              <w:rPr>
                <w:rFonts w:ascii="Georgia" w:hAnsi="Georgia"/>
                <w:color w:val="020202"/>
                <w:sz w:val="16"/>
                <w:szCs w:val="16"/>
              </w:rPr>
              <w:t>Dynamics of Loneliness among Older Adults During the COVID-19 Pandemic: Pilot Study of Ecological Momentary</w:t>
            </w:r>
            <w:r>
              <w:rPr>
                <w:rFonts w:ascii="Georgia" w:hAnsi="Georgia"/>
                <w:color w:val="020202"/>
                <w:sz w:val="16"/>
                <w:szCs w:val="16"/>
              </w:rPr>
              <w:t xml:space="preserve"> </w:t>
            </w:r>
            <w:r w:rsidRPr="00A06011">
              <w:rPr>
                <w:rFonts w:ascii="Georgia" w:hAnsi="Georgia"/>
                <w:color w:val="020202"/>
                <w:sz w:val="16"/>
                <w:szCs w:val="16"/>
              </w:rPr>
              <w:t xml:space="preserve"> Assessment with Network Analysis</w:t>
            </w:r>
          </w:p>
          <w:p w14:paraId="11E3D030" w14:textId="5EB9CFB9" w:rsidR="00E72F63" w:rsidRPr="000E0059" w:rsidRDefault="00E72F63" w:rsidP="00E72F63">
            <w:pPr>
              <w:shd w:val="clear" w:color="auto" w:fill="FFFFFF"/>
              <w:spacing w:before="450" w:after="450" w:line="276" w:lineRule="atLeast"/>
              <w:outlineLvl w:val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BB68E29" w14:textId="55E73107" w:rsidR="00E72F63" w:rsidRDefault="00E72F63" w:rsidP="00E72F63">
            <w:r>
              <w:t>05 Jan 2022</w:t>
            </w:r>
          </w:p>
        </w:tc>
        <w:tc>
          <w:tcPr>
            <w:tcW w:w="1476" w:type="dxa"/>
          </w:tcPr>
          <w:p w14:paraId="5578BB19" w14:textId="77777777" w:rsidR="00E72F63" w:rsidRDefault="00E72F63" w:rsidP="00E72F63"/>
        </w:tc>
        <w:tc>
          <w:tcPr>
            <w:tcW w:w="2066" w:type="dxa"/>
          </w:tcPr>
          <w:p w14:paraId="7F6FC4FE" w14:textId="77777777" w:rsidR="00E72F63" w:rsidRDefault="00E72F63" w:rsidP="00E72F63">
            <w:r>
              <w:t>1)</w:t>
            </w:r>
            <w:r w:rsidRPr="00A06011">
              <w:t>EMA ratings of loneliness were moderately correlated with UCLA loneliness scale scores. Network models showed that loneliness was contemporaneously associated with negative affects like worried etc . Negative mood tended to be followed by loneliness and then by exercise or outdoor physical activity.</w:t>
            </w:r>
          </w:p>
          <w:p w14:paraId="13AE7FD5" w14:textId="7DE5382F" w:rsidR="00E72F63" w:rsidRDefault="00E72F63" w:rsidP="00E72F63">
            <w:r>
              <w:t>2)</w:t>
            </w:r>
            <w:r w:rsidRPr="00A06011">
              <w:t>Network models in these independent living older adults indicated strong links between negative affect and loneliness, but feelings of loneliness were followed by outdoor activity</w:t>
            </w:r>
          </w:p>
        </w:tc>
        <w:tc>
          <w:tcPr>
            <w:tcW w:w="1520" w:type="dxa"/>
          </w:tcPr>
          <w:p w14:paraId="286AC860" w14:textId="04D1FF87" w:rsidR="00E72F63" w:rsidRDefault="00E72F63" w:rsidP="00E72F63"/>
        </w:tc>
      </w:tr>
      <w:tr w:rsidR="00E72F63" w14:paraId="78B481F8" w14:textId="77777777" w:rsidTr="000E0059">
        <w:trPr>
          <w:trHeight w:val="367"/>
        </w:trPr>
        <w:tc>
          <w:tcPr>
            <w:tcW w:w="702" w:type="dxa"/>
          </w:tcPr>
          <w:p w14:paraId="46186D50" w14:textId="39FE9235" w:rsidR="00E72F63" w:rsidRDefault="00E72F63" w:rsidP="00E72F63">
            <w:r>
              <w:t>2)</w:t>
            </w:r>
          </w:p>
        </w:tc>
        <w:tc>
          <w:tcPr>
            <w:tcW w:w="1670" w:type="dxa"/>
          </w:tcPr>
          <w:p w14:paraId="32265E85" w14:textId="6B15D73D" w:rsidR="00E72F63" w:rsidRDefault="000F2E42" w:rsidP="00E72F63">
            <w:proofErr w:type="spellStart"/>
            <w:r w:rsidRPr="000F2E42">
              <w:t>Ke</w:t>
            </w:r>
            <w:proofErr w:type="spellEnd"/>
            <w:r w:rsidRPr="000F2E42">
              <w:t xml:space="preserve"> </w:t>
            </w:r>
            <w:proofErr w:type="spellStart"/>
            <w:r w:rsidRPr="000F2E42">
              <w:t>Zhao,,Jia</w:t>
            </w:r>
            <w:proofErr w:type="spellEnd"/>
            <w:r w:rsidRPr="000F2E42">
              <w:t xml:space="preserve"> </w:t>
            </w:r>
            <w:proofErr w:type="spellStart"/>
            <w:r w:rsidRPr="000F2E42">
              <w:t>Zhao,,Ming</w:t>
            </w:r>
            <w:proofErr w:type="spellEnd"/>
            <w:r w:rsidRPr="000F2E42">
              <w:t xml:space="preserve"> </w:t>
            </w:r>
            <w:proofErr w:type="spellStart"/>
            <w:r w:rsidRPr="000F2E42">
              <w:t>Zhang,,Qian</w:t>
            </w:r>
            <w:proofErr w:type="spellEnd"/>
            <w:r w:rsidRPr="000F2E42">
              <w:t xml:space="preserve"> Cui and </w:t>
            </w:r>
            <w:proofErr w:type="spellStart"/>
            <w:r w:rsidRPr="000F2E42">
              <w:t>Xiaolan</w:t>
            </w:r>
            <w:proofErr w:type="spellEnd"/>
            <w:r w:rsidRPr="000F2E42">
              <w:t xml:space="preserve"> Fu</w:t>
            </w:r>
          </w:p>
        </w:tc>
        <w:tc>
          <w:tcPr>
            <w:tcW w:w="1676" w:type="dxa"/>
          </w:tcPr>
          <w:p w14:paraId="0504E099" w14:textId="2905830E" w:rsidR="00E72F63" w:rsidRPr="000F2E42" w:rsidRDefault="000F2E42" w:rsidP="000F2E42">
            <w:pPr>
              <w:pStyle w:val="Heading1"/>
              <w:shd w:val="clear" w:color="auto" w:fill="FFFFFF"/>
              <w:spacing w:before="450" w:beforeAutospacing="0" w:after="450" w:afterAutospacing="0" w:line="276" w:lineRule="atLeast"/>
              <w:rPr>
                <w:sz w:val="22"/>
                <w:szCs w:val="22"/>
              </w:rPr>
            </w:pPr>
            <w:r w:rsidRPr="000F2E42">
              <w:rPr>
                <w:sz w:val="22"/>
                <w:szCs w:val="22"/>
              </w:rPr>
              <w:t xml:space="preserve">neural Responses to Rapid </w:t>
            </w:r>
            <w:proofErr w:type="spellStart"/>
            <w:r w:rsidRPr="000F2E42">
              <w:rPr>
                <w:sz w:val="22"/>
                <w:szCs w:val="22"/>
              </w:rPr>
              <w:t>Fcila</w:t>
            </w:r>
            <w:proofErr w:type="spellEnd"/>
            <w:r w:rsidRPr="000F2E42">
              <w:rPr>
                <w:sz w:val="22"/>
                <w:szCs w:val="22"/>
              </w:rPr>
              <w:t xml:space="preserve"> Expressions of Fear and </w:t>
            </w:r>
            <w:proofErr w:type="spellStart"/>
            <w:r w:rsidRPr="000F2E42">
              <w:rPr>
                <w:sz w:val="22"/>
                <w:szCs w:val="22"/>
              </w:rPr>
              <w:t>Suprises</w:t>
            </w:r>
            <w:proofErr w:type="spellEnd"/>
          </w:p>
        </w:tc>
        <w:tc>
          <w:tcPr>
            <w:tcW w:w="1134" w:type="dxa"/>
          </w:tcPr>
          <w:p w14:paraId="2728FD9D" w14:textId="203FFA89" w:rsidR="00E72F63" w:rsidRDefault="000F2E42" w:rsidP="00E72F63">
            <w:r w:rsidRPr="000F2E42">
              <w:t>10 MAY 20</w:t>
            </w:r>
            <w:r>
              <w:t>20</w:t>
            </w:r>
          </w:p>
        </w:tc>
        <w:tc>
          <w:tcPr>
            <w:tcW w:w="1476" w:type="dxa"/>
          </w:tcPr>
          <w:p w14:paraId="6A963411" w14:textId="39C47274" w:rsidR="00E72F63" w:rsidRDefault="00ED20C6" w:rsidP="00E72F63">
            <w:r w:rsidRPr="00ED20C6">
              <w:t xml:space="preserve">Three popular ML algorithms, SVM, RF, and </w:t>
            </w:r>
            <w:proofErr w:type="spellStart"/>
            <w:r w:rsidRPr="00ED20C6">
              <w:t>kNN</w:t>
            </w:r>
            <w:proofErr w:type="spellEnd"/>
            <w:r w:rsidRPr="00ED20C6">
              <w:t xml:space="preserve"> were used for emotion intensity recognition.</w:t>
            </w:r>
          </w:p>
        </w:tc>
        <w:tc>
          <w:tcPr>
            <w:tcW w:w="2066" w:type="dxa"/>
          </w:tcPr>
          <w:p w14:paraId="3E23333D" w14:textId="77777777" w:rsidR="00E72F63" w:rsidRDefault="00374607" w:rsidP="00E72F63">
            <w:r>
              <w:t>1)A</w:t>
            </w:r>
            <w:r w:rsidRPr="00374607">
              <w:t xml:space="preserve">mygdala and </w:t>
            </w:r>
            <w:proofErr w:type="spellStart"/>
            <w:r w:rsidRPr="00374607">
              <w:t>parahippocampal</w:t>
            </w:r>
            <w:proofErr w:type="spellEnd"/>
            <w:r w:rsidRPr="00374607">
              <w:t xml:space="preserve"> gyrus form an important part of the emotion network and play a very vital role in the </w:t>
            </w:r>
            <w:proofErr w:type="spellStart"/>
            <w:r w:rsidRPr="00374607">
              <w:t>recognision</w:t>
            </w:r>
            <w:proofErr w:type="spellEnd"/>
            <w:r w:rsidRPr="00374607">
              <w:t xml:space="preserve"> of fear and surprise faces</w:t>
            </w:r>
          </w:p>
          <w:p w14:paraId="162E791C" w14:textId="77777777" w:rsidR="00374607" w:rsidRDefault="005C516A" w:rsidP="00E72F63">
            <w:r>
              <w:t>2)</w:t>
            </w:r>
            <w:r w:rsidRPr="005C516A">
              <w:t xml:space="preserve">.Left insular activation has been identified in subjects experiencing joy . Thus, the greater activation of this </w:t>
            </w:r>
            <w:r w:rsidRPr="005C516A">
              <w:lastRenderedPageBreak/>
              <w:t xml:space="preserve">brain region in the surprise condition might be attributed to the surprised face being experienced as more positive than the fearful face. Fear was described as negatively </w:t>
            </w:r>
            <w:proofErr w:type="spellStart"/>
            <w:r w:rsidRPr="005C516A">
              <w:t>valenced</w:t>
            </w:r>
            <w:proofErr w:type="spellEnd"/>
            <w:r w:rsidRPr="005C516A">
              <w:t xml:space="preserve"> surprise in a recent study</w:t>
            </w:r>
          </w:p>
          <w:p w14:paraId="1F586DAF" w14:textId="11FB5D82" w:rsidR="005C516A" w:rsidRDefault="005C516A" w:rsidP="00E72F63">
            <w:r>
              <w:t>3)</w:t>
            </w:r>
            <w:r w:rsidRPr="005C516A">
              <w:t>These results suggest that fear leads to greater activation of the attention and memory systems, whereas surprise results in greater activation of the emotion experience system.</w:t>
            </w:r>
          </w:p>
        </w:tc>
        <w:tc>
          <w:tcPr>
            <w:tcW w:w="1520" w:type="dxa"/>
          </w:tcPr>
          <w:p w14:paraId="1E748F91" w14:textId="096EC8A9" w:rsidR="00E72F63" w:rsidRDefault="00ED20C6" w:rsidP="00E72F63">
            <w:r w:rsidRPr="00ED20C6">
              <w:lastRenderedPageBreak/>
              <w:t>There was no difference in recognition accuracy scores between fearful faces (0.78 ± 0.08) and surprised faces (0.77 ± 0.11; t = 0.52, p = 0.61).</w:t>
            </w:r>
          </w:p>
        </w:tc>
      </w:tr>
      <w:tr w:rsidR="00E72F63" w14:paraId="37F4F167" w14:textId="77777777" w:rsidTr="000E0059">
        <w:trPr>
          <w:trHeight w:val="367"/>
        </w:trPr>
        <w:tc>
          <w:tcPr>
            <w:tcW w:w="702" w:type="dxa"/>
          </w:tcPr>
          <w:p w14:paraId="3FEAEE32" w14:textId="2BD41CBA" w:rsidR="00E72F63" w:rsidRDefault="00E72F63" w:rsidP="00E72F63">
            <w:r>
              <w:t>3)</w:t>
            </w:r>
          </w:p>
        </w:tc>
        <w:tc>
          <w:tcPr>
            <w:tcW w:w="1670" w:type="dxa"/>
          </w:tcPr>
          <w:p w14:paraId="32C0CB9B" w14:textId="7FF7D91A" w:rsidR="00E72F63" w:rsidRDefault="00E72F63" w:rsidP="00E72F63">
            <w:proofErr w:type="spellStart"/>
            <w:r w:rsidRPr="00E72F63">
              <w:t>Weide</w:t>
            </w:r>
            <w:proofErr w:type="spellEnd"/>
            <w:r w:rsidRPr="00E72F63">
              <w:t xml:space="preserve"> Shao</w:t>
            </w:r>
          </w:p>
        </w:tc>
        <w:tc>
          <w:tcPr>
            <w:tcW w:w="1676" w:type="dxa"/>
          </w:tcPr>
          <w:p w14:paraId="294FD22D" w14:textId="175E12C4" w:rsidR="00E72F63" w:rsidRPr="00A06011" w:rsidRDefault="00E72F63" w:rsidP="00E72F63">
            <w:pPr>
              <w:pStyle w:val="Heading1"/>
              <w:shd w:val="clear" w:color="auto" w:fill="FFFFFF"/>
              <w:spacing w:before="450" w:beforeAutospacing="0" w:after="450" w:afterAutospacing="0" w:line="276" w:lineRule="atLeast"/>
              <w:outlineLvl w:val="0"/>
              <w:rPr>
                <w:sz w:val="16"/>
                <w:szCs w:val="16"/>
              </w:rPr>
            </w:pPr>
            <w:r w:rsidRPr="00E72F63">
              <w:rPr>
                <w:sz w:val="16"/>
                <w:szCs w:val="16"/>
              </w:rPr>
              <w:t>Feasibility of Growth Factor Agent Therapy in Repairing Motor Injury</w:t>
            </w:r>
          </w:p>
        </w:tc>
        <w:tc>
          <w:tcPr>
            <w:tcW w:w="1134" w:type="dxa"/>
          </w:tcPr>
          <w:p w14:paraId="763ECC28" w14:textId="4CB874E5" w:rsidR="00E72F63" w:rsidRDefault="00E72F63" w:rsidP="00E72F63">
            <w:r w:rsidRPr="00E72F63">
              <w:t>05 Jan 2022.</w:t>
            </w:r>
          </w:p>
        </w:tc>
        <w:tc>
          <w:tcPr>
            <w:tcW w:w="1476" w:type="dxa"/>
          </w:tcPr>
          <w:p w14:paraId="622B0321" w14:textId="77777777" w:rsidR="00E72F63" w:rsidRDefault="00E72F63" w:rsidP="00E72F63"/>
        </w:tc>
        <w:tc>
          <w:tcPr>
            <w:tcW w:w="2066" w:type="dxa"/>
          </w:tcPr>
          <w:p w14:paraId="7B1B783B" w14:textId="77777777" w:rsidR="00E72F63" w:rsidRDefault="00E72F63" w:rsidP="00E72F63">
            <w:r>
              <w:t xml:space="preserve">1)While doing </w:t>
            </w:r>
            <w:proofErr w:type="spellStart"/>
            <w:r>
              <w:t>excercise</w:t>
            </w:r>
            <w:proofErr w:type="spellEnd"/>
            <w:r>
              <w:t xml:space="preserve"> , human tissues are impacted making the cells suffer damage so growth factor helps to accelerate the repair of </w:t>
            </w:r>
            <w:proofErr w:type="spellStart"/>
            <w:r>
              <w:t>demaged</w:t>
            </w:r>
            <w:proofErr w:type="spellEnd"/>
            <w:r>
              <w:t xml:space="preserve"> cells and regulates the synthesis of protein</w:t>
            </w:r>
          </w:p>
          <w:p w14:paraId="2723F8B5" w14:textId="67E0599B" w:rsidR="00E72F63" w:rsidRDefault="00E72F63" w:rsidP="00E72F63">
            <w:r>
              <w:t>2) the combination of growth factor biologics and conventional therapies improves the efficiency of injury repair</w:t>
            </w:r>
          </w:p>
        </w:tc>
        <w:tc>
          <w:tcPr>
            <w:tcW w:w="1520" w:type="dxa"/>
          </w:tcPr>
          <w:p w14:paraId="2A090AED" w14:textId="00C21011" w:rsidR="00E72F63" w:rsidRDefault="00E72F63" w:rsidP="00E72F63">
            <w:r w:rsidRPr="00E72F63">
              <w:t>1)Only growth factor biologics alone doesn't produce any result</w:t>
            </w:r>
          </w:p>
        </w:tc>
      </w:tr>
      <w:tr w:rsidR="00E72F63" w14:paraId="6B1C1595" w14:textId="77777777" w:rsidTr="000E0059">
        <w:trPr>
          <w:trHeight w:val="367"/>
        </w:trPr>
        <w:tc>
          <w:tcPr>
            <w:tcW w:w="702" w:type="dxa"/>
          </w:tcPr>
          <w:p w14:paraId="4ADDC4F3" w14:textId="72F0ED89" w:rsidR="00E72F63" w:rsidRDefault="00E72F63" w:rsidP="00E72F63">
            <w:r>
              <w:t>4)</w:t>
            </w:r>
          </w:p>
        </w:tc>
        <w:tc>
          <w:tcPr>
            <w:tcW w:w="1670" w:type="dxa"/>
          </w:tcPr>
          <w:p w14:paraId="38D97186" w14:textId="034EB237" w:rsidR="00E72F63" w:rsidRDefault="00E72F63" w:rsidP="00E72F63">
            <w:r>
              <w:t>Deliana Rojas1,  Cilia Abad</w:t>
            </w:r>
          </w:p>
        </w:tc>
        <w:tc>
          <w:tcPr>
            <w:tcW w:w="1676" w:type="dxa"/>
          </w:tcPr>
          <w:p w14:paraId="2F7CB75C" w14:textId="77777777" w:rsidR="00E72F63" w:rsidRPr="00A06011" w:rsidRDefault="00E72F63" w:rsidP="00E72F63">
            <w:pPr>
              <w:pStyle w:val="Heading1"/>
              <w:shd w:val="clear" w:color="auto" w:fill="FFFFFF"/>
              <w:spacing w:before="450" w:beforeAutospacing="0" w:after="450" w:afterAutospacing="0" w:line="276" w:lineRule="atLeast"/>
              <w:outlineLvl w:val="0"/>
              <w:rPr>
                <w:rFonts w:ascii="Georgia" w:hAnsi="Georgia"/>
                <w:color w:val="020202"/>
                <w:sz w:val="16"/>
                <w:szCs w:val="16"/>
              </w:rPr>
            </w:pPr>
            <w:r w:rsidRPr="00A06011">
              <w:rPr>
                <w:rFonts w:ascii="Georgia" w:hAnsi="Georgia"/>
                <w:color w:val="020202"/>
                <w:sz w:val="16"/>
                <w:szCs w:val="16"/>
              </w:rPr>
              <w:t xml:space="preserve">Effect of Mg-gluconate on the osmotic fragility of red blood cells, lipid peroxidation and Ca2+-ATPase (PMCA) activity </w:t>
            </w:r>
            <w:r w:rsidRPr="00A06011">
              <w:rPr>
                <w:rFonts w:ascii="Georgia" w:hAnsi="Georgia"/>
                <w:color w:val="020202"/>
                <w:sz w:val="16"/>
                <w:szCs w:val="16"/>
              </w:rPr>
              <w:lastRenderedPageBreak/>
              <w:t>of placental homogenates and red blood cell ghosts from salt-loaded pregnant rats</w:t>
            </w:r>
          </w:p>
          <w:p w14:paraId="08E4F3F4" w14:textId="77777777" w:rsidR="00E72F63" w:rsidRPr="00A06011" w:rsidRDefault="00E72F63" w:rsidP="00E72F6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26F9C0D" w14:textId="1DEACE0C" w:rsidR="00E72F63" w:rsidRDefault="00E72F63" w:rsidP="00E72F63">
            <w:r>
              <w:lastRenderedPageBreak/>
              <w:t>05 Jan 2022</w:t>
            </w:r>
          </w:p>
        </w:tc>
        <w:tc>
          <w:tcPr>
            <w:tcW w:w="1476" w:type="dxa"/>
          </w:tcPr>
          <w:p w14:paraId="1EC27258" w14:textId="77777777" w:rsidR="00E72F63" w:rsidRDefault="00E72F63" w:rsidP="00E72F63"/>
        </w:tc>
        <w:tc>
          <w:tcPr>
            <w:tcW w:w="2066" w:type="dxa"/>
          </w:tcPr>
          <w:p w14:paraId="6A03C1B6" w14:textId="77777777" w:rsidR="00E72F63" w:rsidRDefault="00E72F63" w:rsidP="00E72F63">
            <w:r>
              <w:t>1)</w:t>
            </w:r>
            <w:r w:rsidRPr="00A06011">
              <w:t>salt-loaded pregnant rats Mg-gluconate has a higher antioxidant capacity than MgSO4 due to the presence of several hydroxyl groups in the two anions of this salt.</w:t>
            </w:r>
          </w:p>
          <w:p w14:paraId="24A968B8" w14:textId="0E2CEE83" w:rsidR="00E72F63" w:rsidRDefault="00E72F63" w:rsidP="00E72F63">
            <w:r>
              <w:lastRenderedPageBreak/>
              <w:t>2)</w:t>
            </w:r>
            <w:r w:rsidRPr="00A06011">
              <w:t>Rats showed an increased level of lipid peroxidation and a lowered PMCA activity in placental and red blood cells , as well as an increased osmotic fragility of their red blood cells. The treatment of the salt-loaded pregnant rats with Mg-gluconate avoids the rise in the level of lipid peroxidation .</w:t>
            </w:r>
          </w:p>
        </w:tc>
        <w:tc>
          <w:tcPr>
            <w:tcW w:w="1520" w:type="dxa"/>
          </w:tcPr>
          <w:p w14:paraId="12233104" w14:textId="77777777" w:rsidR="00E72F63" w:rsidRDefault="00E72F63" w:rsidP="00E72F63"/>
        </w:tc>
      </w:tr>
    </w:tbl>
    <w:p w14:paraId="35DA1A85" w14:textId="75B68ECB" w:rsidR="00CF4893" w:rsidRDefault="00CF4893"/>
    <w:p w14:paraId="08197480" w14:textId="77777777" w:rsidR="004920E0" w:rsidRDefault="004920E0"/>
    <w:sectPr w:rsidR="0049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234"/>
    <w:multiLevelType w:val="hybridMultilevel"/>
    <w:tmpl w:val="EB2CB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93"/>
    <w:rsid w:val="000E0059"/>
    <w:rsid w:val="000F2E42"/>
    <w:rsid w:val="00374607"/>
    <w:rsid w:val="004920E0"/>
    <w:rsid w:val="004A18CD"/>
    <w:rsid w:val="005C516A"/>
    <w:rsid w:val="0064422D"/>
    <w:rsid w:val="00843264"/>
    <w:rsid w:val="00A06011"/>
    <w:rsid w:val="00B26697"/>
    <w:rsid w:val="00CF4893"/>
    <w:rsid w:val="00E72F63"/>
    <w:rsid w:val="00E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0CA0"/>
  <w15:chartTrackingRefBased/>
  <w15:docId w15:val="{A7076A91-735C-4AB9-B778-5EAC571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00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E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</dc:creator>
  <cp:keywords/>
  <dc:description/>
  <cp:lastModifiedBy>Keerthana L</cp:lastModifiedBy>
  <cp:revision>8</cp:revision>
  <dcterms:created xsi:type="dcterms:W3CDTF">2021-12-28T08:15:00Z</dcterms:created>
  <dcterms:modified xsi:type="dcterms:W3CDTF">2022-01-07T04:04:00Z</dcterms:modified>
</cp:coreProperties>
</file>