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60"/>
        <w:gridCol w:w="2360"/>
        <w:gridCol w:w="2360"/>
        <w:gridCol w:w="2360"/>
      </w:tblGrid>
      <w:tr>
        <w:trPr>
          <w:trHeight w:hRule="exact" w:val="3968"/>
        </w:trPr>
        <w:tc>
          <w:tcPr>
            <w:tcW w:type="dxa" w:w="387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Kenneth Alessio Bianchi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8"/>
              </w:rPr>
              <w:t xml:space="preserve">With Angelo Buono, known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8"/>
              </w:rPr>
              <w:t>the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“Hillside Stranglers” </w:t>
            </w:r>
          </w:p>
        </w:tc>
        <w:tc>
          <w:tcPr>
            <w:tcW w:type="dxa" w:w="529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175000" cy="2336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336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184"/>
        </w:trPr>
        <w:tc>
          <w:tcPr>
            <w:tcW w:type="dxa" w:w="9166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8" w:after="0"/>
              <w:ind w:left="1440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Jennifer Cable, Travis Hall, Brittney Hawks Meredith Hornsby,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Amanda Howe </w:t>
            </w:r>
          </w:p>
          <w:p>
            <w:pPr>
              <w:autoSpaceDN w:val="0"/>
              <w:autoSpaceDE w:val="0"/>
              <w:widowControl/>
              <w:spacing w:line="274" w:lineRule="exact" w:before="280" w:after="0"/>
              <w:ind w:left="864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Serial killer researched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Kathy Futrell, Sean Reardon, Lauren Sade, Aaron Shank, Brandon Torrence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456" w:right="345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284"/>
        </w:trPr>
        <w:tc>
          <w:tcPr>
            <w:tcW w:type="dxa" w:w="9166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13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101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84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47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05-22-1951 </w:t>
            </w:r>
          </w:p>
        </w:tc>
        <w:tc>
          <w:tcPr>
            <w:tcW w:type="dxa" w:w="101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84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Kenneth Bianchi is born in Rochester, New York to a 17-year-old alcoholic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 who gives him up for adoption </w:t>
            </w:r>
          </w:p>
        </w:tc>
      </w:tr>
      <w:tr>
        <w:trPr>
          <w:trHeight w:hRule="exact" w:val="930"/>
        </w:trPr>
        <w:tc>
          <w:tcPr>
            <w:tcW w:type="dxa" w:w="130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1951 </w:t>
            </w:r>
          </w:p>
        </w:tc>
        <w:tc>
          <w:tcPr>
            <w:tcW w:type="dxa" w:w="101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months </w:t>
            </w:r>
          </w:p>
        </w:tc>
        <w:tc>
          <w:tcPr>
            <w:tcW w:type="dxa" w:w="6842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Kenneth is adopted by Frances Scioliono Bianchi and her husband who is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worker in the American Brake-Shoe Factory. Frances is Angelo Buono’s mother’s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sister making him Angelo’s adoptive cousin. Named Kenneth Alessio Bianchi,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their only child. </w:t>
            </w:r>
          </w:p>
        </w:tc>
      </w:tr>
      <w:tr>
        <w:trPr>
          <w:trHeight w:hRule="exact" w:val="472"/>
        </w:trPr>
        <w:tc>
          <w:tcPr>
            <w:tcW w:type="dxa" w:w="13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1953 </w:t>
            </w:r>
          </w:p>
        </w:tc>
        <w:tc>
          <w:tcPr>
            <w:tcW w:type="dxa" w:w="101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684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the time he could talk his mother knew he would be a compulsive liar.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Throughout his childhood he idolizes Prince Valiant </w:t>
            </w:r>
          </w:p>
        </w:tc>
      </w:tr>
      <w:tr>
        <w:trPr>
          <w:trHeight w:hRule="exact" w:val="698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11-25-1954 </w:t>
            </w:r>
          </w:p>
        </w:tc>
        <w:tc>
          <w:tcPr>
            <w:tcW w:type="dxa" w:w="101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684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taken to hospital by his mother with complaints of not being able to sleep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wetting the bed 5 times. Quote from doctor after first hospital visit – “Mother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needs help” </w:t>
            </w:r>
          </w:p>
        </w:tc>
      </w:tr>
      <w:tr>
        <w:trPr>
          <w:trHeight w:hRule="exact" w:val="1390"/>
        </w:trPr>
        <w:tc>
          <w:tcPr>
            <w:tcW w:type="dxa" w:w="13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1956 </w:t>
            </w:r>
          </w:p>
        </w:tc>
        <w:tc>
          <w:tcPr>
            <w:tcW w:type="dxa" w:w="1016"/>
            <w:vMerge w:val="restart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684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Kenneth has frequent lapses into trance-like states of daydreaming.  Frances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consults a physician. These trance-like states of daydreaming are typified by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eyes rolling back in his head and inattentiveness. He is prone to temper tantrums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quick to anger as well. Doctor diagnoses him with petit mal syndrome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assures the Bianchi’s that there is nothing to worry about and that Kenneth will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eventually grow out of these episodes. </w:t>
            </w:r>
          </w:p>
        </w:tc>
      </w:tr>
      <w:tr>
        <w:trPr>
          <w:trHeight w:hRule="exact" w:val="47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01-02-1957 </w:t>
            </w:r>
          </w:p>
        </w:tc>
        <w:tc>
          <w:tcPr>
            <w:tcW w:type="dxa" w:w="2360"/>
            <w:vMerge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684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Kenneth falls off of a jungle gym at Century Park School and sustains an injury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face </w:t>
            </w:r>
          </w:p>
        </w:tc>
      </w:tr>
      <w:tr>
        <w:trPr>
          <w:trHeight w:hRule="exact" w:val="220"/>
        </w:trPr>
        <w:tc>
          <w:tcPr>
            <w:tcW w:type="dxa" w:w="13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08-12-1957 </w:t>
            </w:r>
          </w:p>
        </w:tc>
        <w:tc>
          <w:tcPr>
            <w:tcW w:type="dxa" w:w="101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684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examined again for his eyes rolling back into his head.  Mother says that these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58" w:bottom="7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63"/>
        <w:gridCol w:w="3163"/>
        <w:gridCol w:w="3163"/>
      </w:tblGrid>
      <w:tr>
        <w:trPr>
          <w:trHeight w:hRule="exact" w:val="24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episodes only last a moment or so </w:t>
            </w:r>
          </w:p>
        </w:tc>
      </w:tr>
      <w:tr>
        <w:trPr>
          <w:trHeight w:hRule="exact" w:val="24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12-18-1958 </w:t>
            </w:r>
          </w:p>
        </w:tc>
        <w:tc>
          <w:tcPr>
            <w:tcW w:type="dxa" w:w="10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checked by doctors for urinary dribbling </w:t>
            </w:r>
          </w:p>
        </w:tc>
      </w:tr>
      <w:tr>
        <w:trPr>
          <w:trHeight w:hRule="exact" w:val="24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1959 </w:t>
            </w:r>
          </w:p>
        </w:tc>
        <w:tc>
          <w:tcPr>
            <w:tcW w:type="dxa" w:w="10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treated briefly at a psychiatric center in Rochester for mental problems </w:t>
            </w:r>
          </w:p>
        </w:tc>
      </w:tr>
      <w:tr>
        <w:trPr>
          <w:trHeight w:hRule="exact" w:val="472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1960 </w:t>
            </w:r>
          </w:p>
        </w:tc>
        <w:tc>
          <w:tcPr>
            <w:tcW w:type="dxa" w:w="101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Begins having involuntary urination (Frances eventually makes him wear sanitary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napkins). </w:t>
            </w:r>
          </w:p>
        </w:tc>
      </w:tr>
      <w:tr>
        <w:trPr>
          <w:trHeight w:hRule="exact" w:val="70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28, 1960 </w:t>
            </w:r>
          </w:p>
        </w:tc>
        <w:tc>
          <w:tcPr>
            <w:tcW w:type="dxa" w:w="3163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sent to DePaul Psychiatric Clinic because of “involuntary urination, tics,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absenteeism, and behavior problems.” Doctors perform a cystoscopy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retrograde pyelogram on Kenneth </w:t>
            </w:r>
          </w:p>
        </w:tc>
      </w:tr>
      <w:tr>
        <w:trPr>
          <w:trHeight w:hRule="exact" w:val="928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1962 </w:t>
            </w:r>
          </w:p>
        </w:tc>
        <w:tc>
          <w:tcPr>
            <w:tcW w:type="dxa" w:w="10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</w:t>
            </w:r>
          </w:p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Kenneth is moved twice from schools because he could not get along with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teachers. The mother believed the teachers made him nervous. His IQ is measured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116. Mother says he is lazy, inattentive, and angry. Teachers say he is working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below his capacity </w:t>
            </w:r>
          </w:p>
        </w:tc>
      </w:tr>
      <w:tr>
        <w:trPr>
          <w:trHeight w:hRule="exact" w:val="47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1963 </w:t>
            </w:r>
          </w:p>
        </w:tc>
        <w:tc>
          <w:tcPr>
            <w:tcW w:type="dxa" w:w="101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Decides that he likes pulling younger girls pants down and does just that to a six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year old girl </w:t>
            </w:r>
          </w:p>
        </w:tc>
      </w:tr>
      <w:tr>
        <w:trPr>
          <w:trHeight w:hRule="exact" w:val="470"/>
        </w:trPr>
        <w:tc>
          <w:tcPr>
            <w:tcW w:type="dxa" w:w="1308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1964 </w:t>
            </w:r>
          </w:p>
        </w:tc>
        <w:tc>
          <w:tcPr>
            <w:tcW w:type="dxa" w:w="101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68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Kenneth’s father, Mr. Bianchi, suddenly dies and Kenneth refuses to cry or show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any emotion for his loss </w:t>
            </w:r>
          </w:p>
        </w:tc>
      </w:tr>
      <w:tr>
        <w:trPr>
          <w:trHeight w:hRule="exact" w:val="70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1966-1970 </w:t>
            </w:r>
          </w:p>
        </w:tc>
        <w:tc>
          <w:tcPr>
            <w:tcW w:type="dxa" w:w="101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15-19 </w:t>
            </w:r>
          </w:p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Attends Gates-Chili high school (just outside Rochester). During this time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dates frequently, is clean-cut, and respective of elders. Joins a motorcycle club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gets a tattoo that reads, “Satan’s Own M.C.” </w:t>
            </w:r>
          </w:p>
        </w:tc>
      </w:tr>
      <w:tr>
        <w:trPr>
          <w:trHeight w:hRule="exact" w:val="534"/>
        </w:trPr>
        <w:tc>
          <w:tcPr>
            <w:tcW w:type="dxa" w:w="1308"/>
            <w:vMerge w:val="restart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1969 </w:t>
            </w:r>
          </w:p>
        </w:tc>
        <w:tc>
          <w:tcPr>
            <w:tcW w:type="dxa" w:w="1016"/>
            <w:vMerge w:val="restart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8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Proposes to a woman named Susan but is turned down </w:t>
            </w:r>
          </w:p>
        </w:tc>
      </w:tr>
      <w:tr>
        <w:trPr>
          <w:trHeight w:hRule="exact" w:val="930"/>
        </w:trPr>
        <w:tc>
          <w:tcPr>
            <w:tcW w:type="dxa" w:w="3163"/>
            <w:vMerge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63"/>
            <w:vMerge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Writes his girlfriend saying that he has been suspected in the Alphabet murders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that he had in fact killed a man.  However, she thinks this is a sick joke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does not take the confession seriously.*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*(the exact date of this letter can not be 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confirmed, some sources list the time period as 1969 while others say it was 1972)</w:t>
            </w:r>
          </w:p>
        </w:tc>
      </w:tr>
      <w:tr>
        <w:trPr>
          <w:trHeight w:hRule="exact" w:val="536"/>
        </w:trPr>
        <w:tc>
          <w:tcPr>
            <w:tcW w:type="dxa" w:w="3163"/>
            <w:vMerge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63"/>
            <w:vMerge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Brenda Beck for a few months. She is unable to meet his standards for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woman. He is with several women at a time throughout the marriage. </w:t>
            </w:r>
          </w:p>
        </w:tc>
      </w:tr>
      <w:tr>
        <w:trPr>
          <w:trHeight w:hRule="exact" w:val="24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 </w:t>
            </w:r>
          </w:p>
        </w:tc>
        <w:tc>
          <w:tcPr>
            <w:tcW w:type="dxa" w:w="10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Kenneth enrolls at Monroe Community College to become a police officer. </w:t>
            </w:r>
          </w:p>
        </w:tc>
      </w:tr>
      <w:tr>
        <w:trPr>
          <w:trHeight w:hRule="exact" w:val="24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10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Kenneth marries again but this time his wife leaves him after eight months. </w:t>
            </w:r>
          </w:p>
        </w:tc>
      </w:tr>
      <w:tr>
        <w:trPr>
          <w:trHeight w:hRule="exact" w:val="472"/>
        </w:trPr>
        <w:tc>
          <w:tcPr>
            <w:tcW w:type="dxa" w:w="1308"/>
            <w:vMerge w:val="restart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1972-1976 </w:t>
            </w:r>
          </w:p>
        </w:tc>
        <w:tc>
          <w:tcPr>
            <w:tcW w:type="dxa" w:w="101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21-25 </w:t>
            </w:r>
          </w:p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Applies with a sheriff’s office and is turned down.  Becomes a security guard but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often charged with theft by employers who suspect him. </w:t>
            </w:r>
          </w:p>
        </w:tc>
      </w:tr>
      <w:tr>
        <w:trPr>
          <w:trHeight w:hRule="exact" w:val="468"/>
        </w:trPr>
        <w:tc>
          <w:tcPr>
            <w:tcW w:type="dxa" w:w="3163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3163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Proposes to Susan a second time. However, she turns him down again and claims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he needs to have a stable job. </w:t>
            </w:r>
          </w:p>
        </w:tc>
      </w:tr>
      <w:tr>
        <w:trPr>
          <w:trHeight w:hRule="exact" w:val="472"/>
        </w:trPr>
        <w:tc>
          <w:tcPr>
            <w:tcW w:type="dxa" w:w="13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1976 </w:t>
            </w:r>
          </w:p>
        </w:tc>
        <w:tc>
          <w:tcPr>
            <w:tcW w:type="dxa" w:w="1016"/>
            <w:vMerge w:val="restart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8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Kenneth moves to Los Angeles and first lives with Angelo Buono (his adoptive cous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Buono begins to introduce Bianchi to the world of perverse sex. </w:t>
            </w:r>
          </w:p>
        </w:tc>
      </w:tr>
      <w:tr>
        <w:trPr>
          <w:trHeight w:hRule="exact" w:val="292"/>
        </w:trPr>
        <w:tc>
          <w:tcPr>
            <w:tcW w:type="dxa" w:w="1308"/>
            <w:vMerge w:val="restart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3163"/>
            <w:vMerge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Obtains a job with the California Land Title Company. </w:t>
            </w:r>
          </w:p>
        </w:tc>
      </w:tr>
      <w:tr>
        <w:trPr>
          <w:trHeight w:hRule="exact" w:val="294"/>
        </w:trPr>
        <w:tc>
          <w:tcPr>
            <w:tcW w:type="dxa" w:w="3163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3163"/>
            <w:vMerge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mother sends him money to buy a car with which he buys a 1972 Cadillac. </w:t>
            </w:r>
          </w:p>
        </w:tc>
      </w:tr>
      <w:tr>
        <w:trPr>
          <w:trHeight w:hRule="exact" w:val="298"/>
        </w:trPr>
        <w:tc>
          <w:tcPr>
            <w:tcW w:type="dxa" w:w="3163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3163"/>
            <w:vMerge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Applies with the Los Angeles Police Reserves </w:t>
            </w:r>
          </w:p>
        </w:tc>
      </w:tr>
      <w:tr>
        <w:trPr>
          <w:trHeight w:hRule="exact" w:val="294"/>
        </w:trPr>
        <w:tc>
          <w:tcPr>
            <w:tcW w:type="dxa" w:w="3163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3163"/>
            <w:vMerge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Sleeps with one of Angelo’s son’s girlfriends </w:t>
            </w:r>
          </w:p>
        </w:tc>
      </w:tr>
      <w:tr>
        <w:trPr>
          <w:trHeight w:hRule="exact" w:val="470"/>
        </w:trPr>
        <w:tc>
          <w:tcPr>
            <w:tcW w:type="dxa" w:w="13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1976 </w:t>
            </w:r>
          </w:p>
        </w:tc>
        <w:tc>
          <w:tcPr>
            <w:tcW w:type="dxa" w:w="3163"/>
            <w:vMerge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Moves out of Angelo’s home and into his own apartment on East Garfield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Avenue.  Shortly thereafter he moves in with Kelli Boyd who he had met at work </w:t>
            </w:r>
          </w:p>
        </w:tc>
      </w:tr>
      <w:tr>
        <w:trPr>
          <w:trHeight w:hRule="exact" w:val="296"/>
        </w:trPr>
        <w:tc>
          <w:tcPr>
            <w:tcW w:type="dxa" w:w="1308"/>
            <w:vMerge w:val="restart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101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Applies to Glendale Police Department but is rejected </w:t>
            </w:r>
          </w:p>
        </w:tc>
      </w:tr>
      <w:tr>
        <w:trPr>
          <w:trHeight w:hRule="exact" w:val="292"/>
        </w:trPr>
        <w:tc>
          <w:tcPr>
            <w:tcW w:type="dxa" w:w="3163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63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Applies to Los Angeles Police Department but there are no openings </w:t>
            </w:r>
          </w:p>
        </w:tc>
      </w:tr>
      <w:tr>
        <w:trPr>
          <w:trHeight w:hRule="exact" w:val="472"/>
        </w:trPr>
        <w:tc>
          <w:tcPr>
            <w:tcW w:type="dxa" w:w="3163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63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purchasing phony psychology degrees and credentials, Kenneth rents office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space from a legitimate psychologist.  Very few people see Kenneth for help. </w:t>
            </w:r>
          </w:p>
        </w:tc>
      </w:tr>
      <w:tr>
        <w:trPr>
          <w:trHeight w:hRule="exact" w:val="472"/>
        </w:trPr>
        <w:tc>
          <w:tcPr>
            <w:tcW w:type="dxa" w:w="3163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63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Begins using the false excuse that he has cancer so that he can skip work, which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does quite often. </w:t>
            </w:r>
          </w:p>
        </w:tc>
      </w:tr>
      <w:tr>
        <w:trPr>
          <w:trHeight w:hRule="exact" w:val="294"/>
        </w:trPr>
        <w:tc>
          <w:tcPr>
            <w:tcW w:type="dxa" w:w="3163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63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fired from his job after marijuana is found in his desk </w:t>
            </w:r>
          </w:p>
        </w:tc>
      </w:tr>
      <w:tr>
        <w:trPr>
          <w:trHeight w:hRule="exact" w:val="45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1977 </w:t>
            </w:r>
          </w:p>
        </w:tc>
        <w:tc>
          <w:tcPr>
            <w:tcW w:type="dxa" w:w="3163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Kelli becomes pregnant by Kenneth. He proposes to her but she turns him down.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However, she continues to stay with him.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312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47"/>
        <w:gridCol w:w="3147"/>
        <w:gridCol w:w="3147"/>
      </w:tblGrid>
      <w:tr>
        <w:trPr>
          <w:trHeight w:hRule="exact" w:val="116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5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101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and Kenneth discuss the idea of getting young girls to work for them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prostitutes.  It is Angelo’s idea as a way for them to get money (as they are short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cash).  They purchase a list of names of men who frequent prostitutes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Deborah Noble.  Unbeknownst to Angelo and Kenneth, Deborah delivers a “trick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list” and deceives them. </w:t>
            </w:r>
          </w:p>
        </w:tc>
      </w:tr>
      <w:tr>
        <w:trPr>
          <w:trHeight w:hRule="exact" w:val="116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314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Deborah Noble and her friend Yolanda Washington deliver the list of men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Angelo.  Yolanda is 19 years-old, a part-time waitress and a prostitute.  Yolanda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tells Angelo that she usually works a particular stretch on Sunset Boulevard.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and Kenneth soon find out that the list is a fake and seek out to get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revenge for the money they paid. </w:t>
            </w:r>
          </w:p>
        </w:tc>
      </w:tr>
      <w:tr>
        <w:trPr>
          <w:trHeight w:hRule="exact" w:val="472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17,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314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and Kenneth begin their rampage. They seek out Yolanda Washington,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 and strangle her in the back seat of Kenneth’s car. </w:t>
            </w:r>
          </w:p>
        </w:tc>
      </w:tr>
      <w:tr>
        <w:trPr>
          <w:trHeight w:hRule="exact" w:val="468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18,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314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Washington’s boy is found near Universal City in a cemetery. She still has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fabric around her neck that was used to strangle her. </w:t>
            </w:r>
          </w:p>
        </w:tc>
      </w:tr>
      <w:tr>
        <w:trPr>
          <w:trHeight w:hRule="exact" w:val="472"/>
        </w:trPr>
        <w:tc>
          <w:tcPr>
            <w:tcW w:type="dxa" w:w="1308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31,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314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Two-Judith Miller, a 15 years-old runaway and prostitute. </w:t>
            </w:r>
          </w:p>
        </w:tc>
      </w:tr>
      <w:tr>
        <w:trPr>
          <w:trHeight w:hRule="exact" w:val="468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314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Miller’s body is found with ligature marks on her ankles, wrists, and neck.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has also been raped. </w:t>
            </w:r>
          </w:p>
        </w:tc>
      </w:tr>
      <w:tr>
        <w:trPr>
          <w:trHeight w:hRule="exact" w:val="47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5,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314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Three-Elissa Kastin, a 21 years-old waitress. </w:t>
            </w:r>
          </w:p>
        </w:tc>
      </w:tr>
      <w:tr>
        <w:trPr>
          <w:trHeight w:hRule="exact" w:val="702"/>
        </w:trPr>
        <w:tc>
          <w:tcPr>
            <w:tcW w:type="dxa" w:w="13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6,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314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Kastin’s nude body is found on a highway embankment. She is found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ligature marks similar to those found on Judith Miller.  She has also been raped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sodomized. </w:t>
            </w:r>
          </w:p>
        </w:tc>
      </w:tr>
      <w:tr>
        <w:trPr>
          <w:trHeight w:hRule="exact" w:val="468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9,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314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Four-Jane King, a 28 year–old aspiring actress. </w:t>
            </w:r>
          </w:p>
        </w:tc>
      </w:tr>
      <w:tr>
        <w:trPr>
          <w:trHeight w:hRule="exact" w:val="472"/>
        </w:trPr>
        <w:tc>
          <w:tcPr>
            <w:tcW w:type="dxa" w:w="13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13, 1977 </w:t>
            </w:r>
          </w:p>
        </w:tc>
        <w:tc>
          <w:tcPr>
            <w:tcW w:type="dxa" w:w="314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Victims Five and Six- Sonja Johnson age 14 and Dolly Cepeda age 12. </w:t>
            </w:r>
          </w:p>
        </w:tc>
      </w:tr>
      <w:tr>
        <w:trPr>
          <w:trHeight w:hRule="exact" w:val="572"/>
        </w:trPr>
        <w:tc>
          <w:tcPr>
            <w:tcW w:type="dxa" w:w="1308"/>
            <w:vMerge w:val="restart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20, 1977 </w:t>
            </w:r>
          </w:p>
        </w:tc>
        <w:tc>
          <w:tcPr>
            <w:tcW w:type="dxa" w:w="314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nine year-old boy finds the bodies of Sonja Johnson and Dolly Cepeda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Highland Park. They too are found nude with ligature marks and had been raped. </w:t>
            </w:r>
          </w:p>
        </w:tc>
      </w:tr>
      <w:tr>
        <w:trPr>
          <w:trHeight w:hRule="exact" w:val="570"/>
        </w:trPr>
        <w:tc>
          <w:tcPr>
            <w:tcW w:type="dxa" w:w="3147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4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Seven- Kristina Weckler, a 20 year-old college student. She is found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same day with ligature marks on the inner arm and  on her neck. </w:t>
            </w:r>
          </w:p>
        </w:tc>
      </w:tr>
      <w:tr>
        <w:trPr>
          <w:trHeight w:hRule="exact" w:val="116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5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23, 1977 </w:t>
            </w:r>
          </w:p>
        </w:tc>
        <w:tc>
          <w:tcPr>
            <w:tcW w:type="dxa" w:w="314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Jane King’s body is found near Los Feliz off-ramp on the Golden State Freeway.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has been sodomized and strangled. </w:t>
            </w:r>
          </w:p>
          <w:p>
            <w:pPr>
              <w:autoSpaceDN w:val="0"/>
              <w:autoSpaceDE w:val="0"/>
              <w:widowControl/>
              <w:spacing w:line="230" w:lineRule="exact" w:before="16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(sources on the condition of King’s body coincide.  Some say she had been raped,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while others report that the body was so badly deteriorated that rape could not be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definitively determined) </w:t>
            </w:r>
          </w:p>
        </w:tc>
      </w:tr>
      <w:tr>
        <w:trPr>
          <w:trHeight w:hRule="exact" w:val="472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28, 1977 </w:t>
            </w:r>
          </w:p>
        </w:tc>
        <w:tc>
          <w:tcPr>
            <w:tcW w:type="dxa" w:w="314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Eight-Lauren Wagner, an 18 year-old student. </w:t>
            </w:r>
          </w:p>
        </w:tc>
      </w:tr>
      <w:tr>
        <w:trPr>
          <w:trHeight w:hRule="exact" w:val="47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29, 1977 </w:t>
            </w:r>
          </w:p>
        </w:tc>
        <w:tc>
          <w:tcPr>
            <w:tcW w:type="dxa" w:w="314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Lauren Wagner’s body is found nude, strangled, and with electrical burns on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palms.  She also has ligature marks on her body and had been raped. </w:t>
            </w:r>
          </w:p>
        </w:tc>
      </w:tr>
      <w:tr>
        <w:trPr>
          <w:trHeight w:hRule="exact" w:val="93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13, 1977 </w:t>
            </w:r>
          </w:p>
        </w:tc>
        <w:tc>
          <w:tcPr>
            <w:tcW w:type="dxa" w:w="314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Nine - Kimberly Martin, an 18 year-old call girl who went by the name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Donna*.  Her body is found the same day in a vacant lot on a hillside. </w:t>
            </w:r>
          </w:p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*(some sources report Martin’s name as Kimberly Diane Martin, while others say 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she went by “Donna”) </w:t>
            </w:r>
          </w:p>
        </w:tc>
      </w:tr>
      <w:tr>
        <w:trPr>
          <w:trHeight w:hRule="exact" w:val="116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5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17,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314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Ten-Cindy Hudspeth, a 20 year-old college student. Her body is found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trunk of her car which had been pushed over a cliff. She is also found nude,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raped, and with ligature marks on her body.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is the last murder that Angelo and Kenneth participate in together,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Angelo’s final murder before being arrested and ultimately sent to prison. </w:t>
            </w:r>
          </w:p>
        </w:tc>
      </w:tr>
      <w:tr>
        <w:trPr>
          <w:trHeight w:hRule="exact" w:val="666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10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Kenneth moves to Bellingham, Washington to be with Kelli and their son Ryan.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He obtains a job as a security guard for a hardware store.*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358" w:bottom="10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60"/>
        <w:gridCol w:w="2360"/>
        <w:gridCol w:w="2360"/>
        <w:gridCol w:w="2360"/>
      </w:tblGrid>
      <w:tr>
        <w:trPr>
          <w:trHeight w:hRule="exact" w:val="932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84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Kenneth applies with the Whatcom County Sheriffs Reserve and accepts 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position there.  This would be his last known place of employment.*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(the actual dates of Bianchi’s move to Washington, and his dates of employment in </w:t>
            </w:r>
          </w:p>
          <w:p>
            <w:pPr>
              <w:autoSpaceDN w:val="0"/>
              <w:autoSpaceDE w:val="0"/>
              <w:widowControl/>
              <w:spacing w:line="24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Washington are not known)</w:t>
            </w:r>
          </w:p>
        </w:tc>
      </w:tr>
      <w:tr>
        <w:trPr>
          <w:trHeight w:hRule="exact" w:val="928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2360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in Bellingham, Washington are notified that two young women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Western Washington University, Karen Mandic and Diane Wilder, are missing.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police later find out that Kenneth Bianchi had offered the girls $100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housesit for him. </w:t>
            </w:r>
          </w:p>
        </w:tc>
      </w:tr>
      <w:tr>
        <w:trPr>
          <w:trHeight w:hRule="exact" w:val="1392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1979 </w:t>
            </w:r>
          </w:p>
        </w:tc>
        <w:tc>
          <w:tcPr>
            <w:tcW w:type="dxa" w:w="2360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are led to an abandoned car in a heavily wooded area.  Inside the car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discover the bodies of Mandic and Wilder.  Both women have been strangled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their bodies contain multiple bruises.  Upon identifying Bianchi as a suspect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murders, they search his home.  The search produces jewelry that matches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descriptions of that worn by Kimberly Martin and Yolanda Washington.  Police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are now able to identify Bianchi as one of the Hillside Stranglers. </w:t>
            </w:r>
          </w:p>
        </w:tc>
      </w:tr>
      <w:tr>
        <w:trPr>
          <w:trHeight w:hRule="exact" w:val="468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22,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10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84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Buono is arrested after Kenneth Bianchi tells police of his and Angelo’s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involvement in the murders. </w:t>
            </w:r>
          </w:p>
        </w:tc>
      </w:tr>
      <w:tr>
        <w:trPr>
          <w:trHeight w:hRule="exact" w:val="47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1980 </w:t>
            </w:r>
          </w:p>
        </w:tc>
        <w:tc>
          <w:tcPr>
            <w:tcW w:type="dxa" w:w="101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84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Bianchi receives a pen-pal letter from Veronica Lynn Compton, 23.  She asks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his opinion on her play about a female serial killer. </w:t>
            </w:r>
          </w:p>
        </w:tc>
      </w:tr>
      <w:tr>
        <w:trPr>
          <w:trHeight w:hRule="exact" w:val="930"/>
        </w:trPr>
        <w:tc>
          <w:tcPr>
            <w:tcW w:type="dxa" w:w="13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–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2360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Compton and Bianchi continue to correspond with each other. Compton suggests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defense strategy for Bianchi.  She would travel to Bellingham and kill a woman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place his semen at the scene since he is a non-secretor.  This would “show”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the strangler is still on the loose. </w:t>
            </w:r>
          </w:p>
        </w:tc>
      </w:tr>
      <w:tr>
        <w:trPr>
          <w:trHeight w:hRule="exact" w:val="700"/>
        </w:trPr>
        <w:tc>
          <w:tcPr>
            <w:tcW w:type="dxa" w:w="13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16, 1980 </w:t>
            </w:r>
          </w:p>
        </w:tc>
        <w:tc>
          <w:tcPr>
            <w:tcW w:type="dxa" w:w="2360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Compton visits Bianchi in prison.  While visiting she receives his semen in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rubber glove that is hidden in a book.  She then flies to Bellingham, Washington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picks out a female victim, but ruins the murder attempt. </w:t>
            </w:r>
          </w:p>
        </w:tc>
      </w:tr>
      <w:tr>
        <w:trPr>
          <w:trHeight w:hRule="exact" w:val="470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3,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2360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Compton is arrested in California, and convicted in 1981 in Washington. </w:t>
            </w:r>
          </w:p>
        </w:tc>
      </w:tr>
      <w:tr>
        <w:trPr>
          <w:trHeight w:hRule="exact" w:val="470"/>
        </w:trPr>
        <w:tc>
          <w:tcPr>
            <w:tcW w:type="dxa" w:w="13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4,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2360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Bianchi writes a “letter to the world”, stating that he is innocent and that Angelo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Buono is the true killer. </w:t>
            </w:r>
          </w:p>
        </w:tc>
      </w:tr>
      <w:tr>
        <w:trPr>
          <w:trHeight w:hRule="exact" w:val="932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6, 1981 </w:t>
            </w:r>
          </w:p>
        </w:tc>
        <w:tc>
          <w:tcPr>
            <w:tcW w:type="dxa" w:w="101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84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order to convince the court that his testimony was unreliable, Bianchi testifies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he might have faked the multiple personality disorder, but he could not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sure if he was telling the truth when he stated earlier that Buono was involved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murders.  Now he does not even think that he committed the murders either. </w:t>
            </w:r>
          </w:p>
        </w:tc>
      </w:tr>
      <w:tr>
        <w:trPr>
          <w:trHeight w:hRule="exact" w:val="466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31, 1981 </w:t>
            </w:r>
          </w:p>
        </w:tc>
        <w:tc>
          <w:tcPr>
            <w:tcW w:type="dxa" w:w="2360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Prosecutor files a petition to dismiss the case against Buono due to Ken’s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irrationality and conflicting testimony. </w:t>
            </w:r>
          </w:p>
        </w:tc>
      </w:tr>
      <w:tr>
        <w:trPr>
          <w:trHeight w:hRule="exact" w:val="472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2360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Judge Ronald George dismisses the petition. </w:t>
            </w:r>
          </w:p>
        </w:tc>
      </w:tr>
      <w:tr>
        <w:trPr>
          <w:trHeight w:hRule="exact" w:val="1162"/>
        </w:trPr>
        <w:tc>
          <w:tcPr>
            <w:tcW w:type="dxa" w:w="130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5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3,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2360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84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Judge Ronald George delivers his judgment: “My judgment was that Bianchi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faked both the hypnosis and the multiple personality, and I came to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conclusion based on the circumstantial evidence acquired by the police,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contradictory testimony of Bianchi with regard to his mental status and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opinions voiced by the psychiatrists who examined him.” </w:t>
            </w:r>
          </w:p>
        </w:tc>
      </w:tr>
      <w:tr>
        <w:trPr>
          <w:trHeight w:hRule="exact" w:val="466"/>
        </w:trPr>
        <w:tc>
          <w:tcPr>
            <w:tcW w:type="dxa" w:w="130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21,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1983 </w:t>
            </w:r>
          </w:p>
        </w:tc>
        <w:tc>
          <w:tcPr>
            <w:tcW w:type="dxa" w:w="10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84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Bianchi receives his sentence (life in prison with the possibility for parole). </w:t>
            </w:r>
          </w:p>
        </w:tc>
      </w:tr>
      <w:tr>
        <w:trPr>
          <w:trHeight w:hRule="exact" w:val="378"/>
        </w:trPr>
        <w:tc>
          <w:tcPr>
            <w:tcW w:type="dxa" w:w="9166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and Washington State </w:t>
            </w:r>
          </w:p>
        </w:tc>
      </w:tr>
      <w:tr>
        <w:trPr>
          <w:trHeight w:hRule="exact" w:val="380"/>
        </w:trPr>
        <w:tc>
          <w:tcPr>
            <w:tcW w:type="dxa" w:w="9166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22 1951 </w:t>
            </w:r>
          </w:p>
        </w:tc>
      </w:tr>
      <w:tr>
        <w:trPr>
          <w:trHeight w:hRule="exact" w:val="24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Rochester, New York </w:t>
            </w:r>
          </w:p>
        </w:tc>
      </w:tr>
      <w:tr>
        <w:trPr>
          <w:trHeight w:hRule="exact" w:val="220"/>
        </w:trPr>
        <w:tc>
          <w:tcPr>
            <w:tcW w:type="dxa" w:w="37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Child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358" w:bottom="7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721"/>
        <w:gridCol w:w="4721"/>
      </w:tblGrid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2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Adoptive parents – the Bianchis;   Biological mother was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 who gave him up for adoption at birth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child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(adoptive parents) </w:t>
            </w:r>
          </w:p>
        </w:tc>
      </w:tr>
      <w:tr>
        <w:trPr>
          <w:trHeight w:hRule="exact" w:val="70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adoptive father died of a heart attack.  His adoptive mother,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who he was very attached to, then had to start working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support the family.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age eleven he was having furious tantrums during class.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 of 11- fell off of a jungle gym and hit his head.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6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 is a possibility that he was mentally abused, but there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documentation of any certain event.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2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Adoptive father was employed by the American Brake shoe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factory.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employed, but her exact occupation is unknown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6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Biological mother abused alcohol.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alcohol abuse reported for adoptive mother </w:t>
            </w:r>
          </w:p>
        </w:tc>
      </w:tr>
      <w:tr>
        <w:trPr>
          <w:trHeight w:hRule="exact" w:val="278"/>
        </w:trPr>
        <w:tc>
          <w:tcPr>
            <w:tcW w:type="dxa" w:w="9166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Completed high school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School Diploma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Teachers reported that he was working below his capacity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116. </w:t>
            </w:r>
          </w:p>
        </w:tc>
      </w:tr>
      <w:tr>
        <w:trPr>
          <w:trHeight w:hRule="exact" w:val="296"/>
        </w:trPr>
        <w:tc>
          <w:tcPr>
            <w:tcW w:type="dxa" w:w="9166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2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70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for a while he started taking classes to become a police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officer but dropped out before finishing.  He then applied for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job with a  Sheriff’s Department but was turned down.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 held a position as a security guard </w:t>
            </w:r>
          </w:p>
        </w:tc>
      </w:tr>
      <w:tr>
        <w:trPr>
          <w:trHeight w:hRule="exact" w:val="47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asked to leave after being found stealing,  and fired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another job after marijuana was found in his desk. </w:t>
            </w:r>
          </w:p>
        </w:tc>
      </w:tr>
      <w:tr>
        <w:trPr>
          <w:trHeight w:hRule="exact" w:val="70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went through several jobs, one job he held was at a title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company.  He also prepared a fake diploma for himself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began to practice as a psychologist.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</w:t>
            </w:r>
          </w:p>
        </w:tc>
      </w:tr>
      <w:tr>
        <w:trPr>
          <w:trHeight w:hRule="exact" w:val="342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had a common law wife and re-married while in prison </w:t>
            </w:r>
          </w:p>
        </w:tc>
      </w:tr>
      <w:tr>
        <w:trPr>
          <w:trHeight w:hRule="exact" w:val="22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had one child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358" w:bottom="7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721"/>
        <w:gridCol w:w="4721"/>
      </w:tblGrid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Common-law wife </w:t>
            </w:r>
          </w:p>
        </w:tc>
      </w:tr>
      <w:tr>
        <w:trPr>
          <w:trHeight w:hRule="exact" w:val="360"/>
        </w:trPr>
        <w:tc>
          <w:tcPr>
            <w:tcW w:type="dxa" w:w="9166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but he had bladder control problems. </w:t>
            </w:r>
          </w:p>
        </w:tc>
      </w:tr>
      <w:tr>
        <w:trPr>
          <w:trHeight w:hRule="exact" w:val="360"/>
        </w:trPr>
        <w:tc>
          <w:tcPr>
            <w:tcW w:type="dxa" w:w="9166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but was fired from a job when pot was found in his desk.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mother sent him to one as a young boy.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Petit mal syndrome </w:t>
            </w:r>
          </w:p>
        </w:tc>
      </w:tr>
      <w:tr>
        <w:trPr>
          <w:trHeight w:hRule="exact" w:val="422"/>
        </w:trPr>
        <w:tc>
          <w:tcPr>
            <w:tcW w:type="dxa" w:w="9166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472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suspected in the Alphabet murders in New York, but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involvement was never confirmed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positive, but yes, if he did commit the Alphabet murders </w:t>
            </w:r>
          </w:p>
        </w:tc>
      </w:tr>
      <w:tr>
        <w:trPr>
          <w:trHeight w:hRule="exact" w:val="476"/>
        </w:trPr>
        <w:tc>
          <w:tcPr>
            <w:tcW w:type="dxa" w:w="9166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470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(the last two murders were carried out solely by Kenneth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Bianchi, Angelo Buono was not involved with these) </w:t>
            </w:r>
          </w:p>
        </w:tc>
      </w:tr>
      <w:tr>
        <w:trPr>
          <w:trHeight w:hRule="exact" w:val="70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2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Vulnerable young women (prostitutes, low-income, students,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low scale models and actresses);   Also murdered two very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girls – ages 12 and 14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and African American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to 28.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Strangulation, rape, various types of torture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crime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Possibly,  evidence was found in Bianchi’s apartment </w:t>
            </w:r>
          </w:p>
        </w:tc>
      </w:tr>
      <w:tr>
        <w:trPr>
          <w:trHeight w:hRule="exact" w:val="698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weapons, as most of the murders were ruled as death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strangulation.   However, various items were used to tie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bound the victims. </w:t>
            </w:r>
          </w:p>
        </w:tc>
      </w:tr>
      <w:tr>
        <w:trPr>
          <w:trHeight w:hRule="exact" w:val="240"/>
        </w:trPr>
        <w:tc>
          <w:tcPr>
            <w:tcW w:type="dxa" w:w="9166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702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as the murders progressed the detectives investigating saw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Hillside Stranglers experimenting more and more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methods of torture.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torture was evident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68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ligature marks on the victims hands and feet were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“calling card” of the Hillside Stranglers. </w:t>
            </w:r>
          </w:p>
        </w:tc>
      </w:tr>
      <w:tr>
        <w:trPr>
          <w:trHeight w:hRule="exact" w:val="240"/>
        </w:trPr>
        <w:tc>
          <w:tcPr>
            <w:tcW w:type="dxa" w:w="9166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4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358" w:bottom="7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721"/>
        <w:gridCol w:w="4721"/>
      </w:tblGrid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166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376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72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– once murdered, the bodies were moved to remote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locations near hillsides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4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4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4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4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4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10, 1979.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21, 1979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life in prison without the possibility of parole.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Washington State Penitentiary.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6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4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– Still living </w:t>
            </w:r>
          </w:p>
        </w:tc>
      </w:tr>
      <w:tr>
        <w:trPr>
          <w:trHeight w:hRule="exact" w:val="7350"/>
        </w:trPr>
        <w:tc>
          <w:tcPr>
            <w:tcW w:type="dxa" w:w="9166"/>
            <w:gridSpan w:val="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</w:p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60" w:lineRule="exact" w:before="292" w:after="0"/>
              <w:ind w:left="104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Multimedia: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 Hillside Stranglers (videotape)  (1998).  Arts and Entertainment Television. </w:t>
            </w:r>
          </w:p>
          <w:p>
            <w:pPr>
              <w:autoSpaceDN w:val="0"/>
              <w:autoSpaceDE w:val="0"/>
              <w:widowControl/>
              <w:spacing w:line="320" w:lineRule="exact" w:before="23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Mind of a killer.  (1995).  Chatsworth, CA:  Kozel Multimedia. </w:t>
            </w:r>
          </w:p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66" w:lineRule="exact" w:before="304" w:after="0"/>
              <w:ind w:left="104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Articles: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Candida, F.  (1981, July 7).  Hillside Strangler Case:  The 2 faces of Bianchi.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Los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Angeles Times. </w:t>
            </w:r>
          </w:p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76" w:lineRule="exact" w:before="276" w:after="0"/>
              <w:ind w:left="104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Farr, B.  (1981, July 26).  Prosecution memos list holes in strangler case.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Los Angeles Times.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They’ll be back.  (1997).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Newsweek,  129 (11),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12-13. </w:t>
            </w:r>
          </w:p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76" w:lineRule="exact" w:before="276" w:after="0"/>
              <w:ind w:left="104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Wilson, W.  (1981, May 13).  Stranglers’ power of psychological manipulation.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Sacramento Bee. </w:t>
            </w:r>
          </w:p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76" w:lineRule="exact" w:before="276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Wilson, W.  (1981, May 12).  The Bianchi case:  finding a labyrinth of personalities.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Sacramento Bee. </w:t>
            </w:r>
          </w:p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76" w:lineRule="exact" w:before="276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Wilson, W.  (1981, May 10).  Tragedy’s evidence ignored too long.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Sacramento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Bee.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358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442"/>
      </w:tblGrid>
      <w:tr>
        <w:trPr>
          <w:trHeight w:hRule="exact" w:val="9606"/>
        </w:trPr>
        <w:tc>
          <w:tcPr>
            <w:tcW w:type="dxa" w:w="91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74" w:lineRule="exact" w:before="4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Wilson, W.  (1981, May 14).  Was Buono just Bianchi’s dupe in Hillside Stranglings?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Sacramento Bee. </w:t>
            </w:r>
          </w:p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68" w:lineRule="exact" w:before="302" w:after="0"/>
              <w:ind w:left="104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Books: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Newton, Michael  (1990).  Hunting Humans:  An Encyclopedia of Modern Serial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Killers.  Loompanics Unlimited:  Port Townsend, Washington.   </w:t>
            </w:r>
          </w:p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76" w:lineRule="exact" w:before="276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O’Brien, Darcy.  (1985).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Two of a Kind:  The Hillside Stranglers.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New York:  New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American Library. </w:t>
            </w:r>
          </w:p>
          <w:p>
            <w:pPr>
              <w:autoSpaceDN w:val="0"/>
              <w:autoSpaceDE w:val="0"/>
              <w:widowControl/>
              <w:spacing w:line="508" w:lineRule="exact" w:before="44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Schwarz, Ted.  (2001).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The Hillside Strangler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 NY: Vivisphere Publishing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Websites: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http://carpenoctem.tv/killers/hillside.html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http://llr.lls.edu/volumes/v33-issue2/boren.pdf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http://www.angelfire.com/oh/yodaspage5/hillside.htm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**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http://www.angelfire.com/oh/yodaspage5/report2.htm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**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http://www.crimelibrary.com/serial_killers/predators/straglers/rampage_1.html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http://www.crimeweb.homestead.com/Hillside-ns4.html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**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http://www.hillside-strangler.com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http://www.macalester.edu/~whathap/UBNRP/serialkillers/ken_bianchi.html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**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http://www.pbs.org/wgbh/pages/frontline/progrms/transcripts/207.html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* -  New websites used for information summary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** - Websites originally used for research but are no longer active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358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