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6"/>
        <w:gridCol w:w="2346"/>
        <w:gridCol w:w="2346"/>
        <w:gridCol w:w="2346"/>
      </w:tblGrid>
      <w:tr>
        <w:trPr>
          <w:trHeight w:hRule="exact" w:val="3470"/>
        </w:trPr>
        <w:tc>
          <w:tcPr>
            <w:tcW w:type="dxa" w:w="445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8" w:lineRule="exact" w:before="1422" w:after="0"/>
              <w:ind w:left="4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44"/>
              </w:rPr>
              <w:t xml:space="preserve">John Justin Bunting </w:t>
            </w:r>
          </w:p>
        </w:tc>
        <w:tc>
          <w:tcPr>
            <w:tcW w:type="dxa" w:w="46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1189" cy="2197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89" cy="2197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9108"/>
            <w:gridSpan w:val="4"/>
            <w:tcBorders>
              <w:start w:sz="3.199999999999932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2160" w:right="201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Jessica Heckel, Tracy Drum, &amp; Karoline Gravitt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456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Events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09/04/1966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Inala, Queensland, Australia; born without a sense of smell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Beaten  and sexually assaulted by friend’s older brother.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sexual experience and he got the girl pregnant.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had a job at a crematorium.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Teen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Enjoyed weaponry, photography, and anatomy.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at SA Meat Corporation. He would brag about slaughtering the animals –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saying that’s what he enjoyed the most. Shared house with Kevin Reid and Kevin’s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girlfriend in N. Adelaide’s. Bunting killed Kevin’s terrier bulldog.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 </w:t>
            </w:r>
          </w:p>
        </w:tc>
        <w:tc>
          <w:tcPr>
            <w:tcW w:type="dxa" w:w="7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adult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Strong hatred discovered for homosexuals and pedophiles.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01/1989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Bunting began taking a class for metal work. Also met Veronika Tripp during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09/1989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Tripp and Bunting got married. He now has a step-son, James, but only Veronika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into the house that he shared with Kevin.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12/14/1991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Bunting moved with Tripp to 203 Waterloo Corner Rd, Salisburry North Australia.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08/1992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Clinton Trezise. (First victim murdered)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in a sexual relationship with Elizabeth Harvy while still married to Veronika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Tripp. During this year Bunting killed cats and dogs and skinned them. He got James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watch. Bunting also meet Vlassakis in April of ’94.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1995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Step-son James moved into house with Bunting and Veronika. In December,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Ray Davies.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02/1997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saw Suzanne’s name and account had withdrawals in Murray Bridge and linked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John Bunting’s address; Bunting told police Suzanne was a close family friend.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08/1997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Michael Gardiner is murdered.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10/1997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Barry Lane was murdered.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11/1997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Suzanne Allen disappeared </w:t>
            </w:r>
          </w:p>
        </w:tc>
      </w:tr>
      <w:tr>
        <w:trPr>
          <w:trHeight w:hRule="exact" w:val="22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11/1997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Thomas Trevilyan was murdered.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16" w:bottom="8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6"/>
        <w:gridCol w:w="2346"/>
        <w:gridCol w:w="2346"/>
        <w:gridCol w:w="2346"/>
      </w:tblGrid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08/1998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Troy Youde was murdered.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09/17/1998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Fredrick Brooks was murdered.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10/1998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tap Bunting’s home phone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11/20/1998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Elizabeth Haden was murdered.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05/09/1999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David Johnson was murdered.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05/21/1999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Bunting was arrested.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10/16/2002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Bunting’s trial began.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09/08/2003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16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Bunting was convicted of 11 counts of murder. Sentenced to life in prison. </w:t>
            </w:r>
          </w:p>
        </w:tc>
      </w:tr>
      <w:tr>
        <w:trPr>
          <w:trHeight w:hRule="exact" w:val="3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suspected, 11 convicted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Australia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South Australia </w:t>
            </w:r>
          </w:p>
        </w:tc>
      </w:tr>
      <w:tr>
        <w:trPr>
          <w:trHeight w:hRule="exact" w:val="238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Adelaide and Snowtown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Thrill Killer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Short (all that was found) </w:t>
            </w:r>
          </w:p>
        </w:tc>
      </w:tr>
      <w:tr>
        <w:trPr>
          <w:trHeight w:hRule="exact" w:val="3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9/04/1966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Inala, Queensland, Australia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born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Parents: Tom and Jan Bunting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child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live with a step-parent?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36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2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has no sense of smell when he was born.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around 8 years old by friend’s older brother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by his friend’s older brother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around 8 years old by friend’s older brother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 15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 of 15 and got her pregnant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42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but only because they couldn’t afford to pay him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crematorium. They thought he was a good worker. </w:t>
            </w:r>
          </w:p>
        </w:tc>
      </w:tr>
      <w:tr>
        <w:trPr>
          <w:trHeight w:hRule="exact" w:val="47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 20 he worked for a crematorium. Age 22 he worked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a SA Meat Corporation: slaughtering animals. </w:t>
            </w:r>
          </w:p>
        </w:tc>
      </w:tr>
      <w:tr>
        <w:trPr>
          <w:trHeight w:hRule="exact" w:val="470"/>
        </w:trPr>
        <w:tc>
          <w:tcPr>
            <w:tcW w:type="dxa" w:w="4266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842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None, because he was stealing money from his victims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their death. </w:t>
            </w:r>
          </w:p>
        </w:tc>
      </w:tr>
      <w:tr>
        <w:trPr>
          <w:trHeight w:hRule="exact" w:val="3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47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Veronika Tripp: First marriage in 1989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Elizabeth Harvey: Second marriage </w:t>
            </w:r>
          </w:p>
        </w:tc>
      </w:tr>
      <w:tr>
        <w:trPr>
          <w:trHeight w:hRule="exact" w:val="472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 step-sons: Troy Youde, James Vlassakis, Adrian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Vlassakis, and Kristoffer Vlassakis </w:t>
            </w:r>
          </w:p>
        </w:tc>
      </w:tr>
      <w:tr>
        <w:trPr>
          <w:trHeight w:hRule="exact" w:val="928"/>
        </w:trPr>
        <w:tc>
          <w:tcPr>
            <w:tcW w:type="dxa" w:w="42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84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Adrian and Kristoffer Vlassakis lived with him and Mrs.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Harvey more constantly than the other two. James lived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them for longer than Troy. Troy and James moved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out when they got older.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116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During childhood Bunting tortured ants with acid.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late adulthood, he would kill and skin cats and dogs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making James Vlassakis watch. Sometimes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Bunting made James Vlassakis participated whether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wanted to or not.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2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just tortured animals. No criminal crimes.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8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70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victims, but 12 bodies were found. Suzanne Allen’s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became dropped due to the lack of evidence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claimed she died of natural causes, a heart attack. </w:t>
            </w:r>
          </w:p>
        </w:tc>
      </w:tr>
      <w:tr>
        <w:trPr>
          <w:trHeight w:hRule="exact" w:val="45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Pedophiles, homosexuals, cross dresser, heroin user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roommate, partners assisting in the crimes, mentally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472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disabled, and some were relatives or associates of one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accused. </w:t>
            </w:r>
          </w:p>
        </w:tc>
      </w:tr>
      <w:tr>
        <w:trPr>
          <w:trHeight w:hRule="exact" w:val="468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25-years-old at the time of the first murder,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turning 26 years two months later.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1992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/09/1999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Mostly males and one female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116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Thomas Trevilyan: 18; Fredrick Brooks: 18;  Michael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Gardiner: 19; Troy Younde:21; Clinton Tresize: 22;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David Johnson: 24; Ray Davies: 26; Gavin Porter: 29;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Garry O’Dwyer: 29; Elizabeth Haydon: 37; Barry Lane: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Same as above in “Victim Type” </w:t>
            </w:r>
          </w:p>
        </w:tc>
      </w:tr>
      <w:tr>
        <w:trPr>
          <w:trHeight w:hRule="exact" w:val="47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Torture that led to eventual strangulation by a rope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electrical cord </w:t>
            </w:r>
          </w:p>
        </w:tc>
      </w:tr>
      <w:tr>
        <w:trPr>
          <w:trHeight w:hRule="exact" w:val="702"/>
        </w:trPr>
        <w:tc>
          <w:tcPr>
            <w:tcW w:type="dxa" w:w="42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84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Knives, Coils of rope, rolls of tape, rubber gloves, cloths,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Variac metallurgy tool that the killers used to give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electric shocks to the genitals and other sensitive parts.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Bunting was the leader of three other men. </w:t>
            </w:r>
          </w:p>
        </w:tc>
      </w:tr>
      <w:tr>
        <w:trPr>
          <w:trHeight w:hRule="exact" w:val="928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Robert Wagner ‘Papa Smurf’, James Vlassakis, and Mark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Haydon were the three main group members. However,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Elizabeth Harvey, Thomas Trevilyan, and Barry Lane,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each assisted in one of the murdered victims. </w:t>
            </w:r>
          </w:p>
        </w:tc>
      </w:tr>
      <w:tr>
        <w:trPr>
          <w:trHeight w:hRule="exact" w:val="70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main group consisted of three males. Robert Wagner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 homosexual, while James Vlassakis and Mark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Haydon were heterosexuals. </w:t>
            </w:r>
          </w:p>
        </w:tc>
      </w:tr>
      <w:tr>
        <w:trPr>
          <w:trHeight w:hRule="exact" w:val="1664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7.99999999999955" w:type="dxa"/>
            </w:tblPr>
            <w:tblGrid>
              <w:gridCol w:w="2421"/>
              <w:gridCol w:w="2421"/>
            </w:tblGrid>
            <w:tr>
              <w:trPr>
                <w:trHeight w:hRule="exact" w:val="1650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" w:after="0"/>
                    <w:ind w:left="144" w:right="124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30" w:after="0"/>
                    <w:ind w:left="0" w:right="124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14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James Vlassakis was a step-son.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38" w:after="0"/>
                    <w:ind w:left="144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Robert Wagner started out as a neighbor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become a best friend of Bunting’s.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36" w:after="0"/>
                    <w:ind w:left="14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Mark Haydon and John met in a welding course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and became good friends. John Bunting ended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up dating Haydon’s sister and later on Haydon’s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wife’s sister.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Missionary, Organized Lust, and Contract Killer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home, killer home, street, hospital, etc. </w:t>
            </w:r>
          </w:p>
        </w:tc>
      </w:tr>
      <w:tr>
        <w:trPr>
          <w:trHeight w:hRule="exact" w:val="47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Victim’s home, Bunting’s home, Kersbrook, Australia,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at the Snowtown Bank. </w:t>
            </w:r>
          </w:p>
        </w:tc>
      </w:tr>
      <w:tr>
        <w:trPr>
          <w:trHeight w:hRule="exact" w:val="2352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7.99999999999955" w:type="dxa"/>
            </w:tblPr>
            <w:tblGrid>
              <w:gridCol w:w="2421"/>
              <w:gridCol w:w="2421"/>
            </w:tblGrid>
            <w:tr>
              <w:trPr>
                <w:trHeight w:hRule="exact" w:val="2340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" w:after="0"/>
                    <w:ind w:left="0" w:right="124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458" w:after="0"/>
                    <w:ind w:left="0" w:right="124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918" w:after="0"/>
                    <w:ind w:left="0" w:right="124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38" w:after="0"/>
                    <w:ind w:left="144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Suzanne Allen was claimed to be killed in her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bathroom and was mutilated. Her body was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buried in Buntings backyard.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38" w:after="0"/>
                    <w:ind w:left="14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Troy Youde was dragged out of his own bed by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Bunting and his accomplices. At the time Youde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was living at the 203 Waterloo Corner Rd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house. He was tortured and strangled in the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downstairs bathroom.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38" w:after="0"/>
                    <w:ind w:left="144" w:right="144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Michael Gardinear was killed by strangulation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of a rope and burns were found on his scrotum.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94"/>
        </w:trPr>
        <w:tc>
          <w:tcPr>
            <w:tcW w:type="dxa" w:w="4266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842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7.99999999999955" w:type="dxa"/>
            </w:tblPr>
            <w:tblGrid>
              <w:gridCol w:w="2421"/>
              <w:gridCol w:w="2421"/>
            </w:tblGrid>
            <w:tr>
              <w:trPr>
                <w:trHeight w:hRule="exact" w:val="700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124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38" w:after="0"/>
                    <w:ind w:left="14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Clinton Trezise was killed in Bunting’s home in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the living room by being bashed in the head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with a hammer.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8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142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7.99999999999955" w:type="dxa"/>
            </w:tblPr>
            <w:tblGrid>
              <w:gridCol w:w="2421"/>
              <w:gridCol w:w="2421"/>
            </w:tblGrid>
            <w:tr>
              <w:trPr>
                <w:trHeight w:hRule="exact" w:val="1406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" w:after="0"/>
                    <w:ind w:left="0" w:right="124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458" w:after="0"/>
                    <w:ind w:left="0" w:right="124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38" w:after="0"/>
                    <w:ind w:left="144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Ray Davies was killed in Bunting’s bathroom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and was buried in his backyard. Davies was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never reported missin.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38" w:after="0"/>
                    <w:ind w:left="144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Gavin Porter was killed in his car that was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parked in Bunting’s driveway. His body was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stored in a barrel in the bank vault.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1618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giving electric shocks to sensitive parts (generally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genitals) of the body, crushing toes with pliers, ears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nose burned with cigarettes, and one victim even had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sparkler inserted into his genitals and lit. After being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tortured the victims were strangled and to make sure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dead, someone would jump on their chest to get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remaining air out. </w:t>
            </w:r>
          </w:p>
        </w:tc>
      </w:tr>
      <w:tr>
        <w:trPr>
          <w:trHeight w:hRule="exact" w:val="47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to get personal information to obtain financial gains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victim (after they were murdered).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he tortured all of his victims except for one.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using handcuffs, electrical cord, and/ or duct tape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over the mouth with a sock in it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70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almost of the victims’ bodies were cut up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knife and eight of them were placed in a barrel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containing acid. </w:t>
            </w:r>
          </w:p>
        </w:tc>
      </w:tr>
      <w:tr>
        <w:trPr>
          <w:trHeight w:hRule="exact" w:val="5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Bunting and Wagner fried up and ate parts of David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Johnson’s flesh.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93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from each victim personal information was taken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order to be able to access victim’s finances. These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included credit cards, photo IDs, social security numbers,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other items. </w:t>
            </w:r>
          </w:p>
        </w:tc>
      </w:tr>
      <w:tr>
        <w:trPr>
          <w:trHeight w:hRule="exact" w:val="47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each victim was murdered, their property was taken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over, such as a car or house, to gain more money.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70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Thomas Trevilyan was the one victim who was left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scene, because it was supposed to look like a suicide.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found hanging from a tree in the Kersbook area.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946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7.99999999999955" w:type="dxa"/>
            </w:tblPr>
            <w:tblGrid>
              <w:gridCol w:w="2421"/>
              <w:gridCol w:w="2421"/>
            </w:tblGrid>
            <w:tr>
              <w:trPr>
                <w:trHeight w:hRule="exact" w:val="932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" w:after="0"/>
                    <w:ind w:left="0" w:right="124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38" w:after="0"/>
                    <w:ind w:left="14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Ray Davies: body was buried at Bunting’s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former house in his backyard (Waterloo Corner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Rd, Salisbury North) after being strangled in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bathroom.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2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7.99999999999955" w:type="dxa"/>
            </w:tblPr>
            <w:tblGrid>
              <w:gridCol w:w="2421"/>
              <w:gridCol w:w="2421"/>
            </w:tblGrid>
            <w:tr>
              <w:trPr>
                <w:trHeight w:hRule="exact" w:val="470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" w:after="0"/>
                    <w:ind w:left="0" w:right="124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38" w:after="0"/>
                    <w:ind w:left="14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Clinton Trezise: body was buried in a shallow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grave at Lower Light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94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Cut-up and disposed of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7.99999999999955" w:type="dxa"/>
            </w:tblPr>
            <w:tblGrid>
              <w:gridCol w:w="2421"/>
              <w:gridCol w:w="2421"/>
            </w:tblGrid>
            <w:tr>
              <w:trPr>
                <w:trHeight w:hRule="exact" w:val="700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" w:after="0"/>
                    <w:ind w:left="0" w:right="124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36" w:after="0"/>
                    <w:ind w:left="14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All of his victims were cut-up and disposed of in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Bunting’s backyard or a barrel that was later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stored in the rented Snowtown bank.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8" w:right="1416" w:bottom="7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716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 home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7.99999999999955" w:type="dxa"/>
            </w:tblPr>
            <w:tblGrid>
              <w:gridCol w:w="2421"/>
              <w:gridCol w:w="2421"/>
            </w:tblGrid>
            <w:tr>
              <w:trPr>
                <w:trHeight w:hRule="exact" w:val="702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" w:after="0"/>
                    <w:ind w:left="0" w:right="124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38" w:after="0"/>
                    <w:ind w:left="14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Suzanne Allen was moved to Bunting’s home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after being “found” at her house in the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bathroom.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Supreme Court trail started on 10/14/2002 </w:t>
            </w:r>
          </w:p>
        </w:tc>
      </w:tr>
      <w:tr>
        <w:trPr>
          <w:trHeight w:hRule="exact" w:val="238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5/21/1999 </w:t>
            </w:r>
          </w:p>
        </w:tc>
      </w:tr>
      <w:tr>
        <w:trPr>
          <w:trHeight w:hRule="exact" w:val="946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9/08/2003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40" w:lineRule="exact" w:before="6" w:after="0"/>
              <w:ind w:left="462" w:right="144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Outstanding murder charges of Suzanne Allen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dropped on 5/7/2007 when jury could not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reach a verdict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imprisonment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7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but Bunting confessed after conviction (confessed 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recanted). </w:t>
            </w:r>
          </w:p>
        </w:tc>
      </w:tr>
      <w:tr>
        <w:trPr>
          <w:trHeight w:hRule="exact" w:val="468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 Division in Yatala Prison, South Australia’s Maximum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Security Jail in Adelaide.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living </w:t>
            </w:r>
          </w:p>
        </w:tc>
      </w:tr>
      <w:tr>
        <w:trPr>
          <w:trHeight w:hRule="exact" w:val="8064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tabs>
                <w:tab w:pos="704" w:val="left"/>
              </w:tabs>
              <w:autoSpaceDE w:val="0"/>
              <w:widowControl/>
              <w:spacing w:line="230" w:lineRule="exact" w:before="216" w:after="0"/>
              <w:ind w:left="104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Advertiser.  (2008).   Evil, even as younger. Retrieved on November 5, 2008,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http://www.news.com.au/adelaidenow/story/0,22606,17289866-2682,00.html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30" w:after="0"/>
              <w:ind w:left="15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GMax.   (2003).  Australia’s worst serial killers of gays jailed for life. Retrieved on October 22,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2008,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http://www.gmax.co.za/look/10/29-ozpedokillers.html</w:t>
            </w:r>
          </w:p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30" w:lineRule="exact" w:before="23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Pudney, J. (2005).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bodies in the barrels murders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Austrailia: HarperCollins Publishers Pty Limited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Group. </w:t>
            </w:r>
          </w:p>
          <w:p>
            <w:pPr>
              <w:autoSpaceDN w:val="0"/>
              <w:tabs>
                <w:tab w:pos="824" w:val="left"/>
                <w:tab w:pos="1054" w:val="left"/>
              </w:tabs>
              <w:autoSpaceDE w:val="0"/>
              <w:widowControl/>
              <w:spacing w:line="230" w:lineRule="exact" w:before="230" w:after="0"/>
              <w:ind w:left="104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Supreme Court of Southern Australia.  (2003).  Reasons for rulings of the honourable Justice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Martin. Retrieved on October 29, 2005, from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http://www.austlii.edu.au/au/cases/sa/SASC/2003/251.html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06" w:right="1440" w:hanging="90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Supreme Court of Southern Australia.  (2004). Rv Bunting and Wagner SASC 235. Retrieved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November 5, 2008, from  http://www.austlii.edu.au/cgibin/sinodisp/au/cases/sa/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SASC/2004/235.html?query=john%20and%20bunting. </w:t>
            </w:r>
          </w:p>
          <w:p>
            <w:pPr>
              <w:autoSpaceDN w:val="0"/>
              <w:autoSpaceDE w:val="0"/>
              <w:widowControl/>
              <w:spacing w:line="230" w:lineRule="exact" w:before="46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 looked on the library website on LexisNexis, Criminal Justice Abstracts and Periodicals, and Newspaper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Source Plus. We also searched for books in the library about John Bunting but there were none. We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searched some search engines on the web and most articles that came up were just about the hearings.  All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above did not have sufficient or any information about John Bunting. </w:t>
            </w:r>
          </w:p>
          <w:p>
            <w:pPr>
              <w:autoSpaceDN w:val="0"/>
              <w:autoSpaceDE w:val="0"/>
              <w:widowControl/>
              <w:spacing w:line="268" w:lineRule="exact" w:before="42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**N/A= No information was able to be found. </w:t>
            </w:r>
          </w:p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32" w:lineRule="exact" w:before="34" w:after="0"/>
              <w:ind w:left="104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Areas where we had trouble finding information on John Bunting: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of his childhood and family relations i.e. Parent’s occupation.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exact" w:before="40" w:after="0"/>
              <w:ind w:left="46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 could not find anything on Bunting psychological information, there was nothing mentioned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about previous crimes, but we don’t know if there just was not any information about it.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46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Location of killings were not found for Barry Lane and Garry O’Dwyer,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 were not able to find the dates of the murders of Gavin Porter, Gary O’Dwyer.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776" w:left="1440" w:header="720" w:footer="720" w:gutter="0"/>
          <w:cols/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