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4752"/>
        </w:trPr>
        <w:tc>
          <w:tcPr>
            <w:tcW w:type="dxa" w:w="44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2008" w:after="0"/>
              <w:ind w:left="864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William Burke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32"/>
              </w:rPr>
              <w:t xml:space="preserve">“Resurrection-man” </w:t>
            </w:r>
          </w:p>
        </w:tc>
        <w:tc>
          <w:tcPr>
            <w:tcW w:type="dxa" w:w="43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43760" cy="3009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760" cy="3009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84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12" w:after="0"/>
              <w:ind w:left="2592" w:right="259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0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Iris Dickerson and Brent Evans </w:t>
            </w:r>
          </w:p>
          <w:p>
            <w:pPr>
              <w:autoSpaceDN w:val="0"/>
              <w:autoSpaceDE w:val="0"/>
              <w:widowControl/>
              <w:spacing w:line="245" w:lineRule="auto" w:before="226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700"/>
        </w:trPr>
        <w:tc>
          <w:tcPr>
            <w:tcW w:type="dxa" w:w="13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Date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Age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3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1792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1792 </w:t>
            </w:r>
          </w:p>
        </w:tc>
      </w:tr>
      <w:tr>
        <w:trPr>
          <w:trHeight w:hRule="exact" w:val="240"/>
        </w:trPr>
        <w:tc>
          <w:tcPr>
            <w:tcW w:type="dxa" w:w="13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1811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Follows older brother Constantine in to army </w:t>
            </w:r>
          </w:p>
        </w:tc>
      </w:tr>
      <w:tr>
        <w:trPr>
          <w:trHeight w:hRule="exact" w:val="240"/>
        </w:trPr>
        <w:tc>
          <w:tcPr>
            <w:tcW w:type="dxa" w:w="13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1827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Moves in with Nelly McDougal and Mickey Culzean </w:t>
            </w:r>
          </w:p>
        </w:tc>
      </w:tr>
      <w:tr>
        <w:trPr>
          <w:trHeight w:hRule="exact" w:val="472"/>
        </w:trPr>
        <w:tc>
          <w:tcPr>
            <w:tcW w:type="dxa" w:w="13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1827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Meets William Hare, moves in to his house with Nelly </w:t>
            </w:r>
          </w:p>
        </w:tc>
      </w:tr>
      <w:tr>
        <w:trPr>
          <w:trHeight w:hRule="exact" w:val="468"/>
        </w:trPr>
        <w:tc>
          <w:tcPr>
            <w:tcW w:type="dxa" w:w="133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11-29-1827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Hare’s lodger, Donald, dies; Burke and Hare sell deceased body to Dr. Knox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cover debt owed by Donald. Sold for ₤7 10 shillings </w:t>
            </w:r>
          </w:p>
        </w:tc>
      </w:tr>
      <w:tr>
        <w:trPr>
          <w:trHeight w:hRule="exact" w:val="472"/>
        </w:trPr>
        <w:tc>
          <w:tcPr>
            <w:tcW w:type="dxa" w:w="13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1828 </w:t>
            </w:r>
          </w:p>
        </w:tc>
        <w:tc>
          <w:tcPr>
            <w:tcW w:type="dxa" w:w="714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Hare’s lodger, Joseph, falls ill; Burke and Hare smother him with a pillow, sell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to Dr. Knox for ₤10. </w:t>
            </w:r>
          </w:p>
        </w:tc>
      </w:tr>
      <w:tr>
        <w:trPr>
          <w:trHeight w:hRule="exact" w:val="468"/>
        </w:trPr>
        <w:tc>
          <w:tcPr>
            <w:tcW w:type="dxa" w:w="13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1828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Another lodger, man from Cheshire, ill with jaundice; body sold to Dr. Knox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₤10. </w:t>
            </w:r>
          </w:p>
        </w:tc>
      </w:tr>
      <w:tr>
        <w:trPr>
          <w:trHeight w:hRule="exact" w:val="700"/>
        </w:trPr>
        <w:tc>
          <w:tcPr>
            <w:tcW w:type="dxa" w:w="13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02-11-1828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Went out drinking with Abagail Simpson; she returned to Hare’s home because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was sick from drinking, Hare and Burke smother her. Sold to Dr. Knox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₤10. </w:t>
            </w:r>
          </w:p>
        </w:tc>
      </w:tr>
      <w:tr>
        <w:trPr>
          <w:trHeight w:hRule="exact" w:val="700"/>
        </w:trPr>
        <w:tc>
          <w:tcPr>
            <w:tcW w:type="dxa" w:w="133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04-09-1828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Burke, while drinking, meets two prostitutes; buys them more alcohol, takes them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back to his brother’s house. One prostitute, Mary Paterson, passes out on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dining table; Burke and Hare smother her. Body sold to Dr. Knox for ₤8. </w:t>
            </w:r>
          </w:p>
        </w:tc>
      </w:tr>
      <w:tr>
        <w:trPr>
          <w:trHeight w:hRule="exact" w:val="472"/>
        </w:trPr>
        <w:tc>
          <w:tcPr>
            <w:tcW w:type="dxa" w:w="13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1828 </w:t>
            </w:r>
          </w:p>
        </w:tc>
        <w:tc>
          <w:tcPr>
            <w:tcW w:type="dxa" w:w="714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woman lodger, at Hare’s home for one night, is very drunk; Burke smothers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the body is sold to Dr. Knox for ₤10. </w:t>
            </w:r>
          </w:p>
        </w:tc>
      </w:tr>
      <w:tr>
        <w:trPr>
          <w:trHeight w:hRule="exact" w:val="466"/>
        </w:trPr>
        <w:tc>
          <w:tcPr>
            <w:tcW w:type="dxa" w:w="13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1828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Mary Haldane, a lodger, falls asleep in Hare’s stable; Burke and Hare suffocate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her, sell her body to Dr. Knox. </w:t>
            </w:r>
          </w:p>
        </w:tc>
      </w:tr>
      <w:tr>
        <w:trPr>
          <w:trHeight w:hRule="exact" w:val="472"/>
        </w:trPr>
        <w:tc>
          <w:tcPr>
            <w:tcW w:type="dxa" w:w="133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1828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Effie comes to Hare’s house, Burke takes her to the stable and gets her drunk;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Burke and Hare suffocate her, sell the body to Dr. Knox for ₤10. </w:t>
            </w:r>
          </w:p>
        </w:tc>
      </w:tr>
      <w:tr>
        <w:trPr>
          <w:trHeight w:hRule="exact" w:val="220"/>
        </w:trPr>
        <w:tc>
          <w:tcPr>
            <w:tcW w:type="dxa" w:w="13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1828 </w:t>
            </w:r>
          </w:p>
        </w:tc>
        <w:tc>
          <w:tcPr>
            <w:tcW w:type="dxa" w:w="714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Burke takes a drunken woman, who is being escorted home by an officer, off the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40"/>
        </w:trPr>
        <w:tc>
          <w:tcPr>
            <w:tcW w:type="dxa" w:w="13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1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officer’s hands. The woman is killed, and her body is sold to Dr. Knox for ₤10. </w:t>
            </w:r>
          </w:p>
        </w:tc>
      </w:tr>
      <w:tr>
        <w:trPr>
          <w:trHeight w:hRule="exact" w:val="472"/>
        </w:trPr>
        <w:tc>
          <w:tcPr>
            <w:tcW w:type="dxa" w:w="13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“Midsummer,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1828”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 woman and her grandson from Glasgow lodge at Hare’s home; Burke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Hare smother them and sell their bodies to Dr. Knox for ₤8 each. </w:t>
            </w:r>
          </w:p>
        </w:tc>
      </w:tr>
      <w:tr>
        <w:trPr>
          <w:trHeight w:hRule="exact" w:val="468"/>
        </w:trPr>
        <w:tc>
          <w:tcPr>
            <w:tcW w:type="dxa" w:w="13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1828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Burke and Nelly move two streets away, in to an apartment with Burke’s cousin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her husband, the Broggans. </w:t>
            </w:r>
          </w:p>
        </w:tc>
      </w:tr>
      <w:tr>
        <w:trPr>
          <w:trHeight w:hRule="exact" w:val="472"/>
        </w:trPr>
        <w:tc>
          <w:tcPr>
            <w:tcW w:type="dxa" w:w="13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1828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Margaret Haldane, daughter of Mary Haldane, suffocated at the Broggan’s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Burke; body sold to Dr. Knox for ₤8. </w:t>
            </w:r>
          </w:p>
        </w:tc>
      </w:tr>
      <w:tr>
        <w:trPr>
          <w:trHeight w:hRule="exact" w:val="468"/>
        </w:trPr>
        <w:tc>
          <w:tcPr>
            <w:tcW w:type="dxa" w:w="13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1828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Mrs Ostler, a washer, comes to the Broggan’s. Burke and Hare get her drunk, then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suffocate her. Body sold to Dr. Knox for ₤8. </w:t>
            </w:r>
          </w:p>
        </w:tc>
      </w:tr>
      <w:tr>
        <w:trPr>
          <w:trHeight w:hRule="exact" w:val="472"/>
        </w:trPr>
        <w:tc>
          <w:tcPr>
            <w:tcW w:type="dxa" w:w="13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Autumn,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1828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Ann McDougal comes to visit Nelly at the Broggan’s; Hare and Burke get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drunk, then kill her. Body sold to Dr. Knox for ₤10. </w:t>
            </w:r>
          </w:p>
        </w:tc>
      </w:tr>
      <w:tr>
        <w:trPr>
          <w:trHeight w:hRule="exact" w:val="698"/>
        </w:trPr>
        <w:tc>
          <w:tcPr>
            <w:tcW w:type="dxa" w:w="133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1828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Jamie Wilson, who is mentally retarded, is invited to Hare’s home by Hare’s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girlfriend, Maggie Laird; Wilson drinks some, and Burke and Hare suffocate him.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They strip his body, taking a spoon and snuff box. Body sold to Dr. Knox for ₤10. </w:t>
            </w:r>
          </w:p>
        </w:tc>
      </w:tr>
      <w:tr>
        <w:trPr>
          <w:trHeight w:hRule="exact" w:val="470"/>
        </w:trPr>
        <w:tc>
          <w:tcPr>
            <w:tcW w:type="dxa" w:w="133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10-31-1828 </w:t>
            </w:r>
          </w:p>
        </w:tc>
        <w:tc>
          <w:tcPr>
            <w:tcW w:type="dxa" w:w="714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Mrs. Docherty lured back to Burke’s; killed after the Halloween party by Burke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Hare. The struggle is heard by many of Burke’s neighbors. </w:t>
            </w:r>
          </w:p>
        </w:tc>
      </w:tr>
      <w:tr>
        <w:trPr>
          <w:trHeight w:hRule="exact" w:val="472"/>
        </w:trPr>
        <w:tc>
          <w:tcPr>
            <w:tcW w:type="dxa" w:w="13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11-01-1828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James Gray, neighbor of Burke, goes to the police after his wife discovers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corpse of Mrs. Docherty. Nelly and Burke are taken in for questioning. </w:t>
            </w:r>
          </w:p>
        </w:tc>
      </w:tr>
      <w:tr>
        <w:trPr>
          <w:trHeight w:hRule="exact" w:val="700"/>
        </w:trPr>
        <w:tc>
          <w:tcPr>
            <w:tcW w:type="dxa" w:w="13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11-02-1828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discover the corpse of Mrs. Docherty in Dr. Knox’s basement. The body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identified by neighbors of Burke; Burke, Hare, Nelly and Maggie are charged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murder. </w:t>
            </w:r>
          </w:p>
        </w:tc>
      </w:tr>
      <w:tr>
        <w:trPr>
          <w:trHeight w:hRule="exact" w:val="698"/>
        </w:trPr>
        <w:tc>
          <w:tcPr>
            <w:tcW w:type="dxa" w:w="133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12-01-1828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Hare and his wife Maggie offered immunity if Hare comes forward about Mrs.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Docherty and any other of Burke’s murders. Burke was set for trial on two counts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murder. </w:t>
            </w:r>
          </w:p>
        </w:tc>
      </w:tr>
      <w:tr>
        <w:trPr>
          <w:trHeight w:hRule="exact" w:val="240"/>
        </w:trPr>
        <w:tc>
          <w:tcPr>
            <w:tcW w:type="dxa" w:w="13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12-24-1828 </w:t>
            </w:r>
          </w:p>
        </w:tc>
        <w:tc>
          <w:tcPr>
            <w:tcW w:type="dxa" w:w="714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Trial begins </w:t>
            </w:r>
          </w:p>
        </w:tc>
      </w:tr>
      <w:tr>
        <w:trPr>
          <w:trHeight w:hRule="exact" w:val="702"/>
        </w:trPr>
        <w:tc>
          <w:tcPr>
            <w:tcW w:type="dxa" w:w="13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12-25-1828 </w:t>
            </w:r>
          </w:p>
        </w:tc>
        <w:tc>
          <w:tcPr>
            <w:tcW w:type="dxa" w:w="714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Burke found guilty on majority vote (two members voted not guilty) and Nelly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not guilty. Burke sentenced to hanging on January 28, 1829, and his body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then be dissected. </w:t>
            </w:r>
          </w:p>
        </w:tc>
      </w:tr>
      <w:tr>
        <w:trPr>
          <w:trHeight w:hRule="exact" w:val="468"/>
        </w:trPr>
        <w:tc>
          <w:tcPr>
            <w:tcW w:type="dxa" w:w="133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01-28-1829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1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Burke is hanged publicly. His body is then dissected publicly, in accordance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law from 1752.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4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Scotland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Edinburgh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Gain killer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5’5”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4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1792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Strabane, County Tyrone, Ireland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Second (Youngest)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Parents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Youngest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information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Average </w:t>
            </w:r>
          </w:p>
        </w:tc>
      </w:tr>
      <w:tr>
        <w:trPr>
          <w:trHeight w:hRule="exact" w:val="220"/>
        </w:trPr>
        <w:tc>
          <w:tcPr>
            <w:tcW w:type="dxa" w:w="361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Laborer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Basic education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Yes; 7 years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Army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Labor-oriented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Cobbler, 1827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38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No; left Ireland in 1818, never saw them again </w:t>
            </w:r>
          </w:p>
        </w:tc>
      </w:tr>
      <w:tr>
        <w:trPr>
          <w:trHeight w:hRule="exact" w:val="472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6" w:right="576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Accomplice, Hare; Hare’s girlfriend, Maggie Laird;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girlfriend, Nelly McDougal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Lodgers, all different types </w:t>
            </w:r>
          </w:p>
        </w:tc>
      </w:tr>
      <w:tr>
        <w:trPr>
          <w:trHeight w:hRule="exact" w:val="22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29, 1827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31, 1828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and female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Ranging from 12 to 70’s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Lodgers, all different types </w:t>
            </w:r>
          </w:p>
        </w:tc>
      </w:tr>
      <w:tr>
        <w:trPr>
          <w:trHeight w:hRule="exact" w:val="472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killing – cushion; subsequent killings – suffocation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killing – found at the scene; subsequent killings – hands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524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524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William Hare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524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24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Gain killer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24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same house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Victim’s home, killer’s home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Victim’s home, killer’s home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in one murder – Jamie Wilson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 home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– home of Dr. Knox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2, 1828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25, 1828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by hanging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2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Tolbooth of Edinburgh; Edinburgh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28, 1829 </w:t>
            </w:r>
          </w:p>
        </w:tc>
      </w:tr>
      <w:tr>
        <w:trPr>
          <w:trHeight w:hRule="exact" w:val="250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4" w:val="left"/>
                <w:tab w:pos="3958" w:val="left"/>
              </w:tabs>
              <w:autoSpaceDE w:val="0"/>
              <w:widowControl/>
              <w:spacing w:line="332" w:lineRule="exact" w:before="152" w:after="0"/>
              <w:ind w:left="104" w:right="0" w:firstLine="0"/>
              <w:jc w:val="left"/>
            </w:pP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Bailey, B. (2002.)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Burke and Hare: The year of the ghouls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Edinburgh: Mainstream Publishing (Edinburgh)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LTD. </w:t>
            </w:r>
          </w:p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245" w:lineRule="auto" w:before="2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Menzies, K. and Gunn, Robert M. The Resurrectionists &amp; Burke and Hare. Retrieved March 19, 2008, from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http://members.aol.com/_ht_a/skyelander/burkhare.html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