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172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34" w:after="0"/>
              <w:ind w:left="1152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John Cannan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Lady Killer”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43329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29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Erin Waddell, Breeanne Berlin, &amp; Ryan Mank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02/24/1954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Warwickshire (Sutton Coldfield) in England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9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sent him to a private school for boys.  He had a teacher that always 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biscuits during break time.  Cannan bragged later in life about how he used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charm to persuade her to allow him to have biscuits as well. </w:t>
            </w:r>
          </w:p>
        </w:tc>
      </w:tr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1961/1962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teacher took him into a vacant classroom and instructed him to drop his trousers.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teacher touched him between the legs and wanted John to touch him as well;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it in fear of the teacher.  He claims to have felt ashamed from it and that it went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for months because he couldn’t tell anyone about it.  He became afraid of school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this and developed a stammer from being nervous all the time at school. </w:t>
            </w:r>
          </w:p>
        </w:tc>
      </w:tr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taken to the family doctor because of this nervousness and then did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 to the school.  He used the experience at school to explain why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“different” from others and why he didn’t have any close friends; claimed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always had to deal with humiliation and shame which led him to express anger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resentment. </w:t>
            </w:r>
          </w:p>
        </w:tc>
      </w:tr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gained 5 certificates of secondary education and 3 ordinary level general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certificates of education; because of his athletic ability he was offered the chance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 with the Birch Harriers which was a leading athletic club but his father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against the idea.  Left school and joined Merchant Navy; it was thought he joined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his family but was only a part of the Navy for 3 months.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June Vale; his one and only steady girlfriend and the engagement lasted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years; he claims he was hassled into marrying her; his mother-in-law was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pressuring them to start a family.  June then turned up pregnant, he thinks it was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purpose, they had a daughter named Louise.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smoking and drinking heavily at this point instead of going home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 to be with his family he would frequent the bars and night clubs. 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practically an alcoholic at this age.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02/14/1980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Sharon Major, 32.  She lied about being married and so did he.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1980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and Sharon began living together with her children.  They took family trips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he even met her family.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became upset when Sharon’s ex was coming to spend Christmas with the kids,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got jealous but Sharon wasn’t going to prevent the kids from seeing their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Christmas. </w:t>
            </w:r>
          </w:p>
        </w:tc>
      </w:tr>
      <w:tr>
        <w:trPr>
          <w:trHeight w:hRule="exact" w:val="22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12/31/1980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They didn’t see each other after this argument until December 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when he showed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85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 at her house with a bottle of wine and suggested they talk things out.  Sharon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that during intercourse he put his hands around her neck so that she could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barely breathe.  She claims he told her he was going to kill her, he even brought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 but it turned out to be an air gun. She pushed him down the stairs to try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 from this now-violent man.  After falling down the stairs he snapped back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old self and began to apologize after he saw her bleeding and realized it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of him.  On the way to the hospital he told her again that he had meant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her. </w:t>
            </w:r>
          </w:p>
        </w:tc>
      </w:tr>
      <w:tr>
        <w:trPr>
          <w:trHeight w:hRule="exact" w:val="184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03/06/1981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meets Jean Bradford, 37, who ran a ladies knitwear shop.  He enters the shop.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Jean was the only one there with her 17-month-old son.  He held a handkerchief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face appearing to have a runny nose.  John then pulled a knife on her, threatened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hurt her son, and used very vulgar language while threatening them; asked for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money she had.  Her mother comes into the store; he rapes Jean in front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son.  Jean’s husband comes to the front door of the store &amp; John tries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out the back when he arrives at the store.  They report the attack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immediately after this.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03/14/1981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questioned about the attacks on Sharon Major.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06/26/1981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received a jail sentence of 8 years-5 years for the rape and 3 years for stealing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money and stealing a car (which he took after quitting at the car dealership). </w:t>
            </w:r>
          </w:p>
        </w:tc>
      </w:tr>
      <w:tr>
        <w:trPr>
          <w:trHeight w:hRule="exact" w:val="46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transferred to Horfield prison, Bristol.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moved to The Verne, a semi-open prison at Portland, Dorset.  His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came to visit him 2 days after he arrived there, it was the last time he saw his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was terminally ill with cancer at the time of his visit.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John’s father passed away but they had exchanged attempts to make peace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each other when he visited John in prison.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01/25/1986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sent to Wormwood Scrubs prison in a pre-release scheme; this lasted for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and provided him some freedom although he was still in custody. </w:t>
            </w:r>
          </w:p>
        </w:tc>
      </w:tr>
      <w:tr>
        <w:trPr>
          <w:trHeight w:hRule="exact" w:val="162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05/03/1986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Sandra Court was strangled to death.  She was last seen in Lansdowne, near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Bournemouth around 3 a.m. John was also in Bournemouth on this night.  A letter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sent to the police after the discovery of the body, the handwriting appeared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disguised as someone left handed who was writing with their right hand (John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left handed).  John was questioned about this murder.  John still claims to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 this woman and there was no concrete evidence tying him to this crime so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charged with the crime, only questioned about it.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released from prison. </w:t>
            </w:r>
          </w:p>
        </w:tc>
      </w:tr>
      <w:tr>
        <w:trPr>
          <w:trHeight w:hRule="exact" w:val="230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07/28/1986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woman, Suzy Lamplugh, disappears from west London, John was later suspected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this crime.  She was a 25 year old real estate agent.  She was scheduled to meet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“Mr. Kipper” to show him some property; she never returned to work that day. 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car, a white Ford Fiesta, was later found a mile from the street the property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showing was located.  The car was badly parked, handbrake off, driver’s door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unlocked, purse still in the car indicating she left in a hurry or was forced to leave.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Witnesses also recalled seeing a mid-1970s dark blue BMW, the type of car John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drove, parked at the location of the property that day.  John conveniently doesn’t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recall what he was doing this day.  Nothing solidly links him to the crime other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hearsay.  He still denies having any involvement with this woman’s disappearance. </w:t>
            </w:r>
          </w:p>
        </w:tc>
      </w:tr>
      <w:tr>
        <w:trPr>
          <w:trHeight w:hRule="exact" w:val="115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up with Annabel, his solicitor that was working for a law firm in the city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advised John about his rights to his daughter while he was in prison again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rape.  He claims they had chemistry from the moment they met.  They had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consensual sex after drinks.  Later that month John attempted suicide by taking 68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paracetamol tablets. </w:t>
            </w:r>
          </w:p>
        </w:tc>
      </w:tr>
      <w:tr>
        <w:trPr>
          <w:trHeight w:hRule="exact" w:val="22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10/06/1986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Donna Tucker got into a tiff with her husband; went for a drive to give him some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space, parked under a street lamp to read her book.  She saw a man walk back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forth past her car, eventually he stopped to ask for directions.  He asked for a map,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she was looking for it the man opened the car door and held a knife to her.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her, also had anal sex with her.  She and her husband reported the incident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who began a search for the rapist.  John was suspected as the rapist.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questioned about the rape of Donna Tucker; but throughout the interview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denied everything and was not ever convicted for the crime due to lack of evidence.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11/30/1986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moves back in with his mother in Sutton Coldfield. </w:t>
            </w:r>
          </w:p>
        </w:tc>
      </w:tr>
      <w:tr>
        <w:trPr>
          <w:trHeight w:hRule="exact" w:val="69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meets Gilly Paige – 24 year old showgirl.  Gilly was on an iceskating tour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ended their relationship.  He was still with Annabel at the time he met Gilly.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threatened Gilly as well.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08/18/1987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relationship with Annabel ended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09/11/1987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meets Marija Vilcins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09/13/1987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Takes Marija on a date &amp; meets her mother, uses his charm on both of them.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signed up at a video-dating agency; gave a fake name of John Peterson;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requested a girl between 25 and 35, with stunning good looks and be in great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 shape; owners of the agency felt there was something not quite right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so they didn’t even release his video to be viewed by other daters.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10/07/1987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Julia Holman walks to her car alone, a man attempts to force himself into her car;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able to fight him off.  Police suspect John Cannan of being the attacker. </w:t>
            </w:r>
          </w:p>
        </w:tc>
      </w:tr>
      <w:tr>
        <w:trPr>
          <w:trHeight w:hRule="exact" w:val="116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10/08/1987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Shirley Banks, 38, tells her husband that after she is going to look for a new dress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never returned.  Her husband started to get worried when she didn’t return.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Shirley called in to work complaining that she was sick and wouldn’t be there;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in her office didn’t know she was not at home or else they would have held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on the line. </w:t>
            </w:r>
          </w:p>
        </w:tc>
      </w:tr>
      <w:tr>
        <w:trPr>
          <w:trHeight w:hRule="exact" w:val="1158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10/29/1987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arrested after entering Carmel Cleary’s store and pulling a knife on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another woman.  He ran out of the store as another man entered to try to help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girls.  He was chased down the street and dropped some plastic bags along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way.  The police went through these and found the knife as well as a jacket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blood on it.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10/30/1987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charged with the abduction of Shirley Banks.  John was very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uncooperative; and believed that the information he withheld is what put him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control.  He spent 17 days in police custody being questioned because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stubbornness in answering the questions asked of him.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11/05/1987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a police lineup Holman positively identified the attacker as John Cannan.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charged with attempted kidnap. </w:t>
            </w:r>
          </w:p>
        </w:tc>
      </w:tr>
      <w:tr>
        <w:trPr>
          <w:trHeight w:hRule="exact" w:val="466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11/09/1987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decide not to formally charge him with kidnapping Shirley Banks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seeing the lack of evidence. </w:t>
            </w:r>
          </w:p>
        </w:tc>
      </w:tr>
      <w:tr>
        <w:trPr>
          <w:trHeight w:hRule="exact" w:val="93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12/22/1987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is questioned for the last time about Shirley; her thumbprint was found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flat indicating that he was lying about not knowing her and their relationship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more than just an acquaintance because she had been to his flat; at 3:16 p.m.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murder of Shirley Anne Banks. </w:t>
            </w:r>
          </w:p>
        </w:tc>
      </w:tr>
      <w:tr>
        <w:trPr>
          <w:trHeight w:hRule="exact" w:val="116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04/03/1988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Basil &amp; Jill Hooper and their family went on a walk on Easter Sunday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discovered a decomposed body; it appeared to be Shirley Anne Banks. 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suffered severe head injuries which is what was believed to be the cause of death.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rock was found near where the body was which had her blonde hair on it.  It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determined that this is what was used to kill her. </w:t>
            </w:r>
          </w:p>
        </w:tc>
      </w:tr>
      <w:tr>
        <w:trPr>
          <w:trHeight w:hRule="exact" w:val="1830"/>
        </w:trPr>
        <w:tc>
          <w:tcPr>
            <w:tcW w:type="dxa" w:w="12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07/14/1988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4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824" w:right="144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charged with: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-Having sex with Sharon Major without her consent on December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-Attempting to commit buggery on Sharon Major on December 30, 1980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-Making an indecent assault on Sharon Major on December 30, 1980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-Causing grievous bodily harm on Sharon Major on December 30, 1980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-Raping Donna Tucker on October 6, 1986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-Committing buggery on Donna Tucker on October 6, 1986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38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-Indecently assaulting Donna Tucker on October 6, 1986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-took Donna Tucker away against her will and by force with the intention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would have unlawful sex with him on October 6, 1986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-Attempting to forcibly abduct and take away Julia Holman on October 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-attempting to take Julia Holman away against her will and by force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intention that she would have unlawful sex with him on October 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-between October 7-31, 1987 he stole a car that was the property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Shirley Anne Banks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-October 8, 1987 - forcibly abducting and carrying away Shirley Anne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Banks against her will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-October 8, 1987 – taking Shirley Anne Banks away against her will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force with the intention that she would have unlawful sex with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-Between October 7-31, 1987 murdering Shirley Anne Banks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-October 29, 1987 – assaulting Carmel Cleary with the intention to rob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-October 29, 1987 – detaining Carmel Cleary against her will and by force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the intention that she should have unlawful sex with him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04/26/1989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was found guilty of all charges and was sentenced to life in prison.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07/23/1991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appealed the conviction but was rejected.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Suspected, 1 convicted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England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West England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Bristol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&amp; disorganized lust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5’6-5’10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20, 1954 </w:t>
            </w:r>
          </w:p>
        </w:tc>
      </w:tr>
      <w:tr>
        <w:trPr>
          <w:trHeight w:hRule="exact" w:val="236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UK Sutton Coldfield, Worwickshire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2nd of 3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born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indecent assault, left at 17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beat him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harshly criticized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7/8 years old - Teacher touched him &amp; had him do some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Air force, Car Salesman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or 8 </w:t>
            </w:r>
          </w:p>
        </w:tc>
      </w:tr>
      <w:tr>
        <w:trPr>
          <w:trHeight w:hRule="exact" w:val="2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at age 17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certificates of secondary education and 3 ordinary level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general certificates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3 years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Merchant Navy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 salesman, Handyman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1daughter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deserted his wife and daughter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Self, lived with current girlfriend at some points in his life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Rape, Abduction, Sexual Assault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when he killed the only woman he was convicted for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 8, 1987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was his only killing he was ever convicted of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Females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by trauma to the head (a rock was used)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rock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&amp; disorganized lust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at the property she was showing him.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the river by the piece of property she was showing him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left by the river naked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22, 1987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26, 1989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Wakefield prison in Wakefield, West Yorkshire, England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98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6" w:after="132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428"/>
              <w:gridCol w:w="4428"/>
            </w:tblGrid>
            <w:tr>
              <w:trPr>
                <w:trHeight w:hRule="exact" w:val="3434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70" w:after="0"/>
                    <w:ind w:left="144" w:right="12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58" w:after="0"/>
                    <w:ind w:left="0" w:right="12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90" w:after="0"/>
                    <w:ind w:left="0" w:right="12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60" w:after="0"/>
                    <w:ind w:left="0" w:right="12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8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6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Berry-Dee, C., &amp; Odell, R. (1992).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Ladykiller.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London: True Crime.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24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Fingerprint was key to conviction: John Cannan (1989).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The Independent,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4.  Retrieved September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16, 2008, from LexisNexis database.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24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Carter, H. Lamplugh suspect denies playing games with police: Convicted killer claims he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victim of trial by media (2002). 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The Guardian (London),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 12.  Retrieved September 16, 2008 from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LexisNexis database. </w:t>
                  </w:r>
                </w:p>
                <w:p>
                  <w:pPr>
                    <w:autoSpaceDN w:val="0"/>
                    <w:autoSpaceDE w:val="0"/>
                    <w:widowControl/>
                    <w:spacing w:line="228" w:lineRule="exact" w:before="248" w:after="0"/>
                    <w:ind w:left="14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Kirby, T. Murderer denies killing Lamplugh (1991).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The Independent (London),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3. Retrieved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November 11, 2008 from LexisNexis database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228" w:lineRule="exact" w:before="248" w:after="0"/>
                    <w:ind w:left="14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Killer denies Suzy murder (2002). 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The Express,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40.  Retrieved November 11, 2008 from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LexisNexis database.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364" w:after="19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References that didn’t yield information: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428"/>
              <w:gridCol w:w="4428"/>
            </w:tblGrid>
            <w:tr>
              <w:trPr>
                <w:trHeight w:hRule="exact" w:val="201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0" w:after="0"/>
                    <w:ind w:left="240" w:right="128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6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82" w:after="0"/>
                    <w:ind w:left="140" w:right="172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http://www.crimelibrary.com/serialkillers.htm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www.geocities.com/serialkillers101/uskillerindex.html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http://www.mayhem.net/Crime/serial1.html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http://www.angelfire.com/oh/yodaspage/more.html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Radford University Library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Radford Public Library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Virginia Tech Library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EBSCO Database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