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4604"/>
        </w:trPr>
        <w:tc>
          <w:tcPr>
            <w:tcW w:type="dxa" w:w="443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164" w:after="0"/>
              <w:ind w:left="720" w:right="72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52"/>
              </w:rPr>
              <w:t xml:space="preserve">Juan Corona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8"/>
              </w:rPr>
              <w:t xml:space="preserve">“The Machete Murderer” </w:t>
            </w:r>
          </w:p>
        </w:tc>
        <w:tc>
          <w:tcPr>
            <w:tcW w:type="dxa" w:w="44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385060" cy="291591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060" cy="29159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908"/>
        </w:trPr>
        <w:tc>
          <w:tcPr>
            <w:tcW w:type="dxa" w:w="8856"/>
            <w:gridSpan w:val="4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90" w:after="0"/>
              <w:ind w:left="2304" w:right="216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Tamie Boegner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Holly Brickey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Melissa Bowles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Doug Crowder </w:t>
            </w:r>
          </w:p>
          <w:p>
            <w:pPr>
              <w:autoSpaceDN w:val="0"/>
              <w:autoSpaceDE w:val="0"/>
              <w:widowControl/>
              <w:spacing w:line="230" w:lineRule="exact" w:before="272" w:after="0"/>
              <w:ind w:left="3312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6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38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0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1934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Mexico.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1944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</w:t>
            </w:r>
          </w:p>
        </w:tc>
        <w:tc>
          <w:tcPr>
            <w:tcW w:type="dxa" w:w="70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Brother, Natividad, comes to America when WWII draft strapped California of its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cheap labor.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3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1950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70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Following the footsteps of older brothers Natividad and Felix, Juan came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California by slipping across the border from his native Autlan illegally. Juan picked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carrots and melons in the Imperial Valley for three months before following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crops north to the Sacramento Valley.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1953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70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his brother’s suggestion, Juan returned to the Marysville-Yuba City area.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1953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70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Juan met and married his first wife in Reno.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1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23/24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1955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70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 storm caused rain for two weeks.  The rain swollen Yuba and Feather Rivers tore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2200 feet gap in the west levee near Shanghai Bend.  38 people drowned in the first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rush of water, which flooded 150 square miles.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flood had a strange effect on Juan.  Juan believed everyone had died in the flood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858" w:right="1440" w:bottom="7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47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that he was living in a land of ghosts. Juan spent most of his free time during this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period reading the Bible. </w:t>
            </w:r>
          </w:p>
        </w:tc>
      </w:tr>
      <w:tr>
        <w:trPr>
          <w:trHeight w:hRule="exact" w:val="70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1956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being returned by his brother to Mexico, Juan returns to the United States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legally with a green card to work. Juan now gives up drinking. </w:t>
            </w:r>
          </w:p>
        </w:tc>
      </w:tr>
      <w:tr>
        <w:trPr>
          <w:trHeight w:hRule="exact" w:val="46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01-11-56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Natividad filed a petition in Yuba County Superior Court asking that his half brother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 committed to a mental hospital.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01-17-56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Juan was admitted to DeWitt State Hospital in Auburn, California and diagnosed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schizophrenic. (“schizophrenic reaction, paranoid type”) </w:t>
            </w:r>
          </w:p>
        </w:tc>
      </w:tr>
      <w:tr>
        <w:trPr>
          <w:trHeight w:hRule="exact" w:val="47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01-18-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1956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Without anesthesia, first shock treatment was administered, followed by 22 others. </w:t>
            </w:r>
          </w:p>
        </w:tc>
      </w:tr>
      <w:tr>
        <w:trPr>
          <w:trHeight w:hRule="exact" w:val="46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1957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Corona met a friend, Ms. Lillard, at a snack bar saying he was “sick in the head, call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doctor, call the police”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1958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Saw Mrs. Lillard again in town saying he was troubled, still sick and thinks bad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things.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1958 </w:t>
            </w:r>
          </w:p>
        </w:tc>
        <w:tc>
          <w:tcPr>
            <w:tcW w:type="dxa" w:w="7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Relationship with brother Natividad grows apart.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1960 </w:t>
            </w:r>
          </w:p>
        </w:tc>
        <w:tc>
          <w:tcPr>
            <w:tcW w:type="dxa" w:w="7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706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Birth of his oldest girl Martha and new marriage to Gloria Moreno.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2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6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1962-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1963 </w:t>
            </w:r>
          </w:p>
        </w:tc>
        <w:tc>
          <w:tcPr>
            <w:tcW w:type="dxa" w:w="7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28-29 </w:t>
            </w:r>
          </w:p>
        </w:tc>
        <w:tc>
          <w:tcPr>
            <w:tcW w:type="dxa" w:w="706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Mrs. Lillard, accompanied him after he asked her to bury “wino garbage” with him;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when he was done it was breaking day and he didn’t want her to leave because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scared that she would go tell his brothers…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1965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Gloria Corona came to Mrs. Lillard saying Juan was “sick”…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1966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Corona obtained the contract for the Sullivan ranch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Summer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1969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“Roughed up” Riley Smith after Smith was sent by a credit firm to inspect vehicles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 the ranch because he was angry at some of the questions Smith had asked him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Fall 1969 </w:t>
            </w:r>
          </w:p>
        </w:tc>
        <w:tc>
          <w:tcPr>
            <w:tcW w:type="dxa" w:w="7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706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Corona provided a crew to pick olives on the Johnson ranch (which was located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adjacent to the slough where a body was found.)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2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2-25-70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Romero Raya was discovered in the rest room of Natividad Corona’s café at 1:00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a.m.  He had been hacked about the face and head.  Natividad Corona called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police.  It was Juan’s younger half brother Natividad who did it, he had a mental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breakdown.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1970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Juan was committed to Dewitt State Hospital </w:t>
            </w:r>
          </w:p>
        </w:tc>
      </w:tr>
      <w:tr>
        <w:trPr>
          <w:trHeight w:hRule="exact" w:val="704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1971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little farm work available Juan had for the first time in his life applied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welfare.  The application had been turned down because he had too many assets; 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houses and some cash in the bank. </w:t>
            </w:r>
          </w:p>
        </w:tc>
      </w:tr>
      <w:tr>
        <w:trPr>
          <w:trHeight w:hRule="exact" w:val="69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05-20-71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hole in the orchard of Kagehlro (a rancher) uncovered by deputy sheriff Steve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Sizelove.  The victim was Kennith Whitacre he had been stabbed in the left side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chest, and the back of his head cleaved open at least twice.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30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05-25-71 </w:t>
            </w:r>
          </w:p>
        </w:tc>
        <w:tc>
          <w:tcPr>
            <w:tcW w:type="dxa" w:w="7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706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bodies uncovered in the Louise orchard; police found paper receipts made out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Juan Corona on the bodies.  Many of the bodies were discovered with their shirts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pulled up over their face and arms and without pants; they had also been slashed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back of the head.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0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5-26-71 </w:t>
            </w:r>
          </w:p>
        </w:tc>
        <w:tc>
          <w:tcPr>
            <w:tcW w:type="dxa" w:w="7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706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Judge Hauck signed a warrant to search the bunkhouse at the Sullivan Ranch as well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116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 the house and the garage.  Deputies confiscated knives from the kitchen, clothes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from the house and garage and an array of tools.  27 items were booked as evidence.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Captain Little john and Detective Purcell placed Corona under arrest based on 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counts and the evidence seized.  Victims 10, 11, and 12 were also uncovered this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day.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5-27-71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Victims 13-23 were uncovered.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6-2-71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last two victims #24&amp; #25 were uncovered, all the victims had been migrant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workers; two crumpled Bank of America slips with Juan Corona’s name and address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printed on them accompanied the bodies.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6-13-71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Richard Hawk met with Juan Corona, Hawk became Corona’s new attorney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earned the name El Gavilan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0"/>
        </w:trPr>
        <w:tc>
          <w:tcPr>
            <w:tcW w:type="dxa" w:w="1072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6-18-71 </w:t>
            </w:r>
          </w:p>
        </w:tc>
        <w:tc>
          <w:tcPr>
            <w:tcW w:type="dxa" w:w="7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706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Corona began to suffer chest pains in his cell; he was rushed to Sutter General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Hospital.  It was assumed that Corona had a heart attack.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7-12-71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6 separate sessions during the preceding 12 days Corona was indicted on 25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counts of first degree murder.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8-7-71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Corona complained of chest pains again and was taken to the hospital and diagnosed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a coronary insufficiency, his heart muscles were not getting enough blood.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0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8-October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1, 1971 </w:t>
            </w:r>
          </w:p>
        </w:tc>
        <w:tc>
          <w:tcPr>
            <w:tcW w:type="dxa" w:w="7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706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Hawk went to court to seek a change of venue for Corona.  The hearing lasted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weeks.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1-14-72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Corona and Hawk signed a contract giving Hawk exclusive book, TV. and movie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rights to the “Juan Corona Story”.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0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4-13-72 </w:t>
            </w:r>
          </w:p>
        </w:tc>
        <w:tc>
          <w:tcPr>
            <w:tcW w:type="dxa" w:w="7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706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court of appeals granted Hawks writ of mandate that the trial be moved out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Sutter County because it is not possible for the defendant to receive a fair trail there.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9-11-72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trial began in the Solano County courthouse in Fairfield, CA, more than an hour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from Yuba City. Jury selection took several weeks, and the trial itself another three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months.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1973 </w:t>
            </w:r>
          </w:p>
        </w:tc>
        <w:tc>
          <w:tcPr>
            <w:tcW w:type="dxa" w:w="7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706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jury convicted Corona of all 25 counts of first-degree murder, more than anyone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America to date.  Corona received 25 life sentences, with the possibility of parole.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1973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Hawk published a book on the Corona case “Burden of Proof”.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7-30-74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Juan’s wife Gloria was granted a divorce.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9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1978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</w:t>
            </w:r>
          </w:p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Corona's appeal was upheld and he set out to try to prove the lawyers during his first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trial were inept because they never used his schizophrenia to plead insanity. He also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pointed the finger to his brother as being the real killer.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1982 </w:t>
            </w:r>
          </w:p>
        </w:tc>
        <w:tc>
          <w:tcPr>
            <w:tcW w:type="dxa" w:w="7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706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Courts upheld the original guilty verdict.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1982 </w:t>
            </w:r>
          </w:p>
        </w:tc>
        <w:tc>
          <w:tcPr>
            <w:tcW w:type="dxa" w:w="7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706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Corona was involved in a prison fight. He received 32 razor cuts and also lost an eye.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Supposedly other inmates attacked Corona. </w:t>
            </w:r>
          </w:p>
        </w:tc>
      </w:tr>
      <w:tr>
        <w:trPr>
          <w:trHeight w:hRule="exact" w:val="22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93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1980s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Prison guard referred to Corona as a loner who was never accepted by other inmates.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spent a lot of time in isolation and although he bragged a lot seemed to fear 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inmates. Other inmates looked at Corona as if he were “slime” according to one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guard. </w:t>
            </w:r>
          </w:p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Today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71 </w:t>
            </w:r>
          </w:p>
        </w:tc>
        <w:tc>
          <w:tcPr>
            <w:tcW w:type="dxa" w:w="70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Juan Corona is alive and lives in Corcoran State Prison. </w:t>
            </w:r>
          </w:p>
        </w:tc>
      </w:tr>
      <w:tr>
        <w:trPr>
          <w:trHeight w:hRule="exact" w:val="378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Hispanic </w:t>
            </w:r>
          </w:p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California </w:t>
            </w:r>
          </w:p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Lust </w:t>
            </w:r>
          </w:p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8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1934 </w:t>
            </w:r>
          </w:p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Mexico </w:t>
            </w:r>
          </w:p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355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6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rd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3 older brothers; One of which was a  half-brother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(Natividad and Felix) </w:t>
            </w:r>
          </w:p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3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3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3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3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3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Younger half-brother Natividad killed a man in his café. </w:t>
            </w:r>
          </w:p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3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3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3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3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3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3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355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3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576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Unknown. Possible abnormalities stemming from shock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therapy. </w:t>
            </w:r>
          </w:p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355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130 </w:t>
            </w:r>
          </w:p>
        </w:tc>
      </w:tr>
      <w:tr>
        <w:trPr>
          <w:trHeight w:hRule="exact" w:val="298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0"/>
        </w:trPr>
        <w:tc>
          <w:tcPr>
            <w:tcW w:type="dxa" w:w="355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432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Migrant farm worker who worked his way up through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ranks </w:t>
            </w:r>
          </w:p>
        </w:tc>
      </w:tr>
      <w:tr>
        <w:trPr>
          <w:trHeight w:hRule="exact" w:val="468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Employed as a labor contractor providing area ranchers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cheap labor. </w:t>
            </w:r>
          </w:p>
        </w:tc>
      </w:tr>
      <w:tr>
        <w:trPr>
          <w:trHeight w:hRule="exact" w:val="342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Bi-sexual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Married; Divorced once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Daughters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Spouse and children </w:t>
            </w:r>
          </w:p>
        </w:tc>
      </w:tr>
      <w:tr>
        <w:trPr>
          <w:trHeight w:hRule="exact" w:val="362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but quit in 1956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Schizophrenic </w:t>
            </w:r>
          </w:p>
        </w:tc>
      </w:tr>
      <w:tr>
        <w:trPr>
          <w:trHeight w:hRule="exact" w:val="42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</w:tr>
      <w:tr>
        <w:trPr>
          <w:trHeight w:hRule="exact" w:val="47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432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Elderly alcoholics, social drop outs, and other misfits who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worked as ranch-hands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38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40-68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Stabbed in the chest and hacked about the back of the head.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Walking distance, drove to crime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Machete, knife the serial killer brought with him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Sexually molested male victims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2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 victim’s faces were covered by their shirts.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Their shirts were pulled up over their face and arms and pants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were either pulled down or they were pant less.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355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30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30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30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30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30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3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Buried on neighboring farms near workplace/homeplace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3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Cut, but not excessively chopped.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3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3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3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1971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3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1973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3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life sentences with chance of parole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3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3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3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3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Corcoran State Prison, California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3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3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No. Killer was assaulted in prison. </w:t>
            </w:r>
          </w:p>
        </w:tc>
      </w:tr>
      <w:tr>
        <w:trPr>
          <w:trHeight w:hRule="exact" w:val="240"/>
        </w:trPr>
        <w:tc>
          <w:tcPr>
            <w:tcW w:type="dxa" w:w="355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3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Still alive </w:t>
            </w:r>
          </w:p>
        </w:tc>
      </w:tr>
      <w:tr>
        <w:trPr>
          <w:trHeight w:hRule="exact" w:val="3532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64" w:val="left"/>
              </w:tabs>
              <w:autoSpaceDE w:val="0"/>
              <w:widowControl/>
              <w:spacing w:line="442" w:lineRule="exact" w:before="140" w:after="0"/>
              <w:ind w:left="104" w:right="2304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Cray, Ed (1973).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Burden of proof: The Case of Juan Corona.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NY: Macmillian. </w:t>
            </w:r>
          </w:p>
          <w:p>
            <w:pPr>
              <w:autoSpaceDN w:val="0"/>
              <w:autoSpaceDE w:val="0"/>
              <w:widowControl/>
              <w:spacing w:line="266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Talbitzer, Bill (1978).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Too much blood.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NY: Vantage Press. </w:t>
            </w:r>
          </w:p>
          <w:p>
            <w:pPr>
              <w:autoSpaceDN w:val="0"/>
              <w:autoSpaceDE w:val="0"/>
              <w:widowControl/>
              <w:spacing w:line="268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Villasenor, Victor (1997).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Jury: The people vs. Juan Corona.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Boston: Little Brown. </w:t>
            </w:r>
          </w:p>
          <w:p>
            <w:pPr>
              <w:autoSpaceDN w:val="0"/>
              <w:autoSpaceDE w:val="0"/>
              <w:widowControl/>
              <w:spacing w:line="268" w:lineRule="exact" w:before="19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Juan Corona: The Machete Murderer.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Retrieved October 2005.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http://www.francesfarmersrevenge.com/stuff/serialkillers/corona.htm. </w:t>
            </w:r>
          </w:p>
          <w:p>
            <w:pPr>
              <w:autoSpaceDN w:val="0"/>
              <w:autoSpaceDE w:val="0"/>
              <w:widowControl/>
              <w:spacing w:line="268" w:lineRule="exact" w:before="19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Crime/Punishment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(2005). Retrieved October 2005.  http://crime.about.com/od/serial/p/cornoa.htm.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