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948"/>
        <w:gridCol w:w="1948"/>
        <w:gridCol w:w="1948"/>
        <w:gridCol w:w="1948"/>
        <w:gridCol w:w="1948"/>
      </w:tblGrid>
      <w:tr>
        <w:trPr>
          <w:trHeight w:hRule="exact" w:val="3388"/>
        </w:trPr>
        <w:tc>
          <w:tcPr>
            <w:tcW w:type="dxa" w:w="5400"/>
            <w:gridSpan w:val="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56" w:val="left"/>
              </w:tabs>
              <w:autoSpaceDE w:val="0"/>
              <w:widowControl/>
              <w:spacing w:line="340" w:lineRule="exact" w:before="1368" w:after="0"/>
              <w:ind w:left="41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FF"/>
                <w:sz w:val="36"/>
              </w:rPr>
              <w:t xml:space="preserve">Edward Theodore Gein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FF"/>
                <w:sz w:val="28"/>
              </w:rPr>
              <w:t xml:space="preserve">“American Psycho” </w:t>
            </w:r>
          </w:p>
        </w:tc>
        <w:tc>
          <w:tcPr>
            <w:tcW w:type="dxa" w:w="413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350769" cy="21437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769" cy="2143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596"/>
        </w:trPr>
        <w:tc>
          <w:tcPr>
            <w:tcW w:type="dxa" w:w="9532"/>
            <w:gridSpan w:val="5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24" w:after="0"/>
              <w:ind w:left="1296" w:right="129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Information summarized by Radford University students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Brandie Jenkins, Amanda Clark, Cathleen Duncan, &amp; Lacey Robinson </w:t>
            </w:r>
          </w:p>
          <w:p>
            <w:pPr>
              <w:autoSpaceDN w:val="0"/>
              <w:autoSpaceDE w:val="0"/>
              <w:widowControl/>
              <w:spacing w:line="270" w:lineRule="exact" w:before="300" w:after="0"/>
              <w:ind w:left="432" w:right="43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killer researched by Radford University students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Natkai Akbar, Ryan Cassell, Jody Conger, Chris Cousins, Nathan Fancher, Ben Garner,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Tabitha D. Hartley, Kelly Montgomery, Amanda Pfeiffer, Catherine Plummer, Heather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Saloman, Lesley Wallace, Kelly Wilbourne, and Brad Winkelmann </w:t>
            </w:r>
          </w:p>
          <w:p>
            <w:pPr>
              <w:autoSpaceDN w:val="0"/>
              <w:autoSpaceDE w:val="0"/>
              <w:widowControl/>
              <w:spacing w:line="276" w:lineRule="exact" w:before="278" w:after="0"/>
              <w:ind w:left="3456" w:right="331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Radford, VA  24142-6946 </w:t>
            </w:r>
          </w:p>
        </w:tc>
      </w:tr>
      <w:tr>
        <w:trPr>
          <w:trHeight w:hRule="exact" w:val="288"/>
        </w:trPr>
        <w:tc>
          <w:tcPr>
            <w:tcW w:type="dxa" w:w="9532"/>
            <w:gridSpan w:val="5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14999" cy="4572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9" cy="457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1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Year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38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1876 </w:t>
            </w:r>
          </w:p>
        </w:tc>
        <w:tc>
          <w:tcPr>
            <w:tcW w:type="dxa" w:w="748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Ed, father George Gein was born </w:t>
            </w:r>
          </w:p>
        </w:tc>
      </w:tr>
      <w:tr>
        <w:trPr>
          <w:trHeight w:hRule="exact" w:val="38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1900 </w:t>
            </w:r>
          </w:p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father (George) and mother (Augusta) were married. </w:t>
            </w:r>
          </w:p>
        </w:tc>
      </w:tr>
      <w:tr>
        <w:trPr>
          <w:trHeight w:hRule="exact" w:val="38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17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1902 </w:t>
            </w:r>
          </w:p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older brother Henry was born </w:t>
            </w:r>
          </w:p>
        </w:tc>
      </w:tr>
      <w:tr>
        <w:trPr>
          <w:trHeight w:hRule="exact" w:val="38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February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1902 </w:t>
            </w:r>
          </w:p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father is out of work </w:t>
            </w:r>
          </w:p>
        </w:tc>
      </w:tr>
      <w:tr>
        <w:trPr>
          <w:trHeight w:hRule="exact" w:val="111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27 </w:t>
            </w:r>
          </w:p>
        </w:tc>
        <w:tc>
          <w:tcPr>
            <w:tcW w:type="dxa" w:w="93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1906 </w:t>
            </w:r>
          </w:p>
        </w:tc>
        <w:tc>
          <w:tcPr>
            <w:tcW w:type="dxa" w:w="748"/>
            <w:vMerge w:val="restart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Edward Theodore Gein (Ed) was born to Augusta and George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Gein in La Crosse, Wisconsin. A growth on his left eyelid caused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to have a “lazy” eye. Ed was the younger of two sons.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first born, Henry, was 5 years older. </w:t>
            </w:r>
          </w:p>
        </w:tc>
      </w:tr>
      <w:tr>
        <w:trPr>
          <w:trHeight w:hRule="exact" w:val="83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George Gein was an abusive alcoholic who worked periodically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 a carpenter, a tanner, and a farmer. Augusta was a fanatically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religious woman. </w:t>
            </w:r>
          </w:p>
        </w:tc>
      </w:tr>
      <w:tr>
        <w:trPr>
          <w:trHeight w:hRule="exact" w:val="838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948"/>
            <w:vMerge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Augusta supported the family through a successful grocery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business. She despised George, felt he was worthless, and gave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 no part in raising the two boys. </w:t>
            </w:r>
          </w:p>
        </w:tc>
      </w:tr>
      <w:tr>
        <w:trPr>
          <w:trHeight w:hRule="exact" w:val="54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1913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6538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witnesses his parents slaughter a hog in the shed behind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family store. Ed experienced an ejaculation upon viewing this.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62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4"/>
        <w:gridCol w:w="2434"/>
        <w:gridCol w:w="2434"/>
        <w:gridCol w:w="2434"/>
      </w:tblGrid>
      <w:tr>
        <w:trPr>
          <w:trHeight w:hRule="exact" w:val="134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Geins moved to Plainfield, Wisconsin, to a 195 acre farm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because Augusta wanted to move away from the immorality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city and the sinners that inhabited it. The closest neighbors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were almost a mile away. </w:t>
            </w:r>
          </w:p>
        </w:tc>
      </w:tr>
      <w:tr>
        <w:trPr>
          <w:trHeight w:hRule="exact" w:val="2770"/>
        </w:trPr>
        <w:tc>
          <w:tcPr>
            <w:tcW w:type="dxa" w:w="1314"/>
            <w:vMerge w:val="restart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and Henry began school at Roche-a-Cri grade school, a tiny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one-room building with 12 students. Ed was average at school,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but an excellent reader. Ed was shunned and isolated at school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because of his lazy eye and his shyness. He also had a lesion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tongue that caused him to speak a bit weird. Augusta severely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punished Ed when he did attempt to make friends. Augusta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verbally abused both boys, believing they were destined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become failures like their father.  Ed would come home crying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kids making fun of him and his alcoholic father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repeatedly beat him in the head till his ears started ringing. </w:t>
            </w:r>
          </w:p>
        </w:tc>
      </w:tr>
      <w:tr>
        <w:trPr>
          <w:trHeight w:hRule="exact" w:val="720"/>
        </w:trPr>
        <w:tc>
          <w:tcPr>
            <w:tcW w:type="dxa" w:w="2434"/>
            <w:vMerge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1918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caught by his mother masturbating in the bathtub. 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grabbed his genitals and called them the “curse of man”.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1920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graduated the eighth grade and then dropped out of school.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continued to be an avid reader though. </w:t>
            </w:r>
          </w:p>
        </w:tc>
      </w:tr>
      <w:tr>
        <w:trPr>
          <w:trHeight w:hRule="exact" w:val="28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Augusta made both her sons promise to always remain virgins. </w:t>
            </w:r>
          </w:p>
        </w:tc>
      </w:tr>
      <w:tr>
        <w:trPr>
          <w:trHeight w:hRule="exact" w:val="111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1937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George, Ed’s father, became a helpless invalid and was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completely dependent on his family that feared and hated him.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George was no help on the farm and drank away much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family earnings. </w:t>
            </w:r>
          </w:p>
        </w:tc>
      </w:tr>
      <w:tr>
        <w:trPr>
          <w:trHeight w:hRule="exact" w:val="1940"/>
        </w:trPr>
        <w:tc>
          <w:tcPr>
            <w:tcW w:type="dxa" w:w="131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April 1 </w:t>
            </w:r>
          </w:p>
        </w:tc>
        <w:tc>
          <w:tcPr>
            <w:tcW w:type="dxa" w:w="9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1940 </w:t>
            </w:r>
          </w:p>
        </w:tc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653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George died of pneumonic fluid on the lungs at age 66. Augusta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attributed his death to his weakness and referred often to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going to hell. Ed and Henry, 39, began to take on odd jobs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help support the family, mostly as handymen. Ed was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employed as a babysitter. He loved the company of children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because they were easier to relate to. Both Ed and Henry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considered trustworthy and reliable by the town’s people. </w:t>
            </w:r>
          </w:p>
        </w:tc>
      </w:tr>
      <w:tr>
        <w:trPr>
          <w:trHeight w:hRule="exact" w:val="139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1942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still eligible for the draft and had to travel to Milwaukee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a physical exam. He was rejected due to the growth on his left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eyelid, which slightly impaired his vision. This was the farthest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home he had ever been and the only time in his life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would travel so far. </w:t>
            </w:r>
          </w:p>
        </w:tc>
      </w:tr>
      <w:tr>
        <w:trPr>
          <w:trHeight w:hRule="exact" w:val="111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Henry, not sharing Ed’s worship of their mother, began to openly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criticize her. Henry was worried about what he perceived to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unhealthy attachment to her. This criticism shocked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mortified Ed. </w:t>
            </w:r>
          </w:p>
        </w:tc>
      </w:tr>
      <w:tr>
        <w:trPr>
          <w:trHeight w:hRule="exact" w:val="1648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16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Henry died a sudden death under mysterious circumstances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 of 43, while he and Ed were fighting a runaway fire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marshland near their home. Ed reported that he had been unable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locate Henry, but then led police directly to where he lay.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Apparent cause of death was not consistent with injuries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fire, Henry’s body had not been touched by the fire and his head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62" w:bottom="74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4"/>
        <w:gridCol w:w="2434"/>
        <w:gridCol w:w="2434"/>
        <w:gridCol w:w="2434"/>
      </w:tblGrid>
      <w:tr>
        <w:trPr>
          <w:trHeight w:hRule="exact" w:val="28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badly bruised. </w:t>
            </w:r>
          </w:p>
        </w:tc>
      </w:tr>
      <w:tr>
        <w:trPr>
          <w:trHeight w:hRule="exact" w:val="838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18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county corner listed Henry’s cause of death as asphyxiation.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police dismissed the notion of foul play. They did not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believe Ed was capable of killing someone. </w:t>
            </w:r>
          </w:p>
        </w:tc>
      </w:tr>
      <w:tr>
        <w:trPr>
          <w:trHeight w:hRule="exact" w:val="56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(Late)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Augusta became faint and sickly not long after Henry’s death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had to be hospitalized. Augusta had suffered her first stroke. </w:t>
            </w:r>
          </w:p>
        </w:tc>
      </w:tr>
      <w:tr>
        <w:trPr>
          <w:trHeight w:hRule="exact" w:val="83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1945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Augusta became worried about Ed’s reading, which included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head shrinking, grave robbing, and many books on human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anatomy. </w:t>
            </w:r>
          </w:p>
        </w:tc>
      </w:tr>
      <w:tr>
        <w:trPr>
          <w:trHeight w:hRule="exact" w:val="111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1945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Augusta died of complications from a second stroke at age 67. 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reacted by boarding up his mother’s bedroom and sitting room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preserved, museum style, as they had been when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alive. </w:t>
            </w:r>
          </w:p>
        </w:tc>
      </w:tr>
      <w:tr>
        <w:trPr>
          <w:trHeight w:hRule="exact" w:val="1390"/>
        </w:trPr>
        <w:tc>
          <w:tcPr>
            <w:tcW w:type="dxa" w:w="131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(Early)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1946 </w:t>
            </w:r>
          </w:p>
        </w:tc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653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already unkempt appearance degrades further, neighbors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comment on how bad ha smells. Ed continued to live on the farm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live off meager earnings form odd jobs. Ed then boarded up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all but two rooms in the house. They were never reopened again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until his arrest. </w:t>
            </w:r>
          </w:p>
        </w:tc>
      </w:tr>
      <w:tr>
        <w:trPr>
          <w:trHeight w:hRule="exact" w:val="166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Eighteen months after Augusta died, Ed, driven by intense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loneliness and what he later said to be strange visions, began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visit the cemetery were his mother was buried. After several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visits, he began to dig up corpses. The first body he dug up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that of his mother. Twisting her head off with his bare hands, 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took the head and shrunk it similar to the way his book spoke of.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May 1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8-year-old, Georgia Weckler disappeared without a trace, leaving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suspects and the only clue found was tire tracks of a ford. </w:t>
            </w:r>
          </w:p>
        </w:tc>
      </w:tr>
      <w:tr>
        <w:trPr>
          <w:trHeight w:hRule="exact" w:val="3044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1947-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1951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41-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began making nocturnal visits to as many as 40 cemeteries,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frequently leaving without any offense, but on at least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occasions Ed dug up the coffins of newly-buried middle-age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women. He had scouted these women out in the obituaries.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would take what he wanted then recover the violated graves. 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Besides masturbation, Ed denies ever having has a sexual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in his life and stated that he never had sex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cadavers because “they smelled too bad.” His cravings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compulsions still fall under the category of necrophilia.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increase in missing persons in the area began at this time as well,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stumping police. </w:t>
            </w:r>
          </w:p>
        </w:tc>
      </w:tr>
      <w:tr>
        <w:trPr>
          <w:trHeight w:hRule="exact" w:val="139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1951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visited a bar owned by Mary Hogan. She was a middle-aged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woman that looked much like Ed’s mother, but had a foul mouth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 trashy history. Ed was transfixed by her because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resemblance to his mother as well as the glaring difference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between the two. </w:t>
            </w:r>
          </w:p>
        </w:tc>
      </w:tr>
      <w:tr>
        <w:trPr>
          <w:trHeight w:hRule="exact" w:val="56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26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1951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dug up Eleanor Adams, a 51 year old woman who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buried earlier that day. </w:t>
            </w:r>
          </w:p>
        </w:tc>
      </w:tr>
      <w:tr>
        <w:trPr>
          <w:trHeight w:hRule="exact" w:val="542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1952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Victor “Bunk” Travis, age 42, and friend, Ray Burgess,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disappeared with the car after spending several hours at a local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62" w:bottom="78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4"/>
        <w:gridCol w:w="2434"/>
        <w:gridCol w:w="2434"/>
        <w:gridCol w:w="2434"/>
      </w:tblGrid>
      <w:tr>
        <w:trPr>
          <w:trHeight w:hRule="exact" w:val="84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bar in Plainfield. No trace of them or their car was ever found.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While kidnapping men was out of character for Ed Gein,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still suspect he had some role in their disappearance. </w:t>
            </w:r>
          </w:p>
        </w:tc>
      </w:tr>
      <w:tr>
        <w:trPr>
          <w:trHeight w:hRule="exact" w:val="166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October 24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1953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Evelyn Hartley, age 15, is abducted while baby-sitting for family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friends. Her father found signs of struggle, including her broken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eyeglasses, blood stains, and footprints. Her panties and bra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two miles southeast of La Crosse and four miles further,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bloody pair of man’s pants was found. Her body was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found. It is thought that Ed was responsible. </w:t>
            </w:r>
          </w:p>
        </w:tc>
      </w:tr>
      <w:tr>
        <w:trPr>
          <w:trHeight w:hRule="exact" w:val="1668"/>
        </w:trPr>
        <w:tc>
          <w:tcPr>
            <w:tcW w:type="dxa" w:w="1314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9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1954 </w:t>
            </w:r>
          </w:p>
        </w:tc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6538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Plainfield tavern owner, Mary Hogan, with whom Ed has earlier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been transfixed, disappeared from her establishment. Police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suspected foul play because of blood on the floor next to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empty bullet shell casing. Ed later revealed that he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hanging out with her, drinking a bit. He pulled the blinds, put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.22 caliber gun to her forehead and shot her. </w:t>
            </w:r>
          </w:p>
        </w:tc>
      </w:tr>
      <w:tr>
        <w:trPr>
          <w:trHeight w:hRule="exact" w:val="1116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day after the murder, while working with Elmo Ueeck,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admitted to killing her and said he had hung her up at his house.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Elmo dismissed Ed’s statement, not believing him. </w:t>
            </w:r>
          </w:p>
        </w:tc>
      </w:tr>
      <w:tr>
        <w:trPr>
          <w:trHeight w:hRule="exact" w:val="564"/>
        </w:trPr>
        <w:tc>
          <w:tcPr>
            <w:tcW w:type="dxa" w:w="131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9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inquired from Mrs. Worden and her son about the price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antifreeze. </w:t>
            </w:r>
          </w:p>
        </w:tc>
      </w:tr>
      <w:tr>
        <w:trPr>
          <w:trHeight w:hRule="exact" w:val="194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0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Owner of the local International Harvest Products shop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of Deputy Frank Worden, Bernice Worden, 58,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disappeared from her store. Sheriff Schley and Deputy Worden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found the cash register gone, blood on the floor, and a .22 caliber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rifle that was out of place on it’s rack upon arrival at the store.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also found a receipt for antifreeze made out to Eddie Gein,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last sale of the day. </w:t>
            </w:r>
          </w:p>
        </w:tc>
      </w:tr>
      <w:tr>
        <w:trPr>
          <w:trHeight w:hRule="exact" w:val="304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5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Sheriff Schley and Deputy Worden entered Ed Gein’s house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through the shed/ summer kitchen. Bernice Worden’s headless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corpse was found hanging upside down with her ankles lashed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wooden cross beam. She was split open from vagina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sternum, field dressed like a deer. In addition, the police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human skulls affixed to the posts of Ed’s bed, a box of organs,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furniture made out of bone and skin, and masks. The masks were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skin portion of the head that had been stripped away from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skull and preserved. Also found was a belt with breasts hanging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it and an entire “suit” made of pieced together skin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women, complete with a vest with breasts attached. </w:t>
            </w:r>
          </w:p>
        </w:tc>
      </w:tr>
      <w:tr>
        <w:trPr>
          <w:trHeight w:hRule="exact" w:val="838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remaining silent at first, Ed confessed to Killing Mary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Hogan and Bernice Worden. An autopsy report reveals that Mrs.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Worden died of a single gunshot wound to the back of the head.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search of the 195 acre farm property began and lasted over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week. </w:t>
            </w:r>
          </w:p>
        </w:tc>
      </w:tr>
      <w:tr>
        <w:trPr>
          <w:trHeight w:hRule="exact" w:val="54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Lie detector test results were released to the press. Ed was also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responsible for the disappearance of 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62" w:bottom="7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434"/>
        <w:gridCol w:w="2434"/>
        <w:gridCol w:w="2434"/>
        <w:gridCol w:w="2434"/>
      </w:tblGrid>
      <w:tr>
        <w:trPr>
          <w:trHeight w:hRule="exact" w:val="84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taken before a judge, technically being charged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robbery. The murder charge was held back in order to determine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sanity. </w:t>
            </w:r>
          </w:p>
        </w:tc>
      </w:tr>
      <w:tr>
        <w:trPr>
          <w:trHeight w:hRule="exact" w:val="56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psychologist and psychiatrist who interview Ed asserted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was schizophrenic and a “sexual psychopath.”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Graves the Ed supposedly robbed were opened. The grave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Mrs. Adams was found empty.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Deputies found more bones buried in trench on Ed’s farm.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skull had a gold tooth and was believed to be the skull of a man.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complained of memory deficits during an interview with Dr.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E.F. Schubert at the Central State hospital. </w:t>
            </w:r>
          </w:p>
        </w:tc>
      </w:tr>
      <w:tr>
        <w:trPr>
          <w:trHeight w:hRule="exact" w:val="564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interviewed by Dr. E.F. Schubert. Schubert found that 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had an “abnormally magnified attachment to his mother.” </w:t>
            </w:r>
          </w:p>
        </w:tc>
      </w:tr>
      <w:tr>
        <w:trPr>
          <w:trHeight w:hRule="exact" w:val="838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1957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judge received a packet from Central State Hospital stating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that Ed was insane and should be permanently committed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hospital. </w:t>
            </w:r>
          </w:p>
        </w:tc>
      </w:tr>
      <w:tr>
        <w:trPr>
          <w:trHeight w:hRule="exact" w:val="560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6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1958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sanity hearing. Declared legally insane he was recommitted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Central State Hospital indefinitely. </w:t>
            </w:r>
          </w:p>
        </w:tc>
      </w:tr>
      <w:tr>
        <w:trPr>
          <w:trHeight w:hRule="exact" w:val="840"/>
        </w:trPr>
        <w:tc>
          <w:tcPr>
            <w:tcW w:type="dxa" w:w="1314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20 </w:t>
            </w:r>
          </w:p>
        </w:tc>
        <w:tc>
          <w:tcPr>
            <w:tcW w:type="dxa" w:w="9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1958 </w:t>
            </w:r>
          </w:p>
        </w:tc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6538"/>
            <w:tcBorders>
              <w:start w:sz="3.2000000000000455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30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Ed’s farm and personal property were scheduled for auction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March 30, but was destroyed in a fire during the early morning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hours. </w:t>
            </w:r>
          </w:p>
        </w:tc>
      </w:tr>
      <w:tr>
        <w:trPr>
          <w:trHeight w:hRule="exact" w:val="111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January 22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spending ten years in the institution, Ed was determined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competent to stand trial and proceeding began. It took 9 months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pass the preliminary matters such as suppressing evidence,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filing for briefs, and appointment of counsel.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actual trial started and last one week. </w:t>
            </w:r>
          </w:p>
        </w:tc>
      </w:tr>
      <w:tr>
        <w:trPr>
          <w:trHeight w:hRule="exact" w:val="1390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1968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found guilty of first degree murder for the shooting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Bernice Worden, but the court also found that on the day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shooting Ed was not sane. Therefore, the court concluded the 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was not guilty be reason of insanity. Ed was returned to Central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State Hospital. </w:t>
            </w:r>
          </w:p>
        </w:tc>
      </w:tr>
      <w:tr>
        <w:trPr>
          <w:trHeight w:hRule="exact" w:val="111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February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filed a petition with the Waushara County Clerk of Courts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claiming that he had now recovered his mental health and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fully competent and there was no reason why he should remain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any hospital. </w:t>
            </w:r>
          </w:p>
        </w:tc>
      </w:tr>
      <w:tr>
        <w:trPr>
          <w:trHeight w:hRule="exact" w:val="56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27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judge reviewed Ed’s petition and ordered a reexamination.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judge rejected Ed’s petition and he was returned to the hospital. </w:t>
            </w:r>
          </w:p>
        </w:tc>
      </w:tr>
      <w:tr>
        <w:trPr>
          <w:trHeight w:hRule="exact" w:val="286"/>
        </w:trPr>
        <w:tc>
          <w:tcPr>
            <w:tcW w:type="dxa" w:w="1314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1978 </w:t>
            </w:r>
          </w:p>
        </w:tc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72 </w:t>
            </w:r>
          </w:p>
        </w:tc>
        <w:tc>
          <w:tcPr>
            <w:tcW w:type="dxa" w:w="653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moved to Mendota Mental Institute in Madison. </w:t>
            </w:r>
          </w:p>
        </w:tc>
      </w:tr>
      <w:tr>
        <w:trPr>
          <w:trHeight w:hRule="exact" w:val="1112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26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senile and after a long bout with cancer, he died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respiratory failure in the geriatric ward at Mendota.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considered by many at the hospital to be a model patient, mild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mannered, and always helpful. </w:t>
            </w:r>
          </w:p>
        </w:tc>
      </w:tr>
      <w:tr>
        <w:trPr>
          <w:trHeight w:hRule="exact" w:val="544"/>
        </w:trPr>
        <w:tc>
          <w:tcPr>
            <w:tcW w:type="dxa" w:w="1314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27 </w:t>
            </w:r>
          </w:p>
        </w:tc>
        <w:tc>
          <w:tcPr>
            <w:tcW w:type="dxa" w:w="9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1984 </w:t>
            </w:r>
          </w:p>
        </w:tc>
        <w:tc>
          <w:tcPr>
            <w:tcW w:type="dxa" w:w="74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653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6 A.M., with only four attendants, Ed was laid to rest next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mother at the Plainfield Cemetery.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62" w:bottom="9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2"/>
        <w:gridCol w:w="4872"/>
      </w:tblGrid>
      <w:tr>
        <w:trPr>
          <w:trHeight w:hRule="exact" w:val="38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General Information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Male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There are two known, five suspected, but possibly more.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Country where killing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occurred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United States </w:t>
            </w:r>
          </w:p>
        </w:tc>
      </w:tr>
      <w:tr>
        <w:trPr>
          <w:trHeight w:hRule="exact" w:val="56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4" w:after="0"/>
              <w:ind w:left="104" w:right="72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States where killing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occurred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Wisconsin </w:t>
            </w:r>
          </w:p>
        </w:tc>
      </w:tr>
      <w:tr>
        <w:trPr>
          <w:trHeight w:hRule="exact" w:val="376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Childhood Information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of birth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August 27, 1906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Location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 Crosse, Wisconsin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order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 2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siblings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XYY?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Raised by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Both parents- Augusta and George Gein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Birth category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youngest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Parent’s marital status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Married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Family event 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family event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Problems in school?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111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Teased while in school?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had no friends and when he attempted to make any,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would scold him. Ed would come home crying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kids making fun of him and his alcoholic father would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repeatedly beat him in the head till his ears started ringing.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attractive?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 defect?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growth over left eye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Speech defect?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He had a lesion on his tongue that caused him to speak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bit weird.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Head injury?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his alcoholic father would repeatedly beat him in the head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till his ears started ringing. </w:t>
            </w:r>
          </w:p>
        </w:tc>
      </w:tr>
      <w:tr>
        <w:trPr>
          <w:trHeight w:hRule="exact" w:val="56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Physically abused?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His father would become violent when drinking and often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beat both boys.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Psychologically abused?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verbal abuse from mother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Sexually abused?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Father’s occupation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worked periodically as a carpenter, a tanner, and a farmer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4" w:after="0"/>
              <w:ind w:left="104" w:right="86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first 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 10 – Ed experienced an ejaculation upon viewing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mother and father slaughtering a hog in a nearby shed.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6" w:after="0"/>
              <w:ind w:left="104" w:right="86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when first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intercourse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Mother’s occupation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Ran successful grocery business.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Father abused drugs/alcohol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alcohol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6" w:after="0"/>
              <w:ind w:left="104" w:right="129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Mother abused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drugs/alcohol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7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Cognitive Ability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056" w:bottom="72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2"/>
        <w:gridCol w:w="4872"/>
      </w:tblGrid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grade in school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Highest degree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Grades in school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IQ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106 </w:t>
            </w:r>
          </w:p>
        </w:tc>
      </w:tr>
      <w:tr>
        <w:trPr>
          <w:trHeight w:hRule="exact" w:val="298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Work History </w:t>
            </w:r>
          </w:p>
        </w:tc>
      </w:tr>
      <w:tr>
        <w:trPr>
          <w:trHeight w:hRule="exact" w:val="838"/>
        </w:trPr>
        <w:tc>
          <w:tcPr>
            <w:tcW w:type="dxa" w:w="32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Served in the military?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Eddie traveled to Milwaukee for an army physical. 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denied because of a growth on his eye which impaired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vision.  This was the farthest he ever traveled from his home.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Branch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discharge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Saw combat duty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4" w:val="left"/>
              </w:tabs>
              <w:autoSpaceDE w:val="0"/>
              <w:widowControl/>
              <w:spacing w:line="276" w:lineRule="exact" w:before="44" w:after="0"/>
              <w:ind w:left="104" w:right="432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enemy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Applied for job as a cop?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6" w:after="0"/>
              <w:ind w:left="104" w:right="1296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Worked in law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enforcement?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Fired from jobs?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166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Types of jobs worked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soil conservation program offered him a subsidy  which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augmented by his work as a local handyman.  Eddie hung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windows, patched roofs, painted houses, repaired fences,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babysat children.  He related better to children than adults.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also worked for a road building contractor. His employers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described him as odd but polite and dependable.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Employment status during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series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Local odd jobs </w:t>
            </w:r>
          </w:p>
        </w:tc>
      </w:tr>
      <w:tr>
        <w:trPr>
          <w:trHeight w:hRule="exact" w:val="34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Relationships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Sexual preference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never dated or married because of the strict religious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influence of his mother.  She convinced Eddie that sex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women were evil and he should have nothing to do with either.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later became a necrophilia.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Marital status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Single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children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Lives with his children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N/A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Living with 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lived by himself after his family died </w:t>
            </w:r>
          </w:p>
        </w:tc>
      </w:tr>
      <w:tr>
        <w:trPr>
          <w:trHeight w:hRule="exact" w:val="36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Triad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Animal torture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Fire setting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is suspected in starting one marsh fire in which his brother,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Henry, was killed.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Bed wetting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Psychological Information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drugs?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Abused alcohol?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Been to a psychologist?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Time in forensic hospital?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6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Diagnosis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had never been to a psychiatrist before committing his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56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2"/>
        <w:gridCol w:w="4872"/>
      </w:tblGrid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crimes. </w:t>
            </w:r>
          </w:p>
        </w:tc>
      </w:tr>
      <w:tr>
        <w:trPr>
          <w:trHeight w:hRule="exact" w:val="424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Killer Criminal History </w:t>
            </w:r>
          </w:p>
        </w:tc>
      </w:tr>
      <w:tr>
        <w:trPr>
          <w:trHeight w:hRule="exact" w:val="3322"/>
        </w:trPr>
        <w:tc>
          <w:tcPr>
            <w:tcW w:type="dxa" w:w="32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Committed previous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crimes?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was suspected in the death of his brother Henry.  He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disagreed with Henry’s feelings about their mother. 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having dinner over at a neighbor’s house and was intrigued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of their relatives.  Later that night a man broke into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woman’s house and grabbed her small son by the throat asking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where his mother had gone.  The boy thought he recognized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man as being Ed Gein.   Gein was also suspected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disappearance of an eight year old girl, Georgia Weckler,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1947 and a fifteen year old, Evelyn Hartley, who disappeared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her way home from babysitting in 1953.  Ed would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been 41 at the time of Weckler’s disappearance and 47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time of Hartley’s disappearance.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jail?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Spend time in prison?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0"/>
        </w:trPr>
        <w:tc>
          <w:tcPr>
            <w:tcW w:type="dxa" w:w="32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Killed prior to series?  Age?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It was never proven but Ed was suspected in a few deaths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his local area. </w:t>
            </w:r>
          </w:p>
        </w:tc>
      </w:tr>
      <w:tr>
        <w:trPr>
          <w:trHeight w:hRule="exact" w:val="478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shd w:fill="cc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Serial Killing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Number of victims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(Confessed to 2, suspected of 5 more) </w:t>
            </w:r>
          </w:p>
        </w:tc>
      </w:tr>
      <w:tr>
        <w:trPr>
          <w:trHeight w:hRule="exact" w:val="56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Victim type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middle age (in their 40’s) who resembled Augusta Gein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age at start of series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Gender of victims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Female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Race of victims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White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Age of victims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Middle aged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Method of killing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Guns: .22 rifle, .32 revolver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Type of serial killer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Organized lust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How close did killer live?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Crimes Occurred in his hometown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victim?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76" w:lineRule="exact" w:before="44" w:after="0"/>
              <w:ind w:left="104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Killing occurred in home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killer?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Weapon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Brought with him </w:t>
            </w:r>
          </w:p>
        </w:tc>
      </w:tr>
      <w:tr>
        <w:trPr>
          <w:trHeight w:hRule="exact" w:val="284"/>
        </w:trPr>
        <w:tc>
          <w:tcPr>
            <w:tcW w:type="dxa" w:w="9540"/>
            <w:gridSpan w:val="2"/>
            <w:tcBorders>
              <w:start w:sz="3.2000000000000455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Behavior During Crimes </w:t>
            </w:r>
          </w:p>
        </w:tc>
      </w:tr>
      <w:tr>
        <w:trPr>
          <w:trHeight w:hRule="exact" w:val="290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Rape?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Tortured victims?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Stalked victims?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Yes, Mary Hogan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Overkill?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Quick &amp; efficient?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Used blindfold?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Bound the victims?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Death Behavior </w:t>
            </w:r>
          </w:p>
        </w:tc>
      </w:tr>
      <w:tr>
        <w:trPr>
          <w:trHeight w:hRule="exact" w:val="268"/>
        </w:trPr>
        <w:tc>
          <w:tcPr>
            <w:tcW w:type="dxa" w:w="3240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Sex with the body?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7276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56" w:bottom="8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872"/>
        <w:gridCol w:w="4872"/>
      </w:tblGrid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Mutilated body?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Ate part of the body?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Drank victim’s blood?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Posed the body?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body part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Took totem – personal item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Robbed victim or location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Disposal of Body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4" w:after="0"/>
              <w:ind w:left="104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no attempt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hide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hidden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Left at scene, buried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no attempt to hide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buried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Cut-up and disposed of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Moved, too home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Yes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Sentencing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killer arrested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17, 1957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Date convicted </w:t>
            </w:r>
          </w:p>
        </w:tc>
        <w:tc>
          <w:tcPr>
            <w:tcW w:type="dxa" w:w="6300"/>
            <w:tcBorders>
              <w:start w:sz="3.199999999999818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November 14, 1968 </w:t>
            </w:r>
          </w:p>
        </w:tc>
      </w:tr>
      <w:tr>
        <w:trPr>
          <w:trHeight w:hRule="exact" w:val="288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Sentence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Life, mental institution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executed?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562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Name and state of prison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Central State Hospital at Waupon &amp; Mendota Mental Health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committed suicide?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6"/>
        </w:trPr>
        <w:tc>
          <w:tcPr>
            <w:tcW w:type="dxa" w:w="3240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3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 killed in prison? </w:t>
            </w:r>
          </w:p>
        </w:tc>
        <w:tc>
          <w:tcPr>
            <w:tcW w:type="dxa" w:w="6300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 </w:t>
            </w:r>
          </w:p>
        </w:tc>
      </w:tr>
      <w:tr>
        <w:trPr>
          <w:trHeight w:hRule="exact" w:val="284"/>
        </w:trPr>
        <w:tc>
          <w:tcPr>
            <w:tcW w:type="dxa" w:w="3240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death </w:t>
            </w:r>
          </w:p>
        </w:tc>
        <w:tc>
          <w:tcPr>
            <w:tcW w:type="dxa" w:w="6300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July 26, 1984 </w:t>
            </w:r>
          </w:p>
        </w:tc>
      </w:tr>
      <w:tr>
        <w:trPr>
          <w:trHeight w:hRule="exact" w:val="64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2" w:lineRule="exact" w:before="64" w:after="0"/>
              <w:ind w:left="0" w:right="38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36"/>
              </w:rPr>
              <w:t xml:space="preserve">References </w:t>
            </w:r>
          </w:p>
        </w:tc>
      </w:tr>
      <w:tr>
        <w:trPr>
          <w:trHeight w:hRule="exact" w:val="4520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 </w:t>
            </w:r>
          </w:p>
          <w:p>
            <w:pPr>
              <w:autoSpaceDN w:val="0"/>
              <w:autoSpaceDE w:val="0"/>
              <w:widowControl/>
              <w:spacing w:line="460" w:lineRule="exact" w:before="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Douglas, J.&amp; Okshaker, M. (1998).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Obsession.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NY: First Pocket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Gollmar, R.H. (1981)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. America’s Most Bizarre Murderer: Edward Gein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New York, NY:  Windsor Publishing Co.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Mind of a Killer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[Computer Software]. (1995). Chatsworth, CA: Kozel Multimedia.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Newton, M. (2000).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Encyclopedia of Serial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NY: Checkmark Books.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Schechter, Harold.(1989).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Psycho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Pocket Books.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3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Schechter, H. (1989).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Deviant: The shocking true story of the original “psycho”.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New York: St. Martin’s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Paperbacks.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Time-Life Book (Eds). (1992)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True Crime: Serial 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Alexandria, VA: Time-Life Books.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Woods, P.A. (1995)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Ed Gein: Psycho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St. Martin’s Press, NY. </w:t>
            </w:r>
          </w:p>
        </w:tc>
      </w:tr>
      <w:tr>
        <w:trPr>
          <w:trHeight w:hRule="exact" w:val="264"/>
        </w:trPr>
        <w:tc>
          <w:tcPr>
            <w:tcW w:type="dxa" w:w="9540"/>
            <w:gridSpan w:val="2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 Pages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056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9744"/>
      </w:tblGrid>
      <w:tr>
        <w:trPr>
          <w:trHeight w:hRule="exact" w:val="4408"/>
        </w:trPr>
        <w:tc>
          <w:tcPr>
            <w:tcW w:type="dxa" w:w="9540"/>
            <w:tcBorders>
              <w:start w:sz="3.2000000000000455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 Gein.  &lt;http://www.home.epix.net/~nnf/gein.html&gt;. </w:t>
            </w:r>
          </w:p>
          <w:p>
            <w:pPr>
              <w:autoSpaceDN w:val="0"/>
              <w:autoSpaceDE w:val="0"/>
              <w:widowControl/>
              <w:spacing w:line="320" w:lineRule="exact" w:before="23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“Gein, Ed.”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http://www.crimelibrary.com/gein/geinbegin.htm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&gt;. </w:t>
            </w:r>
          </w:p>
          <w:p>
            <w:pPr>
              <w:autoSpaceDN w:val="0"/>
              <w:autoSpaceDE w:val="0"/>
              <w:widowControl/>
              <w:spacing w:line="552" w:lineRule="exact" w:before="0" w:after="0"/>
              <w:ind w:left="104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“Gein, Ed.”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http://www.houseofhorrors.com/gein.htm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&gt;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“Gein, Ed.”  Hiperaktiv. 24 May 2003. </w:t>
            </w:r>
          </w:p>
          <w:p>
            <w:pPr>
              <w:autoSpaceDN w:val="0"/>
              <w:autoSpaceDE w:val="0"/>
              <w:widowControl/>
              <w:spacing w:line="494" w:lineRule="exact" w:before="0" w:after="0"/>
              <w:ind w:left="104" w:right="2448" w:firstLine="72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http://www.fortunecity.com/roswell/streiber/273/gein_cf.htm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&gt;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“Gein, Ed.”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http://members.xoom.com/Cinders2000/gein.htm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&gt;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“Geins, Ed.”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http://www.midnightgraffiti.com/edgein4.html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&gt;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“Gein, Ed.” &lt;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http://slaytanic.com/extras/gein.html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.&gt;.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056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