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91"/>
        <w:gridCol w:w="2391"/>
        <w:gridCol w:w="2391"/>
        <w:gridCol w:w="2391"/>
      </w:tblGrid>
      <w:tr>
        <w:trPr>
          <w:trHeight w:hRule="exact" w:val="284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2" w:after="0"/>
              <w:ind w:left="1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Lorenzo Gilyard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820670" cy="1797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1797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18"/>
        </w:trPr>
        <w:tc>
          <w:tcPr>
            <w:tcW w:type="dxa" w:w="9288"/>
            <w:gridSpan w:val="4"/>
            <w:tcBorders>
              <w:start w:sz="3.199999999999932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1296" w:right="129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Julie Payne, Derek Hommema, Ashley Hash and Catherine Hosford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05/24/1950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Kansas City, Missouri </w:t>
            </w:r>
          </w:p>
        </w:tc>
      </w:tr>
      <w:tr>
        <w:trPr>
          <w:trHeight w:hRule="exact" w:val="286"/>
        </w:trPr>
        <w:tc>
          <w:tcPr>
            <w:tcW w:type="dxa" w:w="16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02/12/1953 </w:t>
            </w:r>
          </w:p>
        </w:tc>
        <w:tc>
          <w:tcPr>
            <w:tcW w:type="dxa" w:w="7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Brother, Darryl, is born </w:t>
            </w:r>
          </w:p>
        </w:tc>
      </w:tr>
      <w:tr>
        <w:trPr>
          <w:trHeight w:hRule="exact" w:val="286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07/20/1958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Sister, Patricia, is born </w:t>
            </w:r>
          </w:p>
        </w:tc>
      </w:tr>
      <w:tr>
        <w:trPr>
          <w:trHeight w:hRule="exact" w:val="286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his pregnant girlfriend </w:t>
            </w:r>
          </w:p>
        </w:tc>
      </w:tr>
      <w:tr>
        <w:trPr>
          <w:trHeight w:hRule="exact" w:val="284"/>
        </w:trPr>
        <w:tc>
          <w:tcPr>
            <w:tcW w:type="dxa" w:w="16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1970 </w:t>
            </w:r>
          </w:p>
        </w:tc>
        <w:tc>
          <w:tcPr>
            <w:tcW w:type="dxa" w:w="7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Lorenzo’s father is convicted of rape and sent to prison </w:t>
            </w:r>
          </w:p>
        </w:tc>
      </w:tr>
      <w:tr>
        <w:trPr>
          <w:trHeight w:hRule="exact" w:val="56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04/17/1977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Stacie L. Swofford (WF, 17), was found dead in a vacant lot at 45th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Street and Euclid Avenue </w:t>
            </w:r>
          </w:p>
        </w:tc>
      </w:tr>
      <w:tr>
        <w:trPr>
          <w:trHeight w:hRule="exact" w:val="838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01/23/1980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Gwendolyn Kizine (BF, 15), was reported missing on January 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1980, and was found dead the next day behind a building at 1312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Paseo </w:t>
            </w:r>
          </w:p>
        </w:tc>
      </w:tr>
      <w:tr>
        <w:trPr>
          <w:trHeight w:hRule="exact" w:val="286"/>
        </w:trPr>
        <w:tc>
          <w:tcPr>
            <w:tcW w:type="dxa" w:w="16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11/1981 </w:t>
            </w:r>
          </w:p>
        </w:tc>
        <w:tc>
          <w:tcPr>
            <w:tcW w:type="dxa" w:w="7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Gilyard’s longest stretch in prison, after a stealing conviction </w:t>
            </w:r>
          </w:p>
        </w:tc>
      </w:tr>
      <w:tr>
        <w:trPr>
          <w:trHeight w:hRule="exact" w:val="56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05/09/1982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Margaret J. Miller (BF, 17), was found dead in a vacant lot near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37th Street and Garfield Avenue </w:t>
            </w:r>
          </w:p>
        </w:tc>
      </w:tr>
      <w:tr>
        <w:trPr>
          <w:trHeight w:hRule="exact" w:val="560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1983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Gilyard’s sister (Patricia Dixon), a prostitute, is sent to prison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 of a john and a fellow hooker </w:t>
            </w:r>
          </w:p>
        </w:tc>
      </w:tr>
      <w:tr>
        <w:trPr>
          <w:trHeight w:hRule="exact" w:val="560"/>
        </w:trPr>
        <w:tc>
          <w:tcPr>
            <w:tcW w:type="dxa" w:w="168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03/14/1986 </w:t>
            </w:r>
          </w:p>
        </w:tc>
        <w:tc>
          <w:tcPr>
            <w:tcW w:type="dxa" w:w="77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Catherine M. Barry, 34, was found dead in an abandoned building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near 30th and Central streets </w:t>
            </w:r>
          </w:p>
        </w:tc>
      </w:tr>
      <w:tr>
        <w:trPr>
          <w:trHeight w:hRule="exact" w:val="562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08/16/1986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Naomi Kelly, 23, was found dead in a city park at 10th and Harrison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streets </w:t>
            </w:r>
          </w:p>
        </w:tc>
      </w:tr>
      <w:tr>
        <w:trPr>
          <w:trHeight w:hRule="exact" w:val="56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11/27/1986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Debbie Blevins, 32, was found dead in bushes outside a church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38th and Wyandotte streets. </w:t>
            </w:r>
          </w:p>
        </w:tc>
      </w:tr>
      <w:tr>
        <w:trPr>
          <w:trHeight w:hRule="exact" w:val="562"/>
        </w:trPr>
        <w:tc>
          <w:tcPr>
            <w:tcW w:type="dxa" w:w="16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04/17/1987 </w:t>
            </w:r>
          </w:p>
        </w:tc>
        <w:tc>
          <w:tcPr>
            <w:tcW w:type="dxa" w:w="7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body of Ann Barnes, 36, was found 10 years after Swofford,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13th Street and Lydia Avenue. </w:t>
            </w:r>
          </w:p>
        </w:tc>
      </w:tr>
      <w:tr>
        <w:trPr>
          <w:trHeight w:hRule="exact" w:val="542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06/09/1987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Kellie A. Ford, 20, was found dead in Roanoke Park at 1300 W.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Valentine Road.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36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91"/>
        <w:gridCol w:w="2391"/>
        <w:gridCol w:w="2391"/>
        <w:gridCol w:w="2391"/>
      </w:tblGrid>
      <w:tr>
        <w:trPr>
          <w:trHeight w:hRule="exact" w:val="562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09/12/1987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Angela Mayhew, 19, was found dead in the 2600 block of Genessee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Street. </w:t>
            </w:r>
          </w:p>
        </w:tc>
      </w:tr>
      <w:tr>
        <w:trPr>
          <w:trHeight w:hRule="exact" w:val="562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11/03/1987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Shelia Ingold, 36, was found dead in an abandoned van parked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3700 block of Troost Avenue. </w:t>
            </w:r>
          </w:p>
        </w:tc>
      </w:tr>
      <w:tr>
        <w:trPr>
          <w:trHeight w:hRule="exact" w:val="56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12/19/1987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Carmeline Hibbs, 30, was found dead in a parking lot at 3560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Broadway </w:t>
            </w:r>
          </w:p>
        </w:tc>
      </w:tr>
      <w:tr>
        <w:trPr>
          <w:trHeight w:hRule="exact" w:val="28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02/12/1989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Helga Kruger (WF, 26) is murdered. </w:t>
            </w:r>
          </w:p>
        </w:tc>
      </w:tr>
      <w:tr>
        <w:trPr>
          <w:trHeight w:hRule="exact" w:val="562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1989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Brother, Darryl, is sentenced to life in prison for a drug-related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 </w:t>
            </w:r>
          </w:p>
        </w:tc>
      </w:tr>
      <w:tr>
        <w:trPr>
          <w:trHeight w:hRule="exact" w:val="564"/>
        </w:trPr>
        <w:tc>
          <w:tcPr>
            <w:tcW w:type="dxa" w:w="168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01/11/1993 </w:t>
            </w:r>
          </w:p>
        </w:tc>
        <w:tc>
          <w:tcPr>
            <w:tcW w:type="dxa" w:w="7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body of Connie Luther, 29, was discovered in a snowdrift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25th Street and Allen Terrace </w:t>
            </w:r>
          </w:p>
        </w:tc>
      </w:tr>
      <w:tr>
        <w:trPr>
          <w:trHeight w:hRule="exact" w:val="562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04/18//2004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Gilyard arrested after his DNA (taken in 1987) was matched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victim DNA in a national database. </w:t>
            </w:r>
          </w:p>
        </w:tc>
      </w:tr>
      <w:tr>
        <w:trPr>
          <w:trHeight w:hRule="exact" w:val="284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04/29/2004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Indicted by the Grand Jury on 12 counts of murder. </w:t>
            </w:r>
          </w:p>
        </w:tc>
      </w:tr>
      <w:tr>
        <w:trPr>
          <w:trHeight w:hRule="exact" w:val="564"/>
        </w:trPr>
        <w:tc>
          <w:tcPr>
            <w:tcW w:type="dxa" w:w="168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June, 2006 </w:t>
            </w:r>
          </w:p>
        </w:tc>
        <w:tc>
          <w:tcPr>
            <w:tcW w:type="dxa" w:w="7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Prosecutors file a 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murder charge against Gilyard for the death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February 1989 of Helga Kruger (26). </w:t>
            </w:r>
          </w:p>
        </w:tc>
      </w:tr>
      <w:tr>
        <w:trPr>
          <w:trHeight w:hRule="exact" w:val="286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08/24/2006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Motion made by defense to delay trial until March, 2007. </w:t>
            </w:r>
          </w:p>
        </w:tc>
      </w:tr>
      <w:tr>
        <w:trPr>
          <w:trHeight w:hRule="exact" w:val="560"/>
        </w:trPr>
        <w:tc>
          <w:tcPr>
            <w:tcW w:type="dxa" w:w="16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03/16/2007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682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Convicted of six counts of murder: Barry, Kelly, Barnes, Ford,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Ingold, and Hibbs </w:t>
            </w:r>
          </w:p>
        </w:tc>
      </w:tr>
      <w:tr>
        <w:trPr>
          <w:trHeight w:hRule="exact" w:val="378"/>
        </w:trPr>
        <w:tc>
          <w:tcPr>
            <w:tcW w:type="dxa" w:w="9288"/>
            <w:gridSpan w:val="4"/>
            <w:tcBorders>
              <w:start w:sz="3.199999999999932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Black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288"/>
        </w:trPr>
        <w:tc>
          <w:tcPr>
            <w:tcW w:type="dxa" w:w="460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occurred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Missouri </w:t>
            </w:r>
          </w:p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City where killing occurred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Kansas City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killer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Organized lust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Height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5'8” </w:t>
            </w:r>
          </w:p>
        </w:tc>
      </w:tr>
      <w:tr>
        <w:trPr>
          <w:trHeight w:hRule="exact" w:val="378"/>
        </w:trPr>
        <w:tc>
          <w:tcPr>
            <w:tcW w:type="dxa" w:w="928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05/24/1950 </w:t>
            </w:r>
          </w:p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Kansas City, MO </w:t>
            </w:r>
          </w:p>
        </w:tc>
      </w:tr>
      <w:tr>
        <w:trPr>
          <w:trHeight w:hRule="exact" w:val="288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3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Both birth parents </w:t>
            </w:r>
          </w:p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Oldest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288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60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8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8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82"/>
        <w:gridCol w:w="4782"/>
      </w:tblGrid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intercourse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Trash collector at Deffenbaugh Disposal,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supervisor for trash collection in Kansas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(Disposal Service Deffenbaugh ) </w:t>
            </w:r>
          </w:p>
        </w:tc>
      </w:tr>
      <w:tr>
        <w:trPr>
          <w:trHeight w:hRule="exact" w:val="56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Employed as a supervisor at a trash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company, Deffenbaugh Disposal, since 1986. </w:t>
            </w:r>
          </w:p>
        </w:tc>
      </w:tr>
      <w:tr>
        <w:trPr>
          <w:trHeight w:hRule="exact" w:val="34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Spouse before arrest for the murders </w:t>
            </w:r>
          </w:p>
        </w:tc>
      </w:tr>
      <w:tr>
        <w:trPr>
          <w:trHeight w:hRule="exact" w:val="360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82"/>
        <w:gridCol w:w="4782"/>
      </w:tblGrid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562"/>
        </w:trPr>
        <w:tc>
          <w:tcPr>
            <w:tcW w:type="dxa" w:w="46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86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Yes. Rape, the assault of his ex-wife,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burglary, a bomb threat, and stealing.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8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(known victims) </w:t>
            </w:r>
          </w:p>
        </w:tc>
      </w:tr>
      <w:tr>
        <w:trPr>
          <w:trHeight w:hRule="exact" w:val="166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 but one of his victims were prostitutes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and/or engaged in that lifestyle with 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drugs. The victim who was not a prostitute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a mentally ill woman in Kansas City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known to frequently walk the streets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accept rides from strangers.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Caucasian, 3 African American </w:t>
            </w:r>
          </w:p>
        </w:tc>
      </w:tr>
      <w:tr>
        <w:trPr>
          <w:trHeight w:hRule="exact" w:val="562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15, 17, 17, 19, 20, 23, 26, 29, 30, 32, 34, 36,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</w:tr>
      <w:tr>
        <w:trPr>
          <w:trHeight w:hRule="exact" w:val="83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Strangled, most victims had pieces of clothing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stuffed in their mouths and ligature marks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their necks. Some of the victims were posed.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Organized lust, disorganized thrill </w:t>
            </w:r>
          </w:p>
        </w:tc>
      </w:tr>
      <w:tr>
        <w:trPr>
          <w:trHeight w:hRule="exact" w:val="56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Prosecutors believe that he drove to the crime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scenes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victim?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killer?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83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Killer brought with him, killer found at scene,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weapon.  Weapons included nylon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stockings, shoe strings and wire. </w:t>
            </w:r>
          </w:p>
        </w:tc>
      </w:tr>
      <w:tr>
        <w:trPr>
          <w:trHeight w:hRule="exact" w:val="284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Behavior During Crimes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- All killings involved sexual assault </w:t>
            </w:r>
          </w:p>
        </w:tc>
      </w:tr>
      <w:tr>
        <w:trPr>
          <w:trHeight w:hRule="exact" w:val="562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 but one of killings involved some type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sexual assault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0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No, but prosecutors contend that in many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cases Gilyard established contact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victims several days before killing them.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Some were bound with  or had something tied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82"/>
        <w:gridCol w:w="4782"/>
      </w:tblGrid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around their neck </w:t>
            </w:r>
          </w:p>
        </w:tc>
      </w:tr>
      <w:tr>
        <w:trPr>
          <w:trHeight w:hRule="exact" w:val="286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Frequently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evidence of this has been found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928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1114"/>
        </w:trPr>
        <w:tc>
          <w:tcPr>
            <w:tcW w:type="dxa" w:w="460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on the occasions when the body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posed, bodies found in various places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(abandoned van, a field, a parking lot and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snow drift)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Cut-up and disposed of body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took home </w:t>
            </w:r>
          </w:p>
        </w:tc>
        <w:tc>
          <w:tcPr>
            <w:tcW w:type="dxa" w:w="468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166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Sentencing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prosecution is seeking the death penalty,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trial is scheduled for October 2006.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24, 2006 the defense requested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trial be postponed until March 2007.  Gilyard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facing ten counts of first-degree murder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two counts of capital murder.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2004 </w:t>
            </w:r>
          </w:p>
        </w:tc>
      </w:tr>
      <w:tr>
        <w:trPr>
          <w:trHeight w:hRule="exact" w:val="4700"/>
        </w:trPr>
        <w:tc>
          <w:tcPr>
            <w:tcW w:type="dxa" w:w="460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468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trial was originally scheduled for 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2006, however, a motion was made on 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24, 2006 to postpone the trial until March 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2007 due to budget cuts in the state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defender system. The motion was granted.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Throughout pre-trial hearing attorneys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debated several issues surrounding the case,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including the possibility of eliminating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death penalty. A key piece of evidence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prematurely destroyed by the Kansas City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Police Department, a blue coat with blood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stains. Because of this the defense has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requested that the prosecutions death penalty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motion be relinquished. The prosecution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seeking multiple trials with the first one solely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focusing on five killings that occurred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between 1986 and 1987. </w:t>
            </w:r>
          </w:p>
        </w:tc>
      </w:tr>
      <w:tr>
        <w:trPr>
          <w:trHeight w:hRule="exact" w:val="26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Gilyard is awaiting trial, trial scheduled for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82"/>
        <w:gridCol w:w="4782"/>
      </w:tblGrid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2007. </w:t>
            </w:r>
          </w:p>
        </w:tc>
      </w:tr>
      <w:tr>
        <w:trPr>
          <w:trHeight w:hRule="exact" w:val="286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plead NGRI?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No, he simply plead not guilty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the NGRI plea successful?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 applicable </w:t>
            </w:r>
          </w:p>
        </w:tc>
      </w:tr>
      <w:tr>
        <w:trPr>
          <w:trHeight w:hRule="exact" w:val="56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 awaiting trial Gilyard is being held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Missouri Department of Corrections.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6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death </w:t>
            </w:r>
          </w:p>
        </w:tc>
        <w:tc>
          <w:tcPr>
            <w:tcW w:type="dxa" w:w="468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living </w:t>
            </w:r>
          </w:p>
        </w:tc>
      </w:tr>
      <w:tr>
        <w:trPr>
          <w:trHeight w:hRule="exact" w:val="10202"/>
        </w:trPr>
        <w:tc>
          <w:tcPr>
            <w:tcW w:type="dxa" w:w="9288"/>
            <w:gridSpan w:val="2"/>
            <w:tcBorders>
              <w:start w:sz="3.199999999999932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76" w:lineRule="exact" w:before="26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4/19/04 “MO suspected SERIAL KILLER: LORENZO J. GILYARD”. Retrieved 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23, 2006, 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http://p076.ezboard.com/fmissing87975frm133.showMessage?topicID=27.topic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4/19/04 “Man charged in 12 killings of women and girls in Mo”. Retrieved September 23,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2006, from  http://www.usatoday.com/news/nation/2004-04-19-serial-killings_x.htm </w:t>
            </w:r>
          </w:p>
          <w:p>
            <w:pPr>
              <w:autoSpaceDN w:val="0"/>
              <w:autoSpaceDE w:val="0"/>
              <w:widowControl/>
              <w:spacing w:line="322" w:lineRule="exact" w:before="2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4/19/04. “Alleged Serial Killer Charged”. Retrieved August 30, 2006, from CBSNews.com.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4/19/04. “Man charged in 12 Killings of Women, Girls” . Retrieved August 30, 2006,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TheKansasCitychannel.com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4/20/04  “DNA Offers Hope in Unsolved-Crime Backlogs”. Retrieved September 23, 2006,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http://groups.msn.com/PRISONLONGHOUSE/manchargedin12killingsofwomengirls.msnw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4/20/04.  “ Man charged in dozen Kansas City-area slayings”. Retrieved September 23, 2006,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.http://www.theage.com.au/articles/2004/04/20/1082395838239.html?from=storyrhs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6/23/06. “Gilyard Charged in 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KC Slaying”. Retrieved August 30, 2006,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TheKansasCitychannel.com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8/25/06. “Gilyard Due Back In Court Sept. 8”. Retrieved August 30, 2006,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TheKansasCitychannel.com </w:t>
            </w:r>
          </w:p>
          <w:p>
            <w:pPr>
              <w:autoSpaceDN w:val="0"/>
              <w:autoSpaceDE w:val="0"/>
              <w:widowControl/>
              <w:spacing w:line="322" w:lineRule="exact" w:before="2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8/26/06. “Gilyard trial is delayed”. Retrieved August 30, 2006, from KansasCity.com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12/01/06. “Lorenzo Gilyard, Kansas City: All Postings”. Retrieved December 1, 2006,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TheKansasCitychannel.com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Email from Neiman, Chris. Constituent Services Officer Missouri Department of Corrections.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Received November 3, 2006.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564"/>
      </w:tblGrid>
      <w:tr>
        <w:trPr>
          <w:trHeight w:hRule="exact" w:val="6884"/>
        </w:trPr>
        <w:tc>
          <w:tcPr>
            <w:tcW w:type="dxa" w:w="9288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FF"/>
                <w:sz w:val="24"/>
                <w:u w:val="single"/>
              </w:rPr>
              <w:t xml:space="preserve">http://blogs.kansascity.com/crime_scene/2006/06/new_murder_char.html </w:t>
            </w:r>
            <w:r>
              <w:rPr>
                <w:u w:val="single" w:color="3333ff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Retrieved November 3, 2006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4" w:right="44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FF"/>
                <w:sz w:val="24"/>
                <w:u w:val="single"/>
              </w:rPr>
              <w:t xml:space="preserve">http://www.vanguardnewsnetwork.com/?p=1068 </w:t>
            </w:r>
            <w:r>
              <w:rPr>
                <w:u w:val="single" w:color="3333ff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Retrieved November 3, 2006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23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