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172"/>
        </w:trPr>
        <w:tc>
          <w:tcPr>
            <w:tcW w:type="dxa" w:w="444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28" w:after="0"/>
              <w:ind w:left="9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Jon Scott Dunkle </w:t>
            </w:r>
          </w:p>
        </w:tc>
        <w:tc>
          <w:tcPr>
            <w:tcW w:type="dxa" w:w="4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16989" cy="1384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89" cy="138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2304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Ashley Holcomb &amp; Lauren Rowley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10/11/1960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Los Angeles, California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Former student clerk at Carlmont High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bought him a white Honda Civic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11/1981-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Attended Belmont Baptist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Worker for Toys’R’Us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$1000 worth of gold jewelry from Belmont Lapidary while he worked there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(was later fired and rehired 3 times)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gold parts from computer firm where he worked for security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1981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Entered a Youth for Christ training camp in Oregon. He claimed they made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 too hard so he quit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11/1981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DUI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11/08/1981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John Davies (WM, 15) of Belmont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1981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Entered a Youth for Christ training camp in Oregon. He claimed they made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 too hard so he quit </w:t>
            </w:r>
          </w:p>
        </w:tc>
      </w:tr>
      <w:tr>
        <w:trPr>
          <w:trHeight w:hRule="exact" w:val="25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Confessed to another DUI </w:t>
            </w:r>
          </w:p>
        </w:tc>
      </w:tr>
      <w:tr>
        <w:trPr>
          <w:trHeight w:hRule="exact" w:val="25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Tried to stab his friend John Wolfe with a butcher knife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 1982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a hit and run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11/05/1982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to kill Steve Murphy (16) of San Mateo by running him over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throwing him in a ditch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for the Bubble Machine and fired for two customer complaints and having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temper tantrums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12/31/1982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to kill Monte Hansen but police considered the incident as a New Years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 brawl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 1983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hospitalized for injecting bacon fat into his penis while on LSD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 1983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for a gas station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July-Aug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arrested for two more DUIs and sentenced to 120 days in prison and license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revoked for 3 years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10/02/1984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Lance Turner (WM, 12) of Belmont. Turner was stabbed 23 times.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12/04/1984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interview Dunkle regarding the murder of John Davies. </w:t>
            </w:r>
          </w:p>
        </w:tc>
      </w:tr>
      <w:tr>
        <w:trPr>
          <w:trHeight w:hRule="exact" w:val="22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12/07/1984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interview Dunkle regarding the murder of Lance Turner.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 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Jon made friends with a girl named Lisa (who was really an undercover cop)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04/04/1985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Breaks into the home of Richard Renne for the purpose of burglary.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arrested for burglary of Richard Renne’s house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07/02/1985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Sean Dannehl (WM, 12) of Sacramento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07/05/1985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question Dunkle about Dannehl’s murder.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 to the San Mateo County jail for the May burglary charge.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10/03/1986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Jon confessed to the murders of Davies and Turner.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10/13/1986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Dunkle is examined by prosecution psychiatrist Dr. James Missett. Missett believes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Dunkle is malingering his schizophrenia.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05/27/1987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Dunkle is examined by defense psychiatrist Dr. George Wilkinson.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06/02/1987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68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transferred from San Mateo jail to Chope Hospital disabled under 5150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was experiencing hallucinations and wanted to kill himself and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discharged back to jail to have acute paranoid disorder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01/05/1988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Dunkle again examined by Dr. Wilkinson.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01/26/1988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Dunkle examined for a third time by Dr. Wilkinson who found him competent.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05/19/1988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diagnosed with chronic schizophrenia with acute exacerbation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03/21/1989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Dunkle examined by court-appointed psychiatrist (Roland Levy) who concludes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Dunkle is not competent to stand trial.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07/16/1989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Dunkle again examined by Dr. Levy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08/03/1989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finds Dunkle competent to stand trial.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10/10/1989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begins for the murdesr of Davies and Turner.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12/06/1989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two counts of first-degree murder for the deaths of John Davis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Lance Turner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12/31/1994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 guilty for the murder of Sean Dannehl.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2002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Jon was assigned a guardian due to his mental incompetence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Present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Dunkle is still in prison and if his lawyer can prove that he is insane he can still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escape execution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and 2 attempts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Belmont and Sacramento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- anger </w:t>
            </w:r>
          </w:p>
        </w:tc>
      </w:tr>
      <w:tr>
        <w:trPr>
          <w:trHeight w:hRule="exact" w:val="238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Described as short but unspecified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11, 1960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Los Angeles, CA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47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in 1969 and remarried in 1971; brother Jeff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dealing drugs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1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and 11; 10 </w:t>
            </w:r>
          </w:p>
        </w:tc>
      </w:tr>
      <w:tr>
        <w:trPr>
          <w:trHeight w:hRule="exact" w:val="470"/>
        </w:trPr>
        <w:tc>
          <w:tcPr>
            <w:tcW w:type="dxa" w:w="354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1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Severe learning disabilities, temper tantrums, dyslexia, zero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social skills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greasy hair, pimples, short, dirty teeth with a retainer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hinted to close family friend that dad beats him,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brother got mad at him and threw him out a window </w:t>
            </w:r>
          </w:p>
        </w:tc>
      </w:tr>
      <w:tr>
        <w:trPr>
          <w:trHeight w:hRule="exact" w:val="70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was teased, kids used him only for alcohol and rides,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dad refused that anything was his Jon’s fault and that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friends and the police made him do bad things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Barber </w:t>
            </w:r>
          </w:p>
        </w:tc>
      </w:tr>
      <w:tr>
        <w:trPr>
          <w:trHeight w:hRule="exact" w:val="46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~25 years old grabbed the undercover cop, Lisa’s, boob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proceeded to masterbate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Sears clerk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78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47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57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Unspecified, most likely poor grades because of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disabilities </w:t>
            </w:r>
          </w:p>
        </w:tc>
      </w:tr>
      <w:tr>
        <w:trPr>
          <w:trHeight w:hRule="exact" w:val="698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in high school he tested with an IQ of 130 in areas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requiring reading and math; in 1987 Dr Wilkinson described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intelligence low-normal, no higher than 90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Brinck (1999, page 53), CA Supreme Court transcript </w:t>
            </w:r>
          </w:p>
        </w:tc>
      </w:tr>
      <w:tr>
        <w:trPr>
          <w:trHeight w:hRule="exact" w:val="29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guard @ Pinkerton Security </w:t>
            </w:r>
          </w:p>
        </w:tc>
      </w:tr>
      <w:tr>
        <w:trPr>
          <w:trHeight w:hRule="exact" w:val="472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Belmont Lapidary, Pinkerton Security, The Bubble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Machine, and Carl’s </w:t>
            </w:r>
          </w:p>
        </w:tc>
      </w:tr>
      <w:tr>
        <w:trPr>
          <w:trHeight w:hRule="exact" w:val="46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Toys ‘R’ Us; Belmont Lapidary (jewelry store); Pinkerton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Security; The Bubble Machine; IRS warehouse; Carl’s Jr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Guard </w:t>
            </w:r>
          </w:p>
        </w:tc>
      </w:tr>
      <w:tr>
        <w:trPr>
          <w:trHeight w:hRule="exact" w:val="3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Evidence that he is a homosexual pedophile; no experience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women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and Father and then moved to Sacramento with sister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setting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Marijuana and LSD </w:t>
            </w:r>
          </w:p>
        </w:tc>
      </w:tr>
      <w:tr>
        <w:trPr>
          <w:trHeight w:hRule="exact" w:val="22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the “police shrink”, Psychiatrist Hugh Ridelhuber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during the trail for observation and testing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Acute paranoia disorder </w:t>
            </w:r>
          </w:p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70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Nov. 1981 DUI; Aug 1982 hit and run; July and Aug 1983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DUIs; license revoked for 3 years and 120 days in prison; 1986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Burglary of Richard Renne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120 days after 4th DUI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and 2 attempts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friend and 2 prebuescent boys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Nov. 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1981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July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1985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12, 12, 15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friend and 2 prebuescent boys </w:t>
            </w:r>
          </w:p>
        </w:tc>
      </w:tr>
      <w:tr>
        <w:trPr>
          <w:trHeight w:hRule="exact" w:val="47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Stabbing with buck knife and used a pipe cleaner and a board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nails on it for the third victim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Buck knife, pipe cleaner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anger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Biking distance </w:t>
            </w:r>
          </w:p>
        </w:tc>
      </w:tr>
      <w:tr>
        <w:trPr>
          <w:trHeight w:hRule="exact" w:val="46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victim: at his home; second and third victim: found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the park </w:t>
            </w:r>
          </w:p>
        </w:tc>
      </w:tr>
      <w:tr>
        <w:trPr>
          <w:trHeight w:hRule="exact" w:val="472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Edgewood Park for first victim; park near Waterdog Lake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victim; Lower Sunrise park for the third victim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6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6" w:after="0"/>
              <w:ind w:left="100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voluntarily went with killer; second and third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at contact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Held first victim down and told him what he was going to do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third victim a board was placed over his eyes and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clothes were taken off for humiliation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for second victim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Board over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victims eyes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Oct. 3 1986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 6 1989 convicted of 2 counts of first degree murder; Dec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1994 plead guilty to third victims murder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without parole and death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as of now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is still under advisement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serial killer confess?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Confessed to all murders after conviction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Mateo Prison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16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30" w:lineRule="exact" w:before="21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62A2C"/>
                <w:sz w:val="20"/>
              </w:rPr>
              <w:t xml:space="preserve">Wetsch, Elisabeth. "2005_08_04: State Supreme Court upholds death sentence of Peninsula serial killer."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62A2C"/>
                <w:sz w:val="20"/>
                <w:u w:val="single"/>
              </w:rPr>
              <w:t>Serial Killer Crime Index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62A2C"/>
                <w:sz w:val="20"/>
              </w:rPr>
              <w:t xml:space="preserve">. 1995. 01 Nov. 2008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http://www.crimezzz.net/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serialkiller_news/d/dunkle_jon_scott.php</w:t>
            </w:r>
          </w:p>
          <w:p>
            <w:pPr>
              <w:autoSpaceDN w:val="0"/>
              <w:autoSpaceDE w:val="0"/>
              <w:widowControl/>
              <w:spacing w:line="228" w:lineRule="exact" w:before="462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62A2C"/>
                <w:sz w:val="20"/>
              </w:rPr>
              <w:t xml:space="preserve">The Supreme Court of California."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62A2C"/>
                <w:sz w:val="20"/>
                <w:u w:val="single"/>
              </w:rPr>
              <w:t>The People vs Jon Scott Dunkle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62A2C"/>
                <w:sz w:val="20"/>
              </w:rPr>
              <w:t xml:space="preserve">. 4 Aug. 2005. 01 Nov. 2008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http://www.courtinfo.ca.gov/opinio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ns/archive/s014200.pdf</w:t>
            </w:r>
          </w:p>
          <w:p>
            <w:pPr>
              <w:autoSpaceDN w:val="0"/>
              <w:autoSpaceDE w:val="0"/>
              <w:widowControl/>
              <w:spacing w:line="268" w:lineRule="exact" w:before="42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62A2C"/>
                <w:sz w:val="20"/>
              </w:rPr>
              <w:t xml:space="preserve">Brinck, Gretchen (1999). </w:t>
            </w:r>
            <w:r>
              <w:rPr>
                <w:rFonts w:ascii="TimesNewRomanPS" w:hAnsi="TimesNewRomanPS" w:eastAsia="TimesNewRomanPS"/>
                <w:b w:val="0"/>
                <w:i/>
                <w:color w:val="262A2C"/>
                <w:sz w:val="20"/>
              </w:rPr>
              <w:t>The Boy Next Door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62A2C"/>
                <w:sz w:val="20"/>
              </w:rPr>
              <w:t xml:space="preserve">. New York, NY: Kensington, 1-365.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304" w:right="3888" w:hanging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62A2C"/>
                <w:sz w:val="20"/>
              </w:rPr>
              <w:t xml:space="preserve">Places we couldn’t find information: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Prison Talk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LexisNexis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Factivia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 and criminal justice article searchs from RU library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Google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Yahoo 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1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