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1"/>
        <w:gridCol w:w="2341"/>
        <w:gridCol w:w="2341"/>
        <w:gridCol w:w="2341"/>
      </w:tblGrid>
      <w:tr>
        <w:trPr>
          <w:trHeight w:hRule="exact" w:val="1976"/>
        </w:trPr>
        <w:tc>
          <w:tcPr>
            <w:tcW w:type="dxa" w:w="46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746" w:after="0"/>
              <w:ind w:left="87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FF0000"/>
                <w:sz w:val="40"/>
              </w:rPr>
              <w:t xml:space="preserve">Kristen H. Gilbert </w:t>
            </w:r>
          </w:p>
        </w:tc>
        <w:tc>
          <w:tcPr>
            <w:tcW w:type="dxa" w:w="43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66240" cy="1248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1248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000"/>
            <w:gridSpan w:val="4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1152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Elizabeth Daly, Kanika Davis, Sarah DeHart, &amp; Michael Palmadesso </w:t>
            </w:r>
          </w:p>
          <w:p>
            <w:pPr>
              <w:autoSpaceDN w:val="0"/>
              <w:autoSpaceDE w:val="0"/>
              <w:widowControl/>
              <w:spacing w:line="230" w:lineRule="exact" w:before="272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6"/>
        </w:trPr>
        <w:tc>
          <w:tcPr>
            <w:tcW w:type="dxa" w:w="900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11-13-1967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Fall River, Massachusetts as Kristen Heather Strickland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sister Tara Morgan was born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80’s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to Groton, MA </w:t>
            </w:r>
          </w:p>
        </w:tc>
      </w:tr>
      <w:tr>
        <w:trPr>
          <w:trHeight w:hRule="exact" w:val="698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80’s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showed signs of being a pathological liar, according to friends, neighbors,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father – often made the unfounded claim she was related to murderer Lizzie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Borden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high school a year and a half early, with high honors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in Bridgewater State College with a major in pre-med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Developed a pattern of verbal and physical abuse towards boyfriends and ex-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boyfriends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Summer, 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future husband Glenn Gilbert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Wachusett Community College, then to Greenfield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College, to be closer to Glenn (both schools in Massachusetts)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a job as a home health aide with the Visiting Nurses Association of Franklin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County.  Used bathwater to scold a retarded child over 60% of his body. 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prosecuted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1-88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Eloped and Married Glenn Gilbert (became Kristen Gilbert)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2-88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Chased her husband Glenn around the house with a butcher knife after an argument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Greenfield Community College with a diploma in nursing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03-06-1989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employed as a nurse at Leeds Veterans Affairs Medical Center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Massachusetts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pattern began to emerge of an unusually large number of deaths in Ward C,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Gilbert’s work shift there.  One doctor refused to let her treat anymore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patients.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Gilbert was jokingly given the name “Angel of Death” by her co-workers,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so many people dropped dead while in her care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Gave birth to her first son, Brian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2-14-9?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??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she received a bomb threat at the hospital, and then coincidentally found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strange box after police found nothing.  The entire ward was evacuated for hours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11-13-1993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Gave birth to her second  son, Raymond, on her own birthday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James Perrault, a security guard at the hospital, and began an affair with him </w:t>
            </w:r>
          </w:p>
        </w:tc>
      </w:tr>
      <w:tr>
        <w:trPr>
          <w:trHeight w:hRule="exact" w:val="22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2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Marriage between Kristen and Glenn began to fall apart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21"/>
        <w:gridCol w:w="3121"/>
        <w:gridCol w:w="3121"/>
      </w:tblGrid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08-21-1995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patient, Stanley Jagodowski (WM, 66)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11-01-1995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Perrault rented an apartment in Easthampton, to be closer to Gilbert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moved out of her house to an apartment complex on Northampton Street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12-08-1995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patient, Henry Hudon (WM, 35)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12-20-1995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Gilbert filed for divorce from Glenn Gilbert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02-02-1996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patient, Kenny Cutting (WM, 41)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02-17-1996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nurses, John Wall, Kathy Rix, and Renee Walsh, came forward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concerns and accusations against Gilbert.  Police investigation began on Gilbert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02-18-1996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patient, Edward Skwira (WM, 68)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confessed to killing patients during a phone call she made to Perrault </w:t>
            </w:r>
          </w:p>
        </w:tc>
      </w:tr>
      <w:tr>
        <w:trPr>
          <w:trHeight w:hRule="exact" w:val="238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Perrault acquired a restraining order against Gilbert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07-16-1996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Perrault, summoned to a Grand Jury, testified against Gilbert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08-15-1996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Glenn Gilbert asked investigators to come to his house and search a pantry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belonged to Kristen.  Inside, investigators found  “The Handbook of Poisoning”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08-20-1996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was temporarily placed in a psychiatric ward in Arbour Hospital for the third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that month.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09-15-1996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appeared at Glenn Gilbert's house and attempted to attack him with car keys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09-26-1996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called the Leeds VAMC hospital with a false bomb threat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09-30-1996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 ordered Gilbert to be placed in Baystate Medical Center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10-08-1996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was released from Baystate Medical Center and arrested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10-15-1996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prison and ordered by court to live in Seataucket, Long Island,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York with her parents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11-02-1996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2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on felony charges for falsely phoning a bomb threat to a federal institution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11-27-1997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2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Last known victim Edward Skwira's body was exhumed to test for epinephrine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01-07-1998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2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began for Gilbert’s false bomb threat </w:t>
            </w:r>
          </w:p>
        </w:tc>
      </w:tr>
      <w:tr>
        <w:trPr>
          <w:trHeight w:hRule="exact" w:val="116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01-27-1998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2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was found guilty of falsely phoning a bomb threat to a federal institution.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thought to have phoned this threat to divert attention away from the murder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investigation against her.  She was sentenced to fifteen months at Danbury Federal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and treated for psychiatric problems.  There she served her sentence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awaiting the start of her murder trial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11-24-1998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Gilbert was officially indicted for murder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7-13-1998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Stanley Jagodowski's remains were exhumed to test for epinephrine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02-15-1999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was moved from her cell in Danbury to Hamden County House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Correction in Ludlow, MA.  Gilbert remained there till the murder trial was finished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was chosen, consisting of nine women and three men to serve in Gilbert’s trial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11-20-2000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began for Kristen Gilbert’s murders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01-23-2001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Glenn Gilbert testified against his ex-wife, and told the court that Kristen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the murders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02-23-2001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2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Deliberations for Government vs. Kristen Gilbert were underway.  The case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consisted of more than 70 witnesses and 200 pieces of evidence </w:t>
            </w:r>
          </w:p>
        </w:tc>
      </w:tr>
      <w:tr>
        <w:trPr>
          <w:trHeight w:hRule="exact" w:val="466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03-14-2001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Gilbert was found guilty of three counts of first-degree murder, one count of second-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degree murder, and two counts of attempted murder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03-27-2001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sentenced Gilbert to 4 consecutive life terms without the possibility of parole,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plus 20 years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5-2001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2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Gilbert was transferred from a federal prison for women in Framingham, MA, 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prison in Carswell, TX, where she has remained ever since </w:t>
            </w:r>
          </w:p>
        </w:tc>
      </w:tr>
      <w:tr>
        <w:trPr>
          <w:trHeight w:hRule="exact" w:val="680"/>
        </w:trPr>
        <w:tc>
          <w:tcPr>
            <w:tcW w:type="dxa" w:w="13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07-25-2003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02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Gilbert dropped her federal appeal for a new trial, due to a recent 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Supreme Court ruling that would have allowed prosecutors to pursue the death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penalty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39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convictions, 2 convicted attempts, 40+ suspected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Massachusetts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Angel of Death – Thrill, Power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??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13, 1967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River, MA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0000000000022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0000000000022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Vindictive and harassing to ex-boyfriends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Claims her mother beat her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distant and unaffectionate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Coast Guard serviceman, Electronics engineer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??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??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Substitute teacher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Claims her mother abused alcohol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College diploma in nursing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good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</w:t>
            </w:r>
          </w:p>
        </w:tc>
      </w:tr>
      <w:tr>
        <w:trPr>
          <w:trHeight w:hRule="exact" w:val="29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health aide, nurse </w:t>
            </w:r>
          </w:p>
        </w:tc>
      </w:tr>
      <w:tr>
        <w:trPr>
          <w:trHeight w:hRule="exact" w:val="45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nurse at Leeds Veterans Affairs Medical Center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Massachusetts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58" w:right="144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then divorced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her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start of series, then moved out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 Glenn Gilbert, then a separate apartment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??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?? </w:t>
            </w:r>
          </w:p>
        </w:tc>
      </w:tr>
      <w:tr>
        <w:trPr>
          <w:trHeight w:hRule="exact" w:val="2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Treated for psychiatric problems while in prison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Borderline Personality Disorder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false bomb threat called into a federal institution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served 15 months at Danbury Federal Prison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convicted murders, 2 convicted attempts, 40+ suspected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Hospitalized Veterans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35, 41, 69, 66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epinephrine to induce massive heart attacks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Angel of Death – Thrill, Power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a short driving distance of Leeds VAMC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Epinephrine obtained from the hospital stock and brought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victims’ rooms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the epinephrine from the hospital at which she worked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left in their hospital beds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11, 1996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14, 2001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consecutive life sentences without parole, plus 20 years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Medical Center in Carswell, TX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4498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1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Cameron, J. (2001).  Cost of Gilbert Trial $1.8 Million. (Online), April 20, 2005.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Springfield Union News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Online.  http://people.umass.edu/leg485/cost.htm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Discovery Channel. (2005). Poisonous women. (Online), April 20, 2005. Discovery Channel - CRIME.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http://www.discoverychannel.co.uk/poison/feature3.shtml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Donn, J. (2000).  Patient Cried Out Before Dying, Witness Testifies. (Online), April 20, 2005.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South Coast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Today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Online.  http://www.s-t.com/daily/11-00/11-22-00/a03sr019.htm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Lawyers Weekly. (2005). The 30 Most Memorable Cases of the Last 30 Years 24. Kristen Gilbert’s Capital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Trial. (Online), April 20, 2005.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Massachusetts Lawyers Weekly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 Massachusetts Lawyers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Weekly at 30.  http://www.masslaw.com/mlw30/case24.cfm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Phelps, W.  (2003).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Perfect poison: A female serial killer’s deadly medicine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New York: Kensington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Publishing Corp.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Pyrek, K. M. (2005).  Healthcare Serial Killers: Recognizing the Red Flags. (Online), April 20, 2005.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Forensic Nurse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http://www.forensicnursemag.com/articles/391feat1.html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Ramsland, K. (2005). Just for the fun of it. (Online), April 20, 2005. Angels of Death - Nurses, nurses who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 their patients.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http://www.crimelibrary.com/notorious_murders/angels/female_nurses/10.html?sect=9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5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