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A5F"/>
          <w:sz w:val="34"/>
          <w:szCs w:val="34"/>
        </w:rPr>
        <w:t xml:space="preserve">KẾ HOẠCH ĐẦU TƯ VÀ GỌI VỐN CHI TIẾT</w:t>
      </w:r>
    </w:p>
    <w:p>
      <w:pPr>
        <w:spacing w:after="60"/>
        <w:jc w:val="center"/>
      </w:pPr>
      <w:r>
        <w:rPr>
          <w:rFonts w:ascii="Times New Roman" w:cs="Times New Roman" w:eastAsia="Times New Roman" w:hAnsi="Times New Roman"/>
          <w:b/>
          <w:bCs/>
          <w:color w:val="1F3A5F"/>
          <w:sz w:val="30"/>
          <w:szCs w:val="30"/>
        </w:rPr>
        <w:t xml:space="preserve">DỰ ÁN B – SMARTBOOKING</w:t>
      </w:r>
    </w:p>
    <w:p>
      <w:pPr>
        <w:pBdr>
          <w:bottom w:val="single" w:color="1F3A5F" w:sz="8" w:space="6"/>
        </w:pBdr>
        <w:spacing w:after="200"/>
        <w:jc w:val="center"/>
      </w:pPr>
      <w:r>
        <w:rPr>
          <w:rFonts w:ascii="Times New Roman" w:cs="Times New Roman" w:eastAsia="Times New Roman" w:hAnsi="Times New Roman"/>
          <w:i/>
          <w:iCs/>
          <w:sz w:val="24"/>
          <w:szCs w:val="24"/>
        </w:rPr>
        <w:t xml:space="preserve">Xây dựng ứng dụng quản lý và đặt lịch dịch vụ</w:t>
      </w:r>
    </w:p>
    <w:p>
      <w:pPr>
        <w:pStyle w:val="Heading1"/>
        <w:keepNext/>
        <w:spacing w:after="120" w:before="280"/>
      </w:pPr>
      <w:r>
        <w:rPr>
          <w:rFonts w:ascii="Times New Roman" w:cs="Times New Roman" w:eastAsia="Times New Roman" w:hAnsi="Times New Roman"/>
          <w:b/>
          <w:bCs/>
          <w:color w:val="1F3A5F"/>
          <w:sz w:val="28"/>
          <w:szCs w:val="28"/>
        </w:rPr>
        <w:t xml:space="preserve">LƯU Ý VỀ PHẠM VI VÀ SỐ LIỆU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Các số liệu </w:t>
      </w:r>
      <w:r>
        <w:rPr>
          <w:rFonts w:ascii="Times New Roman" w:cs="Times New Roman" w:eastAsia="Times New Roman" w:hAnsi="Times New Roman"/>
          <w:b/>
          <w:bCs/>
          <w:sz w:val="22"/>
          <w:szCs w:val="22"/>
        </w:rPr>
        <w:t xml:space="preserve">250 triệu đồng</w:t>
      </w:r>
      <w:r>
        <w:rPr>
          <w:rFonts w:ascii="Times New Roman" w:cs="Times New Roman" w:eastAsia="Times New Roman" w:hAnsi="Times New Roman"/>
          <w:sz w:val="22"/>
          <w:szCs w:val="22"/>
        </w:rPr>
        <w:t xml:space="preserve"> tổng vốn, </w:t>
      </w:r>
      <w:r>
        <w:rPr>
          <w:rFonts w:ascii="Times New Roman" w:cs="Times New Roman" w:eastAsia="Times New Roman" w:hAnsi="Times New Roman"/>
          <w:b/>
          <w:bCs/>
          <w:sz w:val="22"/>
          <w:szCs w:val="22"/>
        </w:rPr>
        <w:t xml:space="preserve">50 triệu đồng</w:t>
      </w:r>
      <w:r>
        <w:rPr>
          <w:rFonts w:ascii="Times New Roman" w:cs="Times New Roman" w:eastAsia="Times New Roman" w:hAnsi="Times New Roman"/>
          <w:sz w:val="22"/>
          <w:szCs w:val="22"/>
        </w:rPr>
        <w:t xml:space="preserve"> vốn tự có, </w:t>
      </w:r>
      <w:r>
        <w:rPr>
          <w:rFonts w:ascii="Times New Roman" w:cs="Times New Roman" w:eastAsia="Times New Roman" w:hAnsi="Times New Roman"/>
          <w:b/>
          <w:bCs/>
          <w:sz w:val="22"/>
          <w:szCs w:val="22"/>
        </w:rPr>
        <w:t xml:space="preserve">200 triệu đồng</w:t>
      </w:r>
      <w:r>
        <w:rPr>
          <w:rFonts w:ascii="Times New Roman" w:cs="Times New Roman" w:eastAsia="Times New Roman" w:hAnsi="Times New Roman"/>
          <w:sz w:val="22"/>
          <w:szCs w:val="22"/>
        </w:rPr>
        <w:t xml:space="preserve"> vốn cần gọi, doanh thu dự kiến </w:t>
      </w:r>
      <w:r>
        <w:rPr>
          <w:rFonts w:ascii="Times New Roman" w:cs="Times New Roman" w:eastAsia="Times New Roman" w:hAnsi="Times New Roman"/>
          <w:b/>
          <w:bCs/>
          <w:sz w:val="22"/>
          <w:szCs w:val="22"/>
        </w:rPr>
        <w:t xml:space="preserve">360 triệu đồng</w:t>
      </w:r>
      <w:r>
        <w:rPr>
          <w:rFonts w:ascii="Times New Roman" w:cs="Times New Roman" w:eastAsia="Times New Roman" w:hAnsi="Times New Roman"/>
          <w:sz w:val="22"/>
          <w:szCs w:val="22"/>
        </w:rPr>
        <w:t xml:space="preserve">, chi phí vận hành/bán hàng </w:t>
      </w:r>
      <w:r>
        <w:rPr>
          <w:rFonts w:ascii="Times New Roman" w:cs="Times New Roman" w:eastAsia="Times New Roman" w:hAnsi="Times New Roman"/>
          <w:b/>
          <w:bCs/>
          <w:sz w:val="22"/>
          <w:szCs w:val="22"/>
        </w:rPr>
        <w:t xml:space="preserve">240 triệu đồng</w:t>
      </w:r>
      <w:r>
        <w:rPr>
          <w:rFonts w:ascii="Times New Roman" w:cs="Times New Roman" w:eastAsia="Times New Roman" w:hAnsi="Times New Roman"/>
          <w:sz w:val="22"/>
          <w:szCs w:val="22"/>
        </w:rPr>
        <w:t xml:space="preserve"> và cơ cấu phân bổ vốn theo 6 hạng mục là số liệu trong bảng dự án gốc (Nhóm 14); chưa có hóa đơn, báo giá hoặc khảo sát độc lập kèm theo.</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Bảng nhà đầu tư trong tài liệu gốc nêu các khoản 70 + 100 + 80 = 250 triệu đồng, không khớp với nhu cầu gọi vốn 200 triệu đồng. Tài liệu này không xem các khoản đó là cam kết; đề xuất phương án minh họa </w:t>
      </w:r>
      <w:r>
        <w:rPr>
          <w:rFonts w:ascii="Times New Roman" w:cs="Times New Roman" w:eastAsia="Times New Roman" w:hAnsi="Times New Roman"/>
          <w:b/>
          <w:bCs/>
          <w:sz w:val="22"/>
          <w:szCs w:val="22"/>
        </w:rPr>
        <w:t xml:space="preserve">50 + 90 + 60 = 200 triệu đồng</w:t>
      </w:r>
      <w:r>
        <w:rPr>
          <w:rFonts w:ascii="Times New Roman" w:cs="Times New Roman" w:eastAsia="Times New Roman" w:hAnsi="Times New Roman"/>
          <w:sz w:val="22"/>
          <w:szCs w:val="22"/>
        </w:rPr>
        <w:t xml:space="preserve"> để dễ trao đổi, cần được các bên xác nhận lại.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Chênh lệch 120 triệu đồng = doanh thu dự kiến 360 triệu đồng trừ chi phí vận hành và bán hàng 240 triệu đồng. Đây chưa chắc là lợi nhuận ròng vì chưa rõ kỳ tính doanh thu, thuế, chi phí tài chính, khấu hao và các khoản khác.</w:t>
      </w:r>
    </w:p>
    <w:p>
      <w:pPr>
        <w:pStyle w:val="ListParagraph"/>
        <w:numPr>
          <w:ilvl w:val="0"/>
          <w:numId w:val="2"/>
        </w:numPr>
        <w:spacing w:after="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Dữ liệu mẫu bổ sung:</w:t>
      </w:r>
      <w:r>
        <w:rPr>
          <w:rFonts w:ascii="Times New Roman" w:cs="Times New Roman" w:eastAsia="Times New Roman" w:hAnsi="Times New Roman"/>
          <w:sz w:val="22"/>
          <w:szCs w:val="22"/>
        </w:rPr>
        <w:t xml:space="preserve"> các chi tiết không có trong bảng gốc (đội ngũ và mức chi từng vị trí, bảng giá gói, số cửa hàng trả phí, kịch bản doanh thu, dự toán từng khoản nhỏ, mốc nghiệm thu) là </w:t>
      </w:r>
      <w:r>
        <w:rPr>
          <w:rFonts w:ascii="Times New Roman" w:cs="Times New Roman" w:eastAsia="Times New Roman" w:hAnsi="Times New Roman"/>
          <w:b/>
          <w:bCs/>
          <w:sz w:val="22"/>
          <w:szCs w:val="22"/>
        </w:rPr>
        <w:t xml:space="preserve">giả định minh họa</w:t>
      </w:r>
      <w:r>
        <w:rPr>
          <w:rFonts w:ascii="Times New Roman" w:cs="Times New Roman" w:eastAsia="Times New Roman" w:hAnsi="Times New Roman"/>
          <w:sz w:val="22"/>
          <w:szCs w:val="22"/>
        </w:rPr>
        <w:t xml:space="preserve"> do người lập tài liệu đặt ra để hoàn thiện hồ sơ. Các giả định này đều tính khớp với tổng số liệu gốc và cần được thay bằng báo giá, khảo sát và số liệu thực tế.</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Tài liệu và hợp đồng cuối tài liệu là bản tham khảo để thảo luận, không thay thế tư vấn pháp lý/kế toán. Không công bố mức sinh lời chắc chắn; chỉ ký sau khi xác định đầy đủ chủ thể, hình thức góp vốn, quyền lợi và trách nhiệm.</w:t>
      </w:r>
    </w:p>
    <w:p>
      <w:pPr>
        <w:pStyle w:val="Heading1"/>
        <w:keepNext/>
        <w:spacing w:after="120" w:before="280"/>
      </w:pPr>
      <w:r>
        <w:rPr>
          <w:rFonts w:ascii="Times New Roman" w:cs="Times New Roman" w:eastAsia="Times New Roman" w:hAnsi="Times New Roman"/>
          <w:b/>
          <w:bCs/>
          <w:color w:val="1F3A5F"/>
          <w:sz w:val="28"/>
          <w:szCs w:val="28"/>
        </w:rPr>
        <w:t xml:space="preserve">1. TÓM TẮT DỰ ÁN</w:t>
      </w:r>
    </w:p>
    <w:p>
      <w:pPr>
        <w:spacing w:after="100" w:before="0" w:line="276"/>
        <w:jc w:val="both"/>
      </w:pPr>
      <w:r>
        <w:rPr>
          <w:rFonts w:ascii="Times New Roman" w:cs="Times New Roman" w:eastAsia="Times New Roman" w:hAnsi="Times New Roman"/>
          <w:sz w:val="22"/>
          <w:szCs w:val="22"/>
        </w:rPr>
        <w:t xml:space="preserve">SmartBooking là dự án phát triển ứng dụng (di động và web) giúp các cơ sở kinh doanh dịch vụ nhỏ như salon, spa, phòng khám tư nhân, phòng tập, trung tâm dạy kèm, tiệm sửa chữa… quản lý lịch hẹn, nhân viên, khách hàng và doanh thu; đồng thời giúp khách hàng tìm dịch vụ, xem lịch trống và đặt lịch nhanh. Kế hoạch gốc đặt mục tiêu hoàn thành phiên bản đầu tiên trong 6 tháng.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Chỉ tiêu</w:t>
            </w:r>
          </w:p>
        </w:tc>
        <w:tc>
          <w:tcPr>
            <w:tcW w:type="dxa" w:w="665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Tên dự án</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SmartBooking</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Lĩnh vực</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Công nghệ, phần mềm (ứng dụng quản lý và đặt lịch dịch vụ)</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Mục tiêu</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Xây dựng và phát hành phiên bản đầu tiên của ứng dụng đặt lịch và quản lý dịch vụ</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dự kiến</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6 tháng</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vốn đầu tư dự kiến</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250.000.000 VNĐ</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tự có dự kiến</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50.000.000 VNĐ (20,00%)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cần gọi</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200.000.000 VNĐ (80,00%)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đã huy động tại thời điểm lập kế hoạch</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0 VNĐ theo tài liệu gốc</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bắt đầu đầu tư</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Kể từ khi đăng bài/khởi động gọi vốn</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gọi vốn</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Dự kiến 2 tháng kể từ khi đăng bài/khởi động gọi vốn</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Trạng thái</w:t>
            </w:r>
          </w:p>
        </w:tc>
        <w:tc>
          <w:tcPr>
            <w:tcW w:type="dxa" w:w="6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Lên kế hoạch</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1.1. Mục tiêu gọi vốn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Huy động đủ 200 triệu đồng để hoàn thiện phần vốn còn thiếu theo ngân sách tổng 250 triệu đồng.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Ưu tiên chi cho nhân sự phát triển, thiết kế và hạ tầng kỹ thuật, kiểm thử bảo mật, marketing thử nghiệm với nhóm cơ sở dùng thử và quỹ dự phòng.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Chỉ triển khai chi tiêu theo ngân sách và mốc tiến độ đã thống nhất; lưu chứng từ và báo cáo định kỳ cho người góp vốn.</w:t>
      </w:r>
    </w:p>
    <w:p>
      <w:pPr>
        <w:pStyle w:val="Heading2"/>
        <w:keepNext/>
        <w:spacing w:after="80" w:before="200"/>
      </w:pPr>
      <w:r>
        <w:rPr>
          <w:rFonts w:ascii="Times New Roman" w:cs="Times New Roman" w:eastAsia="Times New Roman" w:hAnsi="Times New Roman"/>
          <w:b/>
          <w:bCs/>
          <w:color w:val="1F3A5F"/>
          <w:sz w:val="24"/>
          <w:szCs w:val="24"/>
        </w:rPr>
        <w:t xml:space="preserve">1.2. Kết quả đầu ra dự kiến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Bản thiết kế giao diện và mô hình dữ liệu được kiểm chứng với người dùng thử (cuối tháng 2).</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Bản thử nghiệm chạy được luồng đặt lịch từ đầu đến cuối cho cả khách hàng và cơ sở dịch vụ (cuối tháng 4).</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Phiên bản đầu tiên (v1.0) được kiểm thử, kiểm tra bảo mật cơ bản và đưa lên cửa hàng ứng dụng/web (cuối tháng 6).</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Báo cáo sử dụng vốn, báo cáo kết quả dùng thử (số cơ sở, số lịch đặt, lỗi, phản hồi) để đánh giá khả năng thu hút người dùng và mô hình doanh thu.</w:t>
      </w:r>
    </w:p>
    <w:p>
      <w:pPr>
        <w:pStyle w:val="Heading1"/>
        <w:keepNext/>
        <w:spacing w:after="120" w:before="280"/>
      </w:pPr>
      <w:r>
        <w:rPr>
          <w:rFonts w:ascii="Times New Roman" w:cs="Times New Roman" w:eastAsia="Times New Roman" w:hAnsi="Times New Roman"/>
          <w:b/>
          <w:bCs/>
          <w:color w:val="1F3A5F"/>
          <w:sz w:val="28"/>
          <w:szCs w:val="28"/>
        </w:rPr>
        <w:t xml:space="preserve">2. VẤN ĐỀ, GIẢI PHÁP VÀ SẢN PHẨM</w:t>
      </w:r>
    </w:p>
    <w:p>
      <w:pPr>
        <w:pStyle w:val="Heading2"/>
        <w:keepNext/>
        <w:spacing w:after="80" w:before="200"/>
      </w:pPr>
      <w:r>
        <w:rPr>
          <w:rFonts w:ascii="Times New Roman" w:cs="Times New Roman" w:eastAsia="Times New Roman" w:hAnsi="Times New Roman"/>
          <w:b/>
          <w:bCs/>
          <w:color w:val="1F3A5F"/>
          <w:sz w:val="24"/>
          <w:szCs w:val="24"/>
        </w:rPr>
        <w:t xml:space="preserve">2.1. Vấn đề cần giải quyết (giả thuyết cần kiểm chứng)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Nhiều cơ sở dịch vụ nhỏ vẫn nhận lịch qua điện thoại, tin nhắn Zalo/Facebook hoặc ghi sổ/bảng tính, dễ trùng lịch, quên lịch, khó theo dõi nhân viên và doanh thu.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Khách hàng khó biết khung giờ còn trống, phải nhắn tin chờ phản hồi; tỷ lệ khách hẹn rồi không đến (no-show) làm mất doanh thu của cơ sở.</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Chủ cơ sở thiếu số liệu đơn giản về khách quay lại, dịch vụ bán chạy, hiệu suất từng nhân viên để ra quyết định.</w:t>
      </w:r>
    </w:p>
    <w:p>
      <w:pPr>
        <w:spacing w:after="100" w:before="0" w:line="276"/>
        <w:jc w:val="both"/>
      </w:pPr>
      <w:r>
        <w:rPr>
          <w:rFonts w:ascii="Times New Roman" w:cs="Times New Roman" w:eastAsia="Times New Roman" w:hAnsi="Times New Roman"/>
          <w:i/>
          <w:iCs/>
          <w:sz w:val="22"/>
          <w:szCs w:val="22"/>
        </w:rPr>
        <w:t xml:space="preserve">Các nhận định trên là giả thuyết ban đầu, cần xác minh bằng phỏng vấn và khảo sát thực tế trong giai đoạn 1 trước khi cam kết phạm vi sản phẩm.</w:t>
      </w:r>
    </w:p>
    <w:p>
      <w:pPr>
        <w:pStyle w:val="Heading2"/>
        <w:keepNext/>
        <w:spacing w:after="80" w:before="200"/>
      </w:pPr>
      <w:r>
        <w:rPr>
          <w:rFonts w:ascii="Times New Roman" w:cs="Times New Roman" w:eastAsia="Times New Roman" w:hAnsi="Times New Roman"/>
          <w:b/>
          <w:bCs/>
          <w:color w:val="1F3A5F"/>
          <w:sz w:val="24"/>
          <w:szCs w:val="24"/>
        </w:rPr>
        <w:t xml:space="preserve">2.2. Giải pháp đề xuất</w:t>
      </w:r>
    </w:p>
    <w:p>
      <w:pPr>
        <w:spacing w:after="100" w:before="0" w:line="276"/>
        <w:jc w:val="both"/>
      </w:pPr>
      <w:r>
        <w:rPr>
          <w:rFonts w:ascii="Times New Roman" w:cs="Times New Roman" w:eastAsia="Times New Roman" w:hAnsi="Times New Roman"/>
          <w:sz w:val="22"/>
          <w:szCs w:val="22"/>
        </w:rPr>
        <w:t xml:space="preserve">SmartBooking gồm ba thành phần: (1) ứng dụng/web cho khách hàng để tìm dịch vụ, xem lịch trống, đặt/đổi/hủy lịch và nhận nhắc lịch; (2) bảng điều khiển web cho cơ sở dịch vụ để quản lý dịch vụ, nhân viên, lịch hẹn, khách hàng và báo cáo; (3) trang quản trị nội bộ để hỗ trợ và giám sát hệ thống.</w:t>
      </w:r>
    </w:p>
    <w:p>
      <w:pPr>
        <w:pStyle w:val="Heading2"/>
        <w:keepNext/>
        <w:spacing w:after="80" w:before="200"/>
      </w:pPr>
      <w:r>
        <w:rPr>
          <w:rFonts w:ascii="Times New Roman" w:cs="Times New Roman" w:eastAsia="Times New Roman" w:hAnsi="Times New Roman"/>
          <w:b/>
          <w:bCs/>
          <w:color w:val="1F3A5F"/>
          <w:sz w:val="24"/>
          <w:szCs w:val="24"/>
        </w:rPr>
        <w:t xml:space="preserve">2.3. Chức năng phiên bản đầu tiên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6249"/>
        <w:gridCol w:w="1815"/>
      </w:tblGrid>
      <w:tr>
        <w:trPr>
          <w:cantSplit/>
          <w:tblHeader/>
        </w:trPr>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Nhóm người dùng</w:t>
            </w:r>
          </w:p>
        </w:tc>
        <w:tc>
          <w:tcPr>
            <w:tcW w:type="dxa" w:w="624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Chức năng</w:t>
            </w:r>
          </w:p>
        </w:tc>
        <w:tc>
          <w:tcPr>
            <w:tcW w:type="dxa" w:w="181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ưu tiên</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Đăng ký/đăng nhập (số điện thoại hoặc email, xác thực OTP)</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Tìm cơ sở theo loại dịch vụ, khu vực; xem bảng giá, hình ảnh, đánh giá</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Xem lịch trống theo dịch vụ/nhân viên; đặt, đổi, hủy lịch</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Nhận thông báo xác nhận và nhắc lịch (thông báo đẩy, SMS/Zalo hoặc email tùy chi phí)</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Đặt cọc/thanh toán trước qua cổng thanh toán hoặc mã QR</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Nên có</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Đánh giá sau dịch vụ; lịch sử đặt lịch</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Nên có</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danh mục dịch vụ, thời lượng, giá; thiết lập giờ làm việc và ngày nghỉ</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nhân viên, phân ca và lịch riêng từng nhân viên</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Lịch hẹn dạng ngày/tuần; xác nhận, từ chối, dời lịch; chống trùng lịch</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hồ sơ khách hàng, ghi chú, lịch sử sử dụng dịch vụ</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cáo cơ bản: số lịch, doanh thu ước tính, tỷ lệ hủy/no-show, dịch vụ bán chạy</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Nên có</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Đồng bộ lịch với Google Calendar</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Nên có</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trị hệ thống</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tài khoản cơ sở, gói dịch vụ, hỗ trợ khách, nhật ký hệ thống</w:t>
            </w:r>
          </w:p>
        </w:tc>
        <w:tc>
          <w:tcPr>
            <w:tcW w:type="dxa" w:w="18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Bắt buộc</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2.4. Ngoài phạm vi phiên bản đầu tiên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Chợ dịch vụ có xếp hạng và quảng cáo trả phí; chương trình tích điểm/khuyến mãi phức tạp.</w:t>
      </w:r>
    </w:p>
    <w:p>
      <w:pPr>
        <w:pStyle w:val="ListParagraph"/>
        <w:numPr>
          <w:ilvl w:val="0"/>
          <w:numId w:val="2"/>
        </w:numPr>
        <w:spacing w:after="60" w:line="276"/>
        <w:jc w:val="both"/>
      </w:pPr>
      <w:r>
        <w:rPr>
          <w:rFonts w:ascii="Times New Roman" w:cs="Times New Roman" w:eastAsia="Times New Roman" w:hAnsi="Times New Roman"/>
          <w:sz w:val="22"/>
          <w:szCs w:val="22"/>
        </w:rPr>
        <w:t xml:space="preserve">Quản lý kho, kế toán đầy đủ, quản lý chuỗi nhiều chi nhánh; gọi video tư vấn trực tuyến.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Tự động gợi ý lịch bằng trí tuệ nhân tạo; ứng dụng riêng cho nhân viên (nhân viên dùng chung bảng điều khiển web ở phiên bản đầu).</w:t>
      </w:r>
    </w:p>
    <w:p>
      <w:pPr>
        <w:spacing w:after="100" w:before="0" w:line="276"/>
        <w:jc w:val="both"/>
      </w:pPr>
      <w:r>
        <w:rPr>
          <w:rFonts w:ascii="Times New Roman" w:cs="Times New Roman" w:eastAsia="Times New Roman" w:hAnsi="Times New Roman"/>
          <w:i/>
          <w:iCs/>
          <w:sz w:val="22"/>
          <w:szCs w:val="22"/>
        </w:rPr>
        <w:t xml:space="preserve">Phạm vi trên là mục tiêu thiết kế ban đầu, không phải cam kết sản phẩm cuối cùng. Phạm vi sẽ được điều chỉnh sau khi có bản thiết kế được kiểm chứng và dự toán kỹ thuật chi tiết.</w:t>
      </w:r>
    </w:p>
    <w:p>
      <w:pPr>
        <w:pStyle w:val="Heading2"/>
        <w:keepNext/>
        <w:spacing w:after="80" w:before="200"/>
      </w:pPr>
      <w:r>
        <w:rPr>
          <w:rFonts w:ascii="Times New Roman" w:cs="Times New Roman" w:eastAsia="Times New Roman" w:hAnsi="Times New Roman"/>
          <w:b/>
          <w:bCs/>
          <w:color w:val="1F3A5F"/>
          <w:sz w:val="24"/>
          <w:szCs w:val="24"/>
        </w:rPr>
        <w:t xml:space="preserve">2.5. Công nghệ dự kiến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233"/>
        <w:gridCol w:w="3630"/>
      </w:tblGrid>
      <w:tr>
        <w:trPr>
          <w:cantSplit/>
          <w:tblHeader/>
        </w:trPr>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Thành phần</w:t>
            </w:r>
          </w:p>
        </w:tc>
        <w:tc>
          <w:tcPr>
            <w:tcW w:type="dxa" w:w="423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Lựa chọn đề xuất</w:t>
            </w:r>
          </w:p>
        </w:tc>
        <w:tc>
          <w:tcPr>
            <w:tcW w:type="dxa" w:w="363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Lý do</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Ứng dụng di động</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Flutter (một mã nguồn cho Android và iOS)</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Tiết kiệm nhân lực so với làm riêng hai nền tảng</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Bảng điều khiển web</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React</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Phổ biến, dễ tuyển người, tái sử dụng thành phần giao diện</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Máy chủ/API</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Node.js (NestJS) với API REST</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Phát triển nhanh, dễ kiểm thử và mở rộng</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dữ liệu</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PostgreSQL; Redis cho bộ nhớ đệm và hàng đợi nhắc lịch</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Phù hợp dữ liệu lịch hẹn có ràng buộc và giao dịch</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Hạ tầng</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Dịch vụ điện toán đám mây, sao lưu tự động, CI/CD</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Chi phí linh hoạt theo số người dùng</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Tích hợp bên thứ ba</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Cổng thanh toán/QR, dịch vụ SMS/OTP hoặc Zalo, thông báo đẩy, Google Calendar</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Cần xác nhận điều kiện đăng ký và phí từng nhà cung cấp</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Công cụ làm việc</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Figma, công cụ quản lý công việc, kho mã nguồn có kiểm soát truy cập</w:t>
            </w:r>
          </w:p>
        </w:tc>
        <w:tc>
          <w:tcPr>
            <w:tcW w:type="dxa" w:w="36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tiến độ và chất lượng minh bạch</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2.6. Yêu cầu chất lượng tối thiểu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Bảo mật: mã hóa dữ liệu khi truyền và lưu trữ phù hợp; phân quyền theo vai trò; không lưu thông tin thẻ thanh toán trên hệ thống của dự án.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Dữ liệu cá nhân: chỉ thu thập dữ liệu cần thiết, có chính sách quyền riêng tư và thông báo rõ mục đích; tuân thủ quy định bảo vệ dữ liệu cá nhân hiện hành.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Hiệu năng và ổn định: thời gian phản hồi thao tác chính dưới 2 giây trong điều kiện bình thường; mục tiêu sẵn sàng dịch vụ từ 99% sau khi phát hành (mục tiêu đề xuất).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Chống trùng lịch: một khung giờ của một nhân viên không thể được đặt hai lần, kể cả khi hai người đặt gần như đồng thời.</w:t>
      </w:r>
    </w:p>
    <w:p>
      <w:pPr>
        <w:pStyle w:val="Heading1"/>
        <w:keepNext/>
        <w:spacing w:after="120" w:before="280"/>
      </w:pPr>
      <w:r>
        <w:rPr>
          <w:rFonts w:ascii="Times New Roman" w:cs="Times New Roman" w:eastAsia="Times New Roman" w:hAnsi="Times New Roman"/>
          <w:b/>
          <w:bCs/>
          <w:color w:val="1F3A5F"/>
          <w:sz w:val="28"/>
          <w:szCs w:val="28"/>
        </w:rPr>
        <w:t xml:space="preserve">3. KHÁCH HÀNG VÀ THỊ TRƯỜNG</w:t>
      </w:r>
    </w:p>
    <w:p>
      <w:pPr>
        <w:pStyle w:val="Heading2"/>
        <w:keepNext/>
        <w:spacing w:after="80" w:before="200"/>
      </w:pPr>
      <w:r>
        <w:rPr>
          <w:rFonts w:ascii="Times New Roman" w:cs="Times New Roman" w:eastAsia="Times New Roman" w:hAnsi="Times New Roman"/>
          <w:b/>
          <w:bCs/>
          <w:color w:val="1F3A5F"/>
          <w:sz w:val="24"/>
          <w:szCs w:val="24"/>
        </w:rPr>
        <w:t xml:space="preserve">3.1. Khách hàng mục tiêu – giả thuyết cần kiểm chứng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2620"/>
        <w:gridCol w:w="2420"/>
      </w:tblGrid>
      <w:tr>
        <w:trPr>
          <w:cantSplit/>
          <w:tblHeader/>
        </w:trPr>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Nhóm</w:t>
            </w:r>
          </w:p>
        </w:tc>
        <w:tc>
          <w:tcPr>
            <w:tcW w:type="dxa" w:w="302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Mô tả</w:t>
            </w:r>
          </w:p>
        </w:tc>
        <w:tc>
          <w:tcPr>
            <w:tcW w:type="dxa" w:w="26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Nhu cầu chính</w:t>
            </w:r>
          </w:p>
        </w:tc>
        <w:tc>
          <w:tcPr>
            <w:tcW w:type="dxa" w:w="24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Cách kiểm chứng</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sở dịch vụ nhỏ (khách hàng trả phí)</w:t>
            </w:r>
          </w:p>
        </w:tc>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Salon, spa, phòng tập, phòng khám tư, trung tâm dạy kèm có từ 1–10 nhân viên</w:t>
            </w:r>
          </w:p>
        </w:tc>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Giảm trùng lịch, giảm no-show, theo dõi doanh thu đơn giản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Phỏng vấn 15–20 chủ cơ sở; dùng thử bản mẫu</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hàng cuối</w:t>
            </w:r>
          </w:p>
        </w:tc>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Người đi làm/sinh viên quen dùng điện thoại, hay đặt dịch vụ làm đẹp, sức khỏe, học tập</w:t>
            </w:r>
          </w:p>
        </w:tc>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Biết lịch trống ngay, đặt nhanh, được nhắc lịch</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Khảo sát nhanh; thử luồng đặt lịch trên bản mẫu</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Nhân viên cơ sở</w:t>
            </w:r>
          </w:p>
        </w:tc>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Thợ/kỹ thuật viên/huấn luyện viên</w:t>
            </w:r>
          </w:p>
        </w:tc>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Xem lịch cá nhân rõ ràng, ít nhầm lịch</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Quan sát và phản hồi trong giai đoạn dùng thử</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3.2. Giải pháp thay thế và đối thủ</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2419"/>
        <w:gridCol w:w="2217"/>
        <w:gridCol w:w="3227"/>
      </w:tblGrid>
      <w:tr>
        <w:trPr>
          <w:cantSplit/>
          <w:tblHeader/>
        </w:trPr>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Nhóm giải pháp</w:t>
            </w:r>
          </w:p>
        </w:tc>
        <w:tc>
          <w:tcPr>
            <w:tcW w:type="dxa" w:w="24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Ví dụ</w:t>
            </w:r>
          </w:p>
        </w:tc>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Điểm mạnh</w:t>
            </w:r>
          </w:p>
        </w:tc>
        <w:tc>
          <w:tcPr>
            <w:tcW w:type="dxa" w:w="32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Hạn chế cần khai thác</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Cách làm thủ công</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Nhắn tin Zalo/Facebook, sổ giấy, Excel/Google Sheets</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Miễn phí, quen thuộc</w:t>
            </w:r>
          </w:p>
        </w:tc>
        <w:tc>
          <w:tcPr>
            <w:tcW w:type="dxa" w:w="32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Dễ nhầm, khó nhắc lịch tự động, không có báo cáo</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Công cụ đặt lịch tổng quát</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Calendly, Setmore…</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Hoàn thiện, nhiều tích hợp</w:t>
            </w:r>
          </w:p>
        </w:tc>
        <w:tc>
          <w:tcPr>
            <w:tcW w:type="dxa" w:w="32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Giao diện/thanh toán/thói quen chưa sát cơ sở dịch vụ địa phương, phí bằng ngoại tệ</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Nền tảng đặt lịch ngành làm đẹp/sức khỏe</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Fresha…</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Chuyên ngành, có thị trường khách hàng</w:t>
            </w:r>
          </w:p>
        </w:tc>
        <w:tc>
          <w:tcPr>
            <w:tcW w:type="dxa" w:w="32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Chủ yếu hướng đến thị trường quốc tế; mức độ phù hợp với cơ sở nhỏ tại Việt Nam cần kiểm chứng</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Phần mềm quản lý riêng từng ngành</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Phần mềm tính tiền/quản lý spa, phòng tập trong nước</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Chức năng sâu theo ngành</w:t>
            </w:r>
          </w:p>
        </w:tc>
        <w:tc>
          <w:tcPr>
            <w:tcW w:type="dxa" w:w="32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Thường nặng, giá cao hoặc ít chú trọng đặt lịch cho khách hàng</w:t>
            </w:r>
          </w:p>
        </w:tc>
      </w:tr>
    </w:tbl>
    <w:p>
      <w:pPr>
        <w:spacing w:after="60"/>
      </w:pPr>
    </w:p>
    <w:p>
      <w:pPr>
        <w:spacing w:after="100" w:before="0" w:line="276"/>
        <w:jc w:val="both"/>
      </w:pPr>
      <w:r>
        <w:rPr>
          <w:rFonts w:ascii="Times New Roman" w:cs="Times New Roman" w:eastAsia="Times New Roman" w:hAnsi="Times New Roman"/>
          <w:i/>
          <w:iCs/>
          <w:sz w:val="22"/>
          <w:szCs w:val="22"/>
        </w:rPr>
        <w:t xml:space="preserve">Danh sách trên chỉ nêu ví dụ để định hướng khảo sát; nhóm dự án cần tự lập bảng so sánh giá, tính năng, đánh giá của người dùng từ ít nhất 5 đối thủ thực tế trước khi công bố nhận định về lợi thế cạnh tranh.</w:t>
      </w:r>
    </w:p>
    <w:p>
      <w:pPr>
        <w:pStyle w:val="Heading2"/>
        <w:keepNext/>
        <w:spacing w:after="80" w:before="200"/>
      </w:pPr>
      <w:r>
        <w:rPr>
          <w:rFonts w:ascii="Times New Roman" w:cs="Times New Roman" w:eastAsia="Times New Roman" w:hAnsi="Times New Roman"/>
          <w:b/>
          <w:bCs/>
          <w:color w:val="1F3A5F"/>
          <w:sz w:val="24"/>
          <w:szCs w:val="24"/>
        </w:rPr>
        <w:t xml:space="preserve">3.3. Định vị và lợi thế dự kiến</w:t>
      </w:r>
    </w:p>
    <w:p>
      <w:pPr>
        <w:spacing w:after="100" w:before="0" w:line="276"/>
        <w:jc w:val="both"/>
      </w:pPr>
      <w:r>
        <w:rPr>
          <w:rFonts w:ascii="Times New Roman" w:cs="Times New Roman" w:eastAsia="Times New Roman" w:hAnsi="Times New Roman"/>
          <w:sz w:val="22"/>
          <w:szCs w:val="22"/>
        </w:rPr>
        <w:t xml:space="preserve">Định vị đề xuất: ứng dụng đặt lịch và quản lý đơn giản, giá hợp lý, giao diện tiếng Việt, tập trung vào hai việc quan trọng nhất là chống trùng lịch và nhắc lịch tự động để giảm no-show. Đây là định hướng cần được xác minh qua dùng thử; không xem là lợi thế đã được chứng minh trước khi có dữ liệu người dùng thực tế.</w:t>
      </w:r>
    </w:p>
    <w:p>
      <w:pPr>
        <w:pStyle w:val="Heading2"/>
        <w:keepNext/>
        <w:spacing w:after="80" w:before="200"/>
      </w:pPr>
      <w:r>
        <w:rPr>
          <w:rFonts w:ascii="Times New Roman" w:cs="Times New Roman" w:eastAsia="Times New Roman" w:hAnsi="Times New Roman"/>
          <w:b/>
          <w:bCs/>
          <w:color w:val="1F3A5F"/>
          <w:sz w:val="24"/>
          <w:szCs w:val="24"/>
        </w:rPr>
        <w:t xml:space="preserve">3.4. Hoạt động kiểm chứng nhu cầu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838"/>
        <w:gridCol w:w="3025"/>
      </w:tblGrid>
      <w:tr>
        <w:trPr>
          <w:cantSplit/>
          <w:tblHeader/>
        </w:trPr>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Việc cần làm</w:t>
            </w:r>
          </w:p>
        </w:tc>
        <w:tc>
          <w:tcPr>
            <w:tcW w:type="dxa" w:w="483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Cách thực hiện</w:t>
            </w:r>
          </w:p>
        </w:tc>
        <w:tc>
          <w:tcPr>
            <w:tcW w:type="dxa" w:w="302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Đầu ra</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Phỏng vấn cơ sở dịch vụ</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Hỏi cách nhận lịch hiện tại, số lịch/ngày, tỷ lệ no-show, công cụ đang dùng, mức sẵn sàng trả phí</w:t>
            </w:r>
          </w:p>
        </w:tc>
        <w:tc>
          <w:tcPr>
            <w:tcW w:type="dxa" w:w="30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Tổng hợp phỏng vấn, danh sách cơ sở sẵn sàng dùng thử</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Khảo sát khách hàng cuối</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Biểu mẫu ngắn về thói quen đặt lịch, kênh ưa thích, nỗi khó chịu khi đặt lịch</w:t>
            </w:r>
          </w:p>
        </w:tc>
        <w:tc>
          <w:tcPr>
            <w:tcW w:type="dxa" w:w="30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Tổng hợp phản hồi</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thử bản mẫu</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Cho người dùng thao tác trên bản mẫu tương tác, đo tỷ lệ hoàn thành luồng đặt lịch</w:t>
            </w:r>
          </w:p>
        </w:tc>
        <w:tc>
          <w:tcPr>
            <w:tcW w:type="dxa" w:w="30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cáo kiểm thử khả năng sử dụng</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Thử mức giá</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Trình bày 2–3 mức giá gói cho cơ sở, ghi nhận mức chấp nhận</w:t>
            </w:r>
          </w:p>
        </w:tc>
        <w:tc>
          <w:tcPr>
            <w:tcW w:type="dxa" w:w="30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Bảng phản hồi về giá</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Khảo sát đối thủ</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Ghi nhận tính năng, giá, đánh giá công khai của các đối thủ</w:t>
            </w:r>
          </w:p>
        </w:tc>
        <w:tc>
          <w:tcPr>
            <w:tcW w:type="dxa" w:w="30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Bảng đối thủ cạnh tranh</w:t>
            </w:r>
          </w:p>
        </w:tc>
      </w:tr>
    </w:tbl>
    <w:p>
      <w:pPr>
        <w:spacing w:after="60"/>
      </w:pPr>
    </w:p>
    <w:p>
      <w:pPr>
        <w:pStyle w:val="Heading1"/>
        <w:keepNext/>
        <w:spacing w:after="120" w:before="280"/>
      </w:pPr>
      <w:r>
        <w:rPr>
          <w:rFonts w:ascii="Times New Roman" w:cs="Times New Roman" w:eastAsia="Times New Roman" w:hAnsi="Times New Roman"/>
          <w:b/>
          <w:bCs/>
          <w:color w:val="1F3A5F"/>
          <w:sz w:val="28"/>
          <w:szCs w:val="28"/>
        </w:rPr>
        <w:t xml:space="preserve">4. MÔ HÌNH KINH DOANH VÀ VẬN HÀNH</w:t>
      </w:r>
    </w:p>
    <w:p>
      <w:pPr>
        <w:pStyle w:val="Heading2"/>
        <w:keepNext/>
        <w:spacing w:after="80" w:before="200"/>
      </w:pPr>
      <w:r>
        <w:rPr>
          <w:rFonts w:ascii="Times New Roman" w:cs="Times New Roman" w:eastAsia="Times New Roman" w:hAnsi="Times New Roman"/>
          <w:b/>
          <w:bCs/>
          <w:color w:val="1F3A5F"/>
          <w:sz w:val="24"/>
          <w:szCs w:val="24"/>
        </w:rPr>
        <w:t xml:space="preserve">4.1. Nguồn thu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Nguồn thu chính: phí thuê bao hằng tháng của cơ sở dịch vụ theo gói.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Nguồn thu bổ sung (chưa tính vào dự báo gốc): phí nhắc lịch qua SMS/Zalo vượt hạn mức, phí hỗ trợ cài đặt ban đầu, phí giao dịch đặt cọc nếu có thỏa thuận với cổng thanh toán.</w:t>
      </w:r>
    </w:p>
    <w:p>
      <w:pPr>
        <w:spacing w:after="100" w:before="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Bảng giá gói – giả định minh họa, cần thử nghiệm với khách hàng:</w:t>
      </w:r>
      <w:r>
        <w:rPr>
          <w:rFonts w:ascii="Times New Roman" w:cs="Times New Roman" w:eastAsia="Times New Roman" w:hAnsi="Times New Roman"/>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4839"/>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Gói</w:t>
            </w:r>
          </w:p>
        </w:tc>
        <w:tc>
          <w:tcPr>
            <w:tcW w:type="dxa" w:w="24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Giá giả định/tháng</w:t>
            </w:r>
          </w:p>
        </w:tc>
        <w:tc>
          <w:tcPr>
            <w:tcW w:type="dxa" w:w="483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 chính</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Miễn phí</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 nhân viên, tối đa 30 lịch/tháng, nhắc lịch qua thông báo đẩy; dùng để thu hút và kiểm chứng</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Cơ bản</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199.000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Đến 5 nhân viên, không giới hạn lịch, nhắc lịch tự động, báo cáo cơ bản</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Nâng cao</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399.000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Đến 15 nhân viên, đặt cọc trực tuyến, đồng bộ Google Calendar, báo cáo chi tiết, hạn mức SMS/Zalo cao hơn</w:t>
            </w:r>
          </w:p>
        </w:tc>
      </w:tr>
      <w:tr>
        <w:trPr>
          <w:cantSplit/>
        </w:trPr>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thu bình quân giả định (ARPU)</w:t>
            </w:r>
          </w:p>
        </w:tc>
        <w:tc>
          <w:tcPr>
            <w:tcW w:type="dxa" w:w="2419"/>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300.000 VNĐ/cơ sở trả phí/tháng</w:t>
            </w:r>
          </w:p>
        </w:tc>
        <w:tc>
          <w:tcPr>
            <w:tcW w:type="dxa" w:w="4839"/>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Dùng để tính dự báo doanh thu ở mục 8</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4.2. Kênh tiếp cận khách hàng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Tiếp cận trực tiếp: gặp và hướng dẫn cài đặt miễn phí cho nhóm cơ sở dùng thử trong khu vực của nhóm dự án.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Cộng đồng chủ cơ sở dịch vụ trên mạng xã hội; nội dung hướng dẫn giảm no-show, quản lý lịch hiệu quả.</w:t>
      </w:r>
    </w:p>
    <w:p>
      <w:pPr>
        <w:pStyle w:val="ListParagraph"/>
        <w:numPr>
          <w:ilvl w:val="0"/>
          <w:numId w:val="2"/>
        </w:numPr>
        <w:spacing w:after="60" w:line="276"/>
        <w:jc w:val="both"/>
      </w:pPr>
      <w:r>
        <w:rPr>
          <w:rFonts w:ascii="Times New Roman" w:cs="Times New Roman" w:eastAsia="Times New Roman" w:hAnsi="Times New Roman"/>
          <w:sz w:val="22"/>
          <w:szCs w:val="22"/>
        </w:rPr>
        <w:t xml:space="preserve">Giới thiệu chéo: cơ sở dùng thử giới thiệu cơ sở khác; ưu đãi tháng sử dụng cho người giới thiệu (nếu phù hợp ngân sách).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Quảng cáo trực tuyến có kiểm soát với ngân sách nhỏ, đo chi phí cho mỗi cơ sở đăng ký.</w:t>
      </w:r>
    </w:p>
    <w:p>
      <w:pPr>
        <w:pStyle w:val="Heading2"/>
        <w:keepNext/>
        <w:spacing w:after="80" w:before="200"/>
      </w:pPr>
      <w:r>
        <w:rPr>
          <w:rFonts w:ascii="Times New Roman" w:cs="Times New Roman" w:eastAsia="Times New Roman" w:hAnsi="Times New Roman"/>
          <w:b/>
          <w:bCs/>
          <w:color w:val="1F3A5F"/>
          <w:sz w:val="24"/>
          <w:szCs w:val="24"/>
        </w:rPr>
        <w:t xml:space="preserve">4.3. Quy trình vận hành sau phát hành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Tiếp nhận cơ sở mới: đăng ký, xác minh thông tin, hướng dẫn thiết lập dịch vụ/nhân viên/giờ làm việc trong 30–45 phút.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Hỗ trợ khách hàng: nhận yêu cầu qua một kênh chính, phân loại mức độ, phản hồi trong khung thời gian cam kết.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Quản lý lỗi: ghi nhận, phân loại mức độ, sửa lỗi nghiêm trọng ưu tiên trước; phát hành bản cập nhật theo chu kỳ rõ ràng.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Sao lưu và giám sát: sao lưu dữ liệu tự động, theo dõi tình trạng hệ thống, cảnh báo khi có sự cố.</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Hằng tuần: tổng hợp số cơ sở, số lịch, lỗi, phản hồi và đề xuất cải tiến; hằng tháng: báo cáo tài chính và dòng tiền cho người góp vốn.</w:t>
      </w:r>
    </w:p>
    <w:p>
      <w:pPr>
        <w:pStyle w:val="Heading2"/>
        <w:keepNext/>
        <w:spacing w:after="80" w:before="200"/>
      </w:pPr>
      <w:r>
        <w:rPr>
          <w:rFonts w:ascii="Times New Roman" w:cs="Times New Roman" w:eastAsia="Times New Roman" w:hAnsi="Times New Roman"/>
          <w:b/>
          <w:bCs/>
          <w:color w:val="1F3A5F"/>
          <w:sz w:val="24"/>
          <w:szCs w:val="24"/>
        </w:rPr>
        <w:t xml:space="preserve">4.4. Chỉ số theo dõi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241"/>
        <w:gridCol w:w="2823"/>
      </w:tblGrid>
      <w:tr>
        <w:trPr>
          <w:cantSplit/>
          <w:tblHeader/>
        </w:trPr>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Nhóm chỉ số</w:t>
            </w:r>
          </w:p>
        </w:tc>
        <w:tc>
          <w:tcPr>
            <w:tcW w:type="dxa" w:w="524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Theo dõi</w:t>
            </w:r>
          </w:p>
        </w:tc>
        <w:tc>
          <w:tcPr>
            <w:tcW w:type="dxa" w:w="282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Mục đích</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Thu hút</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Số cơ sở đăng ký, số cơ sở kích hoạt (tạo ít nhất 1 lịch), số lượt tải ứng dụng</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Đánh giá khả năng thu hút người dùng</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Sử dụng</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Số lịch đặt/tuần, số lịch/cơ sở, tỷ lệ hoàn thành luồng đặt lịch, tỷ lệ hủy và no-show</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Đo giá trị thực của sản phẩm</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Giữ chân</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Tỷ lệ cơ sở còn hoạt động sau 30/60/90 ngày; tỷ lệ khách đặt lại</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Đánh giá sự gắn bó</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Doanh thu</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Số cơ sở trả phí, doanh thu theo gói, tỷ lệ chuyển từ miễn phí sang trả phí, tỷ lệ rời bỏ</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Đánh giá mô hình doanh thu</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Chất lượng kỹ thuật</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Số lỗi mở theo mức độ, thời gian khắc phục, tỷ lệ sẵn sàng hệ thống</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soát chất lượng và chi phí bảo trì</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Dòng tiền</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Tiền đầu kỳ, thu, chi, tiền cuối kỳ, thời gian còn đủ tiền hoạt động</w:t>
            </w:r>
          </w:p>
        </w:tc>
        <w:tc>
          <w:tcPr>
            <w:tcW w:type="dxa" w:w="28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Bảo đảm khả năng thanh toán</w:t>
            </w:r>
          </w:p>
        </w:tc>
      </w:tr>
    </w:tbl>
    <w:p>
      <w:pPr>
        <w:spacing w:after="60"/>
      </w:pPr>
    </w:p>
    <w:p>
      <w:pPr>
        <w:pStyle w:val="Heading1"/>
        <w:keepNext/>
        <w:spacing w:after="120" w:before="280"/>
      </w:pPr>
      <w:r>
        <w:rPr>
          <w:rFonts w:ascii="Times New Roman" w:cs="Times New Roman" w:eastAsia="Times New Roman" w:hAnsi="Times New Roman"/>
          <w:b/>
          <w:bCs/>
          <w:color w:val="1F3A5F"/>
          <w:sz w:val="28"/>
          <w:szCs w:val="28"/>
        </w:rPr>
        <w:t xml:space="preserve">5. NGÂN SÁCH VÀ PHÂN BỔ VỐN CHI TIẾT</w:t>
      </w:r>
    </w:p>
    <w:p>
      <w:pPr>
        <w:spacing w:after="100" w:before="0" w:line="276"/>
        <w:jc w:val="both"/>
      </w:pPr>
      <w:r>
        <w:rPr>
          <w:rFonts w:ascii="Times New Roman" w:cs="Times New Roman" w:eastAsia="Times New Roman" w:hAnsi="Times New Roman"/>
          <w:sz w:val="22"/>
          <w:szCs w:val="22"/>
        </w:rPr>
        <w:t xml:space="preserve">Tổng ngân sách theo tài liệu gốc là 250.000.000 VNĐ. Bảng dưới đây giữ nguyên tổng các hạng mục gốc; các diễn giải chi tiết là khung dự toán minh họa để thay bằng báo giá và thỏa thuận thực tế trước khi cam kết chi.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3"/>
        <w:gridCol w:w="1310"/>
        <w:gridCol w:w="806"/>
        <w:gridCol w:w="3830"/>
        <w:gridCol w:w="2421"/>
      </w:tblGrid>
      <w:tr>
        <w:trPr>
          <w:cantSplit/>
          <w:tblHeader/>
        </w:trPr>
        <w:tc>
          <w:tcPr>
            <w:tcW w:type="dxa" w:w="17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Hạng mục</w:t>
            </w:r>
          </w:p>
        </w:tc>
        <w:tc>
          <w:tcPr>
            <w:tcW w:type="dxa" w:w="131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(VNĐ)</w:t>
            </w:r>
          </w:p>
        </w:tc>
        <w:tc>
          <w:tcPr>
            <w:tcW w:type="dxa" w:w="80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Tỷ trọng</w:t>
            </w:r>
          </w:p>
        </w:tc>
        <w:tc>
          <w:tcPr>
            <w:tcW w:type="dxa" w:w="383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 dự kiến</w:t>
            </w:r>
          </w:p>
        </w:tc>
        <w:tc>
          <w:tcPr>
            <w:tcW w:type="dxa" w:w="242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Căn cứ cần thu thập</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Nhân sự</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120.000.000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48,00%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sản phẩm, lập trình máy chủ, lập trình di động/web, kiểm thử, hạ tầng và bảo mật trong 6 tháng</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Hợp đồng/thỏa thuận từng vị trí, bảng phân công</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bị, công cụ và phần mềm</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bị kiểm thử, công cụ cộng tác, CI/CD và giám sát, tài khoản nhà phát triển ứng dụng</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giá thiết bị, bảng giá phần mềm</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phát triển sản phẩm</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giao diện/trải nghiệm, hạ tầng thử nghiệm, tích hợp bên thứ ba, kiểm thử bảo mật</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giá thiết kế, bảng giá đám mây, điều khoản nhà cung cấp</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Marketing và quảng bá</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10,00%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Trang giới thiệu, video demo, chương trình dùng thử, quảng cáo thử nghiệm, nội dung cộng đồng</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Kế hoạch nội dung, ngân sách quảng cáo</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Vận hành và dịch vụ</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10,00%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Máy chủ vận hành giai đoạn đầu, tin nhắn nhắc lịch, hỗ trợ khách hàng, pháp lý, kế toán</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giá nhà cung cấp, dự kiến lượng dùng</w:t>
            </w:r>
          </w:p>
        </w:tc>
      </w:tr>
      <w:tr>
        <w:trPr>
          <w:cantSplit/>
        </w:trPr>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Dự phòng</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30.000.000</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12,00%</w:t>
            </w:r>
          </w:p>
        </w:tc>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Bù biến động chi phí, kéo dài tiến độ, sửa lỗi lớn hoặc nhu cầu kỹ thuật phát sinh</w:t>
            </w:r>
          </w:p>
        </w:tc>
        <w:tc>
          <w:tcPr>
            <w:tcW w:type="dxa" w:w="242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Chỉ giải ngân khi có lý do và phê duyệt</w:t>
            </w:r>
          </w:p>
        </w:tc>
      </w:tr>
      <w:tr>
        <w:trPr>
          <w:cantSplit/>
        </w:trPr>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CỘNG</w:t>
            </w:r>
          </w:p>
        </w:tc>
        <w:tc>
          <w:tcPr>
            <w:tcW w:type="dxa" w:w="1310"/>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250.000.000</w:t>
            </w:r>
          </w:p>
        </w:tc>
        <w:tc>
          <w:tcPr>
            <w:tcW w:type="dxa" w:w="806"/>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100%</w:t>
            </w:r>
          </w:p>
        </w:tc>
        <w:tc>
          <w:tcPr>
            <w:tcW w:type="dxa" w:w="3830"/>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dự kiến của dự án</w:t>
            </w:r>
          </w:p>
        </w:tc>
        <w:tc>
          <w:tcPr>
            <w:tcW w:type="dxa" w:w="2421"/>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Cập nhật sau khảo sát/báo giá</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5.1. Dự toán chi tiết từng hạng mục (dữ liệu mẫu)</w:t>
      </w:r>
    </w:p>
    <w:p>
      <w:pPr>
        <w:spacing w:after="100" w:before="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 Nhân sự – 120.000.000 VNĐ.</w:t>
      </w:r>
      <w:r>
        <w:rPr>
          <w:rFonts w:ascii="Times New Roman" w:cs="Times New Roman" w:eastAsia="Times New Roman" w:hAnsi="Times New Roman"/>
          <w:sz w:val="22"/>
          <w:szCs w:val="22"/>
        </w:rPr>
        <w:t xml:space="preserve"> Các mức dưới đây là tổng chi cho cả 6 tháng của từng vị trí (kể cả hình thức làm bán thời gian hoặc theo hợp đồng), chưa tính các khoản khác nếu có thỏa thuận riêng.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5040"/>
        <w:gridCol w:w="2016"/>
      </w:tblGrid>
      <w:tr>
        <w:trPr>
          <w:cantSplit/>
          <w:tblHeader/>
        </w:trPr>
        <w:tc>
          <w:tcPr>
            <w:tcW w:type="dxa" w:w="302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Vị trí</w:t>
            </w:r>
          </w:p>
        </w:tc>
        <w:tc>
          <w:tcPr>
            <w:tcW w:type="dxa" w:w="504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Trách nhiệm chính</w:t>
            </w:r>
          </w:p>
        </w:tc>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chi 6 tháng (VNĐ)</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 lý sản phẩm/phân tích nghiệp vụ (chủ dự án)</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Làm rõ yêu cầu, ưu tiên chức năng, điều phối tiến độ, làm việc với người dùng thử</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20.000.000</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Trưởng nhóm kỹ thuật/lập trình máy chủ</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kiến trúc, mô hình dữ liệu, API, rà soát mã nguồn</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28.000.000</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Lập trình máy chủ</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Xây dựng chức năng lịch hẹn, thông báo, thanh toán, báo cáo</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22.000.000</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Lập trình di động/web</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Xây dựng ứng dụng khách hàng (Flutter) và bảng điều khiển web (React)</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26.000.000</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thử phần mềm</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Viết ca kiểm thử, kiểm thử chức năng và hồi quy, kiểm thử trên nhiều thiết bị</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14.000.000</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Hạ tầng và bảo mật (bán thời gian)</w:t>
            </w:r>
          </w:p>
        </w:tc>
        <w:tc>
          <w:tcPr>
            <w:tcW w:type="dxa" w:w="5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lập CI/CD, sao lưu, giám sát, rà soát bảo mật</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10.000.000</w:t>
            </w:r>
          </w:p>
        </w:tc>
      </w:tr>
      <w:tr>
        <w:trPr>
          <w:cantSplit/>
        </w:trPr>
        <w:tc>
          <w:tcPr>
            <w:tcW w:type="dxa" w:w="302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nhân sự</w:t>
            </w:r>
          </w:p>
        </w:tc>
        <w:tc>
          <w:tcPr>
            <w:tcW w:type="dxa" w:w="5040"/>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016"/>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120.000.000</w:t>
            </w:r>
          </w:p>
        </w:tc>
      </w:tr>
    </w:tbl>
    <w:p>
      <w:pPr>
        <w:spacing w:after="60"/>
      </w:pPr>
    </w:p>
    <w:p>
      <w:pPr>
        <w:spacing w:after="100" w:before="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b) Thiết bị, công cụ và phần mềm – 20.000.000 VNĐ.</w:t>
      </w:r>
      <w:r>
        <w:rPr>
          <w:rFonts w:ascii="Times New Roman" w:cs="Times New Roman" w:eastAsia="Times New Roman" w:hAnsi="Times New Roman"/>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5241"/>
        <w:gridCol w:w="2017"/>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chi</w:t>
            </w:r>
          </w:p>
        </w:tc>
        <w:tc>
          <w:tcPr>
            <w:tcW w:type="dxa" w:w="524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w:t>
            </w:r>
          </w:p>
        </w:tc>
        <w:tc>
          <w:tcPr>
            <w:tcW w:type="dxa" w:w="20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(VNĐ)</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bị kiểm thử</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Điện thoại Android và iOS phổ thông, máy tính bảng dùng để kiểm thử trên nhiều kích thước màn hình</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Công cụ cộng tác</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quản lý công việc, kho mã nguồn, tài liệu nội bộ trong 6 tháng</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CI/CD, giám sát, bảo mật</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Dịch vụ tự động build/kiểm thử, theo dõi lỗi và hiệu năng</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Tài khoản nhà phát triển và bản quyền</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Tài khoản đăng ứng dụng lên cửa hàng ứng dụng, tên miền, chứng chỉ bảo mật</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w:t>
            </w:r>
          </w:p>
        </w:tc>
      </w:tr>
      <w:tr>
        <w:trPr>
          <w:cantSplit/>
        </w:trPr>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5241"/>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0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20.000.000</w:t>
            </w:r>
          </w:p>
        </w:tc>
      </w:tr>
    </w:tbl>
    <w:p>
      <w:pPr>
        <w:spacing w:after="60"/>
      </w:pPr>
    </w:p>
    <w:p>
      <w:pPr>
        <w:spacing w:after="100" w:before="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 Thiết kế, phát triển sản phẩm – 30.000.000 VNĐ.</w:t>
      </w:r>
      <w:r>
        <w:rPr>
          <w:rFonts w:ascii="Times New Roman" w:cs="Times New Roman" w:eastAsia="Times New Roman" w:hAnsi="Times New Roman"/>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5241"/>
        <w:gridCol w:w="2017"/>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chi</w:t>
            </w:r>
          </w:p>
        </w:tc>
        <w:tc>
          <w:tcPr>
            <w:tcW w:type="dxa" w:w="524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w:t>
            </w:r>
          </w:p>
        </w:tc>
        <w:tc>
          <w:tcPr>
            <w:tcW w:type="dxa" w:w="20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(VNĐ)</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giao diện và trải nghiệm</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Luồng người dùng, giao diện khách hàng/cơ sở, bản mẫu tương tác, nhận diện cơ bản</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10.000.000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Hạ tầng thử nghiệm</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Môi trường phát triển và thử nghiệm trên đám mây trong 6 tháng</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Tích hợp bên thứ ba</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Cổng thanh toán/QR, SMS/OTP hoặc Zalo, thông báo đẩy, đồng bộ lịch</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thử bảo mật độc lập</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Rà soát và kiểm thử xâm nhập cơ bản trước khi phát hành</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w:t>
            </w:r>
          </w:p>
        </w:tc>
      </w:tr>
      <w:tr>
        <w:trPr>
          <w:cantSplit/>
        </w:trPr>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5241"/>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0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30.000.000</w:t>
            </w:r>
          </w:p>
        </w:tc>
      </w:tr>
    </w:tbl>
    <w:p>
      <w:pPr>
        <w:spacing w:after="60"/>
      </w:pPr>
    </w:p>
    <w:p>
      <w:pPr>
        <w:spacing w:after="100" w:before="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d) Marketing và quảng bá – 25.000.000 VNĐ.</w:t>
      </w:r>
      <w:r>
        <w:rPr>
          <w:rFonts w:ascii="Times New Roman" w:cs="Times New Roman" w:eastAsia="Times New Roman" w:hAnsi="Times New Roman"/>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5241"/>
        <w:gridCol w:w="2017"/>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chi</w:t>
            </w:r>
          </w:p>
        </w:tc>
        <w:tc>
          <w:tcPr>
            <w:tcW w:type="dxa" w:w="524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w:t>
            </w:r>
          </w:p>
        </w:tc>
        <w:tc>
          <w:tcPr>
            <w:tcW w:type="dxa" w:w="20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(VNĐ)</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Trang giới thiệu và video demo</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Trang đăng ký dùng thử, video hướng dẫn ngắn, bộ tài liệu giới thiệu</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Chương trình cơ sở dùng thử</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Hỗ trợ cài đặt, ưu đãi cho 10–20 cơ sở dùng thử đầu tiên</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Quảng cáo trực tuyến</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Quảng cáo thử nghiệm có kiểm soát, đo chi phí cho mỗi cơ sở đăng ký</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Nội dung và cộng đồng</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Bài viết hướng dẫn, quản lý nhóm cộng đồng chủ cơ sở</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Sự kiện nhỏ</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Buổi giới thiệu trực tiếp/trực tuyến cho cơ sở dịch vụ</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w:t>
            </w:r>
          </w:p>
        </w:tc>
      </w:tr>
      <w:tr>
        <w:trPr>
          <w:cantSplit/>
        </w:trPr>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5241"/>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0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w:t>
            </w:r>
          </w:p>
        </w:tc>
      </w:tr>
    </w:tbl>
    <w:p>
      <w:pPr>
        <w:spacing w:after="60"/>
      </w:pPr>
    </w:p>
    <w:p>
      <w:pPr>
        <w:spacing w:after="100" w:before="6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đ) Vận hành và dịch vụ – 25.000.000 VNĐ.</w:t>
      </w:r>
      <w:r>
        <w:rPr>
          <w:rFonts w:ascii="Times New Roman" w:cs="Times New Roman" w:eastAsia="Times New Roman" w:hAnsi="Times New Roman"/>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5241"/>
        <w:gridCol w:w="2017"/>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chi</w:t>
            </w:r>
          </w:p>
        </w:tc>
        <w:tc>
          <w:tcPr>
            <w:tcW w:type="dxa" w:w="524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Nội dung</w:t>
            </w:r>
          </w:p>
        </w:tc>
        <w:tc>
          <w:tcPr>
            <w:tcW w:type="dxa" w:w="20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(VNĐ)</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Máy chủ vận hành và tin nhắn</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Hạ tầng chạy thật giai đoạn đầu, hạn mức SMS/Zalo nhắc lịch cho người dùng thử</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Hỗ trợ khách hàng và đào tạo</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Tài liệu hướng dẫn, người trực hỗ trợ giai đoạn dùng thử và phát hành</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Pháp lý</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Điều khoản sử dụng, chính sách quyền riêng tư, rà soát hợp đồng</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Kế toán và hành chính</w:t>
            </w:r>
          </w:p>
        </w:tc>
        <w:tc>
          <w:tcPr>
            <w:tcW w:type="dxa" w:w="52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Sổ sách, theo dõi chứng từ, báo cáo cho người góp vốn</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w:t>
            </w:r>
          </w:p>
        </w:tc>
      </w:tr>
      <w:tr>
        <w:trPr>
          <w:cantSplit/>
        </w:trPr>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5241"/>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0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5.2. Nguồn hình thành vốn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016"/>
        <w:gridCol w:w="1209"/>
        <w:gridCol w:w="3428"/>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Nguồn vốn</w:t>
            </w:r>
          </w:p>
        </w:tc>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tiền</w:t>
            </w:r>
          </w:p>
        </w:tc>
        <w:tc>
          <w:tcPr>
            <w:tcW w:type="dxa" w:w="120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Tỷ trọng</w:t>
            </w:r>
          </w:p>
        </w:tc>
        <w:tc>
          <w:tcPr>
            <w:tcW w:type="dxa" w:w="342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Trạng thái</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Vốn tự có của chủ dự án</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50.000.000 VNĐ</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20,00%</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kế hoạch gốc; cần xác nhận chứng từ/khả năng góp</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Vốn cần huy động từ nhà đầu tư/đối tác</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200.000.000 VNĐ</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80,00%</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Mục tiêu gọi vốn</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Vốn đã huy động</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0 VNĐ</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0%</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tài liệu gốc tại thời điểm lập kế hoạch</w:t>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vốn dự án</w:t>
            </w:r>
          </w:p>
        </w:tc>
        <w:tc>
          <w:tcPr>
            <w:tcW w:type="dxa" w:w="2016"/>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250.000.000 VNĐ</w:t>
            </w:r>
          </w:p>
        </w:tc>
        <w:tc>
          <w:tcPr>
            <w:tcW w:type="dxa" w:w="1209"/>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100%</w:t>
            </w:r>
          </w:p>
        </w:tc>
        <w:tc>
          <w:tcPr>
            <w:tcW w:type="dxa" w:w="3428"/>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Không tính trùng các khoản góp</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5.3. Phân bổ chi theo giai đoạn (dữ liệu mẫu)</w:t>
      </w:r>
    </w:p>
    <w:p>
      <w:pPr>
        <w:spacing w:after="100" w:before="0" w:line="276"/>
        <w:jc w:val="both"/>
      </w:pPr>
      <w:r>
        <w:rPr>
          <w:rFonts w:ascii="Times New Roman" w:cs="Times New Roman" w:eastAsia="Times New Roman" w:hAnsi="Times New Roman"/>
          <w:sz w:val="22"/>
          <w:szCs w:val="22"/>
        </w:rPr>
        <w:t xml:space="preserve">Bảng dưới cho thấy nhu cầu tiền theo từng giai đoạn, phục vụ việc giải ngân theo mốc. Khoản dự phòng được giữ riêng và chỉ giải ngân khi có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713"/>
        <w:gridCol w:w="1713"/>
        <w:gridCol w:w="1713"/>
        <w:gridCol w:w="1514"/>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Hạng mục (triệu VNĐ)</w:t>
            </w:r>
          </w:p>
        </w:tc>
        <w:tc>
          <w:tcPr>
            <w:tcW w:type="dxa" w:w="17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Giai đoạn 1 (T1–2)</w:t>
            </w:r>
          </w:p>
        </w:tc>
        <w:tc>
          <w:tcPr>
            <w:tcW w:type="dxa" w:w="17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Giai đoạn 2 (T3–4)</w:t>
            </w:r>
          </w:p>
        </w:tc>
        <w:tc>
          <w:tcPr>
            <w:tcW w:type="dxa" w:w="17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Giai đoạn 3 (T5–6)</w:t>
            </w:r>
          </w:p>
        </w:tc>
        <w:tc>
          <w:tcPr>
            <w:tcW w:type="dxa" w:w="15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Nhân sự</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36</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48</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36</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bị, công cụ, phần mềm</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phát triển sản phẩm</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10</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11</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9</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Marketing và quảng bá</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8</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15</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Vận hành và dịch vụ</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15</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w:t>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Cộng chi theo kế hoạch</w:t>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63</w:t>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78</w:t>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79</w:t>
            </w:r>
          </w:p>
        </w:tc>
        <w:tc>
          <w:tcPr>
            <w:tcW w:type="dxa" w:w="151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220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Dự phòng (giữ riêng)</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w:t>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vốn dự án</w:t>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51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Nhu cầu tiền tích lũy (không tính dự phòng)</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63</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141</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220</w:t>
            </w:r>
          </w:p>
        </w:tc>
        <w:tc>
          <w:tcPr>
            <w:tcW w:type="dxa" w:w="15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220</w:t>
            </w:r>
          </w:p>
        </w:tc>
      </w:tr>
    </w:tbl>
    <w:p>
      <w:pPr>
        <w:spacing w:after="60"/>
      </w:pPr>
    </w:p>
    <w:p>
      <w:pPr>
        <w:spacing w:after="100" w:before="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Nhận xét:</w:t>
      </w:r>
      <w:r>
        <w:rPr>
          <w:rFonts w:ascii="Times New Roman" w:cs="Times New Roman" w:eastAsia="Times New Roman" w:hAnsi="Times New Roman"/>
          <w:sz w:val="22"/>
          <w:szCs w:val="22"/>
        </w:rPr>
        <w:t xml:space="preserve"> giai đoạn 1 cần khoảng 63 triệu đồng, trong khi vốn tự có là 50 triệu đồng. Vì vậy cần có ít nhất khoảng 13 triệu đồng vốn huy động sớm (hoặc điều chỉnh thứ tự chi) để không bị gián đoạn khi chờ kết thúc đợt gọi vốn.</w:t>
      </w:r>
    </w:p>
    <w:p>
      <w:pPr>
        <w:pStyle w:val="Heading2"/>
        <w:keepNext/>
        <w:spacing w:after="80" w:before="200"/>
      </w:pPr>
      <w:r>
        <w:rPr>
          <w:rFonts w:ascii="Times New Roman" w:cs="Times New Roman" w:eastAsia="Times New Roman" w:hAnsi="Times New Roman"/>
          <w:b/>
          <w:bCs/>
          <w:color w:val="1F3A5F"/>
          <w:sz w:val="24"/>
          <w:szCs w:val="24"/>
        </w:rPr>
        <w:t xml:space="preserve">5.4. Nguyên tắc giải ngân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Ưu tiên các khoản cần thiết để hoàn thành bản thiết kế và bản thử nghiệm; không dùng quỹ dự phòng cho chi tiêu không liên quan.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Mỗi khoản chi cần ghi ngày, mục đích, số tiền, người đề nghị, người duyệt và chứng từ đi kèm.</w:t>
      </w:r>
    </w:p>
    <w:p>
      <w:pPr>
        <w:pStyle w:val="ListParagraph"/>
        <w:numPr>
          <w:ilvl w:val="0"/>
          <w:numId w:val="2"/>
        </w:numPr>
        <w:spacing w:after="60" w:line="276"/>
        <w:jc w:val="both"/>
      </w:pPr>
      <w:r>
        <w:rPr>
          <w:rFonts w:ascii="Times New Roman" w:cs="Times New Roman" w:eastAsia="Times New Roman" w:hAnsi="Times New Roman"/>
          <w:sz w:val="22"/>
          <w:szCs w:val="22"/>
        </w:rPr>
        <w:t xml:space="preserve">Giải ngân theo giai đoạn: chỉ chuyển sang giai đoạn tiếp theo khi mốc nghiệm thu của giai đoạn trước được rà soát (xem mục 6.3).</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Tài sản mua bằng tiền dự án (thiết bị, tài khoản, tên miền) cần có danh mục bàn giao, người quản lý và cách xử lý khi chấm dứt hợp tác.</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Không phân bổ lợi nhuận hoặc cam kết hoàn vốn trước khi xác định doanh thu thực tế, nghĩa vụ phải trả và số dư tiền mặt.</w:t>
      </w:r>
    </w:p>
    <w:p>
      <w:pPr>
        <w:pStyle w:val="Heading1"/>
        <w:keepNext/>
        <w:spacing w:after="120" w:before="280"/>
      </w:pPr>
      <w:r>
        <w:rPr>
          <w:rFonts w:ascii="Times New Roman" w:cs="Times New Roman" w:eastAsia="Times New Roman" w:hAnsi="Times New Roman"/>
          <w:b/>
          <w:bCs/>
          <w:color w:val="1F3A5F"/>
          <w:sz w:val="28"/>
          <w:szCs w:val="28"/>
        </w:rPr>
        <w:t xml:space="preserve">6. KẾ HOẠCH TRIỂN KHAI 6 THÁNG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1612"/>
        <w:gridCol w:w="4032"/>
        <w:gridCol w:w="2219"/>
      </w:tblGrid>
      <w:tr>
        <w:trPr>
          <w:cantSplit/>
          <w:tblHeader/>
        </w:trPr>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Giai đoạn</w:t>
            </w:r>
          </w:p>
        </w:tc>
        <w:tc>
          <w:tcPr>
            <w:tcW w:type="dxa" w:w="161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dự kiến</w:t>
            </w:r>
          </w:p>
        </w:tc>
        <w:tc>
          <w:tcPr>
            <w:tcW w:type="dxa" w:w="403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Công việc chính</w:t>
            </w:r>
          </w:p>
        </w:tc>
        <w:tc>
          <w:tcPr>
            <w:tcW w:type="dxa" w:w="22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Kết quả/điều kiện hoàn thành</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 Phân tích và thiết kế</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Tháng 1 – 2</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Phân tích yêu cầu; phỏng vấn người dùng; thiết kế giao diện; thiết kế mô hình dữ liệu và kiến trúc</w:t>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thiết kế và mô hình dữ liệu</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 Phát triển chức năng chính</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Tháng 3 – 4</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Xây dựng máy chủ, bảng điều khiển web, ứng dụng khách hàng; tích hợp thông báo và thanh toán</w:t>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thử nghiệm</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 Kiểm thử và triển khai</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Tháng 5 – 6</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Dùng thử với nhóm cơ sở; sửa lỗi; kiểm thử hiệu năng và bảo mật; phát hành</w:t>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Phiên bản đầu tiên</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6.1. Chi tiết theo tháng (dữ liệu mẫu)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5846"/>
        <w:gridCol w:w="3226"/>
      </w:tblGrid>
      <w:tr>
        <w:trPr>
          <w:cantSplit/>
          <w:tblHeader/>
        </w:trPr>
        <w:tc>
          <w:tcPr>
            <w:tcW w:type="dxa" w:w="100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Tháng</w:t>
            </w:r>
          </w:p>
        </w:tc>
        <w:tc>
          <w:tcPr>
            <w:tcW w:type="dxa" w:w="5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Công việc</w:t>
            </w:r>
          </w:p>
        </w:tc>
        <w:tc>
          <w:tcPr>
            <w:tcW w:type="dxa" w:w="322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Sản phẩm bàn giao</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Phỏng vấn 15–20 cơ sở dịch vụ; xác định luồng người dùng; vẽ khung giao diện; chốt danh sách chức năng bắt buộc</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Tài liệu yêu cầu, sơ đồ luồng, khung giao diện</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Hoàn thiện giao diện; làm bản mẫu tương tác và kiểm thử với người dùng; thiết kế mô hình dữ liệu, API, kiến trúc; lập kế hoạch kỹ thuật</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thiết kế, mô hình dữ liệu, kế hoạch kỹ thuật</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Xây dựng máy chủ lõi: tài khoản, cơ sở, dịch vụ, nhân viên, lịch trống, đặt/hủy lịch chống trùng; bảng điều khiển web cơ bản</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chạy nội bộ cho cơ sở dịch vụ</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Xây dựng ứng dụng khách hàng; thông báo nhắc lịch; đặt cọc/thanh toán; báo cáo cơ bản; kiểm thử nội bộ</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thử nghiệm chạy đủ luồng đặt lịch</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Chạy thử với 10–20 cơ sở; thu thập phản hồi; sửa lỗi; kiểm thử hiệu năng; kiểm thử bảo mật độc lập</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cáo dùng thử, danh sách lỗi và kết quả xử lý</w:t>
            </w:r>
          </w:p>
        </w:tc>
      </w:tr>
      <w:tr>
        <w:trPr>
          <w:cantSplit/>
        </w:trPr>
        <w:tc>
          <w:tcPr>
            <w:tcW w:type="dxa" w:w="10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w:t>
            </w:r>
          </w:p>
        </w:tc>
        <w:tc>
          <w:tcPr>
            <w:tcW w:type="dxa" w:w="5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Hoàn thiện, tài liệu hướng dẫn, đưa lên cửa hàng ứng dụng và web, ra mắt, báo cáo tổng kết sử dụng vốn</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Phiên bản đầu tiên, báo cáo tổng kết</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6.2. Rủi ro tiến độ</w:t>
      </w:r>
    </w:p>
    <w:p>
      <w:pPr>
        <w:spacing w:after="100" w:before="0" w:line="276"/>
        <w:jc w:val="both"/>
      </w:pPr>
      <w:r>
        <w:rPr>
          <w:rFonts w:ascii="Times New Roman" w:cs="Times New Roman" w:eastAsia="Times New Roman" w:hAnsi="Times New Roman"/>
          <w:sz w:val="22"/>
          <w:szCs w:val="22"/>
        </w:rPr>
        <w:t xml:space="preserve">Mốc thời gian là kế hoạch dự kiến, phụ thuộc vào việc tuyển đủ nhân sự, thời gian duyệt ứng dụng của cửa hàng ứng dụng, thời gian đăng ký cổng thanh toán/nhà cung cấp tin nhắn và mức độ sẵn sàng của cơ sở dùng thử. Nếu mốc quan trọng bị trễ, nhóm dự án cần thông báo cho người góp vốn và cập nhật kế hoạch.</w:t>
      </w:r>
    </w:p>
    <w:p>
      <w:pPr>
        <w:pStyle w:val="Heading2"/>
        <w:keepNext/>
        <w:spacing w:after="80" w:before="200"/>
      </w:pPr>
      <w:r>
        <w:rPr>
          <w:rFonts w:ascii="Times New Roman" w:cs="Times New Roman" w:eastAsia="Times New Roman" w:hAnsi="Times New Roman"/>
          <w:b/>
          <w:bCs/>
          <w:color w:val="1F3A5F"/>
          <w:sz w:val="24"/>
          <w:szCs w:val="24"/>
        </w:rPr>
        <w:t xml:space="preserve">6.3. Mốc nghiệm thu và điều kiện giải ngân (đề xuất)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1209"/>
        <w:gridCol w:w="4435"/>
        <w:gridCol w:w="2824"/>
      </w:tblGrid>
      <w:tr>
        <w:trPr>
          <w:cantSplit/>
          <w:tblHeader/>
        </w:trPr>
        <w:tc>
          <w:tcPr>
            <w:tcW w:type="dxa" w:w="161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Mốc</w:t>
            </w:r>
          </w:p>
        </w:tc>
        <w:tc>
          <w:tcPr>
            <w:tcW w:type="dxa" w:w="120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điểm</w:t>
            </w:r>
          </w:p>
        </w:tc>
        <w:tc>
          <w:tcPr>
            <w:tcW w:type="dxa" w:w="443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Điều kiện nghiệm thu đề xuất</w:t>
            </w:r>
          </w:p>
        </w:tc>
        <w:tc>
          <w:tcPr>
            <w:tcW w:type="dxa" w:w="282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Ý nghĩa với giải ngân</w:t>
            </w:r>
          </w:p>
        </w:tc>
      </w:tr>
      <w:tr>
        <w:trPr>
          <w:cantSplit/>
        </w:trPr>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M1 – Thiết kế</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Cuối tháng 2</w:t>
            </w:r>
          </w:p>
        </w:tc>
        <w:tc>
          <w:tcPr>
            <w:tcW w:type="dxa" w:w="44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mẫu tương tác được ít nhất 10 người dùng thử; mô hình dữ liệu và kế hoạch kỹ thuật được rà soát; có bằng chứng từ phỏng vấn/khảo sát về nhu cầu</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Quyết định có tiếp tục giai đoạn 2 và điều chỉnh phạm vi hay không</w:t>
            </w:r>
          </w:p>
        </w:tc>
      </w:tr>
      <w:tr>
        <w:trPr>
          <w:cantSplit/>
        </w:trPr>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M2 – Bản thử nghiệm</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Cuối tháng 4</w:t>
            </w:r>
          </w:p>
        </w:tc>
        <w:tc>
          <w:tcPr>
            <w:tcW w:type="dxa" w:w="44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Luồng đặt lịch từ đầu đến cuối chạy được; không còn lỗi nghiêm trọng mở trong luồng chính; nhắc lịch hoạt động</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Mở khoản giải ngân giai đoạn 3</w:t>
            </w:r>
          </w:p>
        </w:tc>
      </w:tr>
      <w:tr>
        <w:trPr>
          <w:cantSplit/>
        </w:trPr>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M3 – Dùng thử</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Cuối tháng 5</w:t>
            </w:r>
          </w:p>
        </w:tc>
        <w:tc>
          <w:tcPr>
            <w:tcW w:type="dxa" w:w="44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Ít nhất 10 cơ sở dùng thử; ít nhất 200 lịch đặt thử trên hệ thống; có báo cáo phản hồi và kết quả kiểm thử bảo mật</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Quyết định thời điểm phát hành</w:t>
            </w:r>
          </w:p>
        </w:tc>
      </w:tr>
      <w:tr>
        <w:trPr>
          <w:cantSplit/>
        </w:trPr>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M4 – Phát hành</w:t>
            </w:r>
          </w:p>
        </w:tc>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Cuối tháng 6</w:t>
            </w:r>
          </w:p>
        </w:tc>
        <w:tc>
          <w:tcPr>
            <w:tcW w:type="dxa" w:w="44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Phiên bản đầu tiên lên cửa hàng ứng dụng/web; tài liệu hướng dẫn; báo cáo tổng kết sử dụng vốn</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Đóng giai đoạn đầu tư, chuyển sang báo cáo vận hành</w:t>
            </w:r>
          </w:p>
        </w:tc>
      </w:tr>
    </w:tbl>
    <w:p>
      <w:pPr>
        <w:spacing w:after="60"/>
      </w:pPr>
    </w:p>
    <w:p>
      <w:pPr>
        <w:spacing w:after="100" w:before="0" w:line="276"/>
        <w:jc w:val="both"/>
      </w:pPr>
      <w:r>
        <w:rPr>
          <w:rFonts w:ascii="Times New Roman" w:cs="Times New Roman" w:eastAsia="Times New Roman" w:hAnsi="Times New Roman"/>
          <w:i/>
          <w:iCs/>
          <w:sz w:val="22"/>
          <w:szCs w:val="22"/>
        </w:rPr>
        <w:t xml:space="preserve">Các ngưỡng số liệu trong bảng là đề xuất để thảo luận, cần được các bên thống nhất lại sau khi có kết quả khảo sát giai đoạn 1.</w:t>
      </w:r>
    </w:p>
    <w:p>
      <w:pPr>
        <w:pStyle w:val="Heading1"/>
        <w:keepNext/>
        <w:spacing w:after="120" w:before="280"/>
      </w:pPr>
      <w:r>
        <w:rPr>
          <w:rFonts w:ascii="Times New Roman" w:cs="Times New Roman" w:eastAsia="Times New Roman" w:hAnsi="Times New Roman"/>
          <w:b/>
          <w:bCs/>
          <w:color w:val="1F3A5F"/>
          <w:sz w:val="28"/>
          <w:szCs w:val="28"/>
        </w:rPr>
        <w:t xml:space="preserve">7. KẾ HOẠCH GỌI VỐN</w:t>
      </w:r>
    </w:p>
    <w:p>
      <w:pPr>
        <w:pStyle w:val="Heading2"/>
        <w:keepNext/>
        <w:spacing w:after="80" w:before="200"/>
      </w:pPr>
      <w:r>
        <w:rPr>
          <w:rFonts w:ascii="Times New Roman" w:cs="Times New Roman" w:eastAsia="Times New Roman" w:hAnsi="Times New Roman"/>
          <w:b/>
          <w:bCs/>
          <w:color w:val="1F3A5F"/>
          <w:sz w:val="24"/>
          <w:szCs w:val="24"/>
        </w:rPr>
        <w:t xml:space="preserve">7.1. Mục tiêu và thời gian</w:t>
      </w:r>
    </w:p>
    <w:p>
      <w:pPr>
        <w:spacing w:after="100" w:before="0" w:line="276"/>
        <w:jc w:val="both"/>
      </w:pPr>
      <w:r>
        <w:rPr>
          <w:rFonts w:ascii="Times New Roman" w:cs="Times New Roman" w:eastAsia="Times New Roman" w:hAnsi="Times New Roman"/>
          <w:sz w:val="22"/>
          <w:szCs w:val="22"/>
        </w:rPr>
        <w:t xml:space="preserve">Mục tiêu huy động: 200.000.000 VNĐ. Theo bảng dự án gốc, thời gian gọi vốn dự kiến là 2 tháng kể từ khi đăng bài/khởi động. Ngày bắt đầu và kết thúc thực tế cần được điền khi công bố chiến dịch.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4233"/>
        <w:gridCol w:w="2420"/>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Mốc thời gian</w:t>
            </w:r>
          </w:p>
        </w:tc>
        <w:tc>
          <w:tcPr>
            <w:tcW w:type="dxa" w:w="423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Dự kiến</w:t>
            </w:r>
          </w:p>
        </w:tc>
        <w:tc>
          <w:tcPr>
            <w:tcW w:type="dxa" w:w="24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Thực tế</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bắt đầu gọi vốn</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Kể từ khi đăng bài</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kết thúc gọi vốn</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 tháng kể từ khi đăng bài</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dự án bắt đầu triển khai</w:t>
            </w:r>
          </w:p>
        </w:tc>
        <w:tc>
          <w:tcPr>
            <w:tcW w:type="dxa" w:w="4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Sau khi đạt ngưỡng khởi động (mục 7.3) hoặc theo thỏa thuận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7.2. Phương án góp vốn minh họa</w:t>
      </w:r>
    </w:p>
    <w:p>
      <w:pPr>
        <w:spacing w:after="100" w:before="0" w:line="276"/>
        <w:jc w:val="both"/>
      </w:pPr>
      <w:r>
        <w:rPr>
          <w:rFonts w:ascii="Times New Roman" w:cs="Times New Roman" w:eastAsia="Times New Roman" w:hAnsi="Times New Roman"/>
          <w:sz w:val="22"/>
          <w:szCs w:val="22"/>
        </w:rPr>
        <w:t xml:space="preserve">Bảng nhà đầu tư ở tài liệu gốc ghi 70 triệu, 100 triệu và 80 triệu đồng, tổng cộng 250 triệu đồng. Vì con số này vượt mục tiêu gọi vốn 200 triệu đồng, bảng dưới đây là phương án thay thế minh họa để tổng đúng 200 triệu đồng, giữ nguyên hình thức tham gia của từng nhà đầu tư như tài liệu gốc; không đại diện cho cam kết của bất kỳ nhà đầu tư cụ thể nào.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9"/>
        <w:gridCol w:w="1512"/>
        <w:gridCol w:w="1108"/>
        <w:gridCol w:w="1814"/>
        <w:gridCol w:w="1310"/>
        <w:gridCol w:w="1814"/>
        <w:gridCol w:w="1313"/>
      </w:tblGrid>
      <w:tr>
        <w:trPr>
          <w:cantSplit/>
          <w:tblHeader/>
        </w:trPr>
        <w:tc>
          <w:tcPr>
            <w:tcW w:type="dxa" w:w="120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Nhà đầu tư minh họa</w:t>
            </w:r>
          </w:p>
        </w:tc>
        <w:tc>
          <w:tcPr>
            <w:tcW w:type="dxa" w:w="151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góp đề xuất</w:t>
            </w:r>
          </w:p>
        </w:tc>
        <w:tc>
          <w:tcPr>
            <w:tcW w:type="dxa" w:w="110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Tỷ trọng trong vốn gọi</w:t>
            </w:r>
          </w:p>
        </w:tc>
        <w:tc>
          <w:tcPr>
            <w:tcW w:type="dxa" w:w="18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Hình thức tham gia</w:t>
            </w:r>
          </w:p>
        </w:tc>
        <w:tc>
          <w:tcPr>
            <w:tcW w:type="dxa" w:w="131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Phân chia lợi nhuận</w:t>
            </w:r>
          </w:p>
        </w:tc>
        <w:tc>
          <w:tcPr>
            <w:tcW w:type="dxa" w:w="18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Hoàn lại vốn</w:t>
            </w:r>
          </w:p>
        </w:tc>
        <w:tc>
          <w:tcPr>
            <w:tcW w:type="dxa" w:w="13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Trạng thái</w:t>
            </w:r>
          </w:p>
        </w:tc>
      </w:tr>
      <w:tr>
        <w:trPr>
          <w:cantSplit/>
        </w:trPr>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A</w:t>
            </w:r>
          </w:p>
        </w:tc>
        <w:tc>
          <w:tcPr>
            <w:tcW w:type="dxa" w:w="15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50.000.000 VNĐ</w:t>
            </w:r>
          </w:p>
        </w:tc>
        <w:tc>
          <w:tcPr>
            <w:tcW w:type="dxa" w:w="11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25,00%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Hỗ trợ không nhận lợi nhuận</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0% lợi nhuận</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Có thể hoàn lại hoặc không hoàn lại, theo thỏa thuận</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Chờ xác nhận</w:t>
            </w:r>
          </w:p>
        </w:tc>
      </w:tr>
      <w:tr>
        <w:trPr>
          <w:cantSplit/>
        </w:trPr>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B</w:t>
            </w:r>
          </w:p>
        </w:tc>
        <w:tc>
          <w:tcPr>
            <w:tcW w:type="dxa" w:w="15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90.000.000 VNĐ</w:t>
            </w:r>
          </w:p>
        </w:tc>
        <w:tc>
          <w:tcPr>
            <w:tcW w:type="dxa" w:w="11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45,00%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Có chia lợi nhuận</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thỏa thuận</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thỏa thuận</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Chờ xác nhận</w:t>
            </w:r>
          </w:p>
        </w:tc>
      </w:tr>
      <w:tr>
        <w:trPr>
          <w:cantSplit/>
        </w:trPr>
        <w:tc>
          <w:tcPr>
            <w:tcW w:type="dxa" w:w="12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C</w:t>
            </w:r>
          </w:p>
        </w:tc>
        <w:tc>
          <w:tcPr>
            <w:tcW w:type="dxa" w:w="15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60.000.000 VNĐ</w:t>
            </w:r>
          </w:p>
        </w:tc>
        <w:tc>
          <w:tcPr>
            <w:tcW w:type="dxa" w:w="11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Có chia lợi nhuận</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thỏa thuận</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Theo thỏa thuận</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Chờ xác nhận</w:t>
            </w:r>
          </w:p>
        </w:tc>
      </w:tr>
      <w:tr>
        <w:trPr>
          <w:cantSplit/>
        </w:trPr>
        <w:tc>
          <w:tcPr>
            <w:tcW w:type="dxa" w:w="1209"/>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151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200.000.000 VNĐ</w:t>
            </w:r>
          </w:p>
        </w:tc>
        <w:tc>
          <w:tcPr>
            <w:tcW w:type="dxa" w:w="1108"/>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100%</w:t>
            </w:r>
          </w:p>
        </w:tc>
        <w:tc>
          <w:tcPr>
            <w:tcW w:type="dxa" w:w="181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Chỉ áp dụng nếu các bên đồng ý và ký văn bản</w:t>
            </w:r>
          </w:p>
        </w:tc>
        <w:tc>
          <w:tcPr>
            <w:tcW w:type="dxa" w:w="1310"/>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81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3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7.3. Ngưỡng khởi động và các kịch bản huy động (đề xuất)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822"/>
        <w:gridCol w:w="4839"/>
      </w:tblGrid>
      <w:tr>
        <w:trPr>
          <w:cantSplit/>
          <w:tblHeader/>
        </w:trPr>
        <w:tc>
          <w:tcPr>
            <w:tcW w:type="dxa" w:w="24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Kết quả sau 2 tháng</w:t>
            </w:r>
          </w:p>
        </w:tc>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huy động</w:t>
            </w:r>
          </w:p>
        </w:tc>
        <w:tc>
          <w:tcPr>
            <w:tcW w:type="dxa" w:w="483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Hướng xử lý đề xuất</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Đạt mục tiêu</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 triệu đồng (100%)</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Triển khai đầy đủ phạm vi và ngân sách theo kế hoạch</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Đạt ngưỡng khởi động</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Từ 120 triệu đồng (60%) đến dưới 200 triệu đồng</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Thu hẹp phạm vi (giảm chức năng “nên có”, giảm marketing), kéo dài thời gian gọi vốn hoặc triển khai theo giai đoạn; thông báo và xin xác nhận lại từng nhà đầu tư</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Chưa đạt ngưỡng</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Dưới 120 triệu đồng</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Gia hạn gọi vốn một lần có thời hạn, hoặc tạm dừng dự án và xử lý khoản đã nhận theo cam kết ghi trong hợp đồng (hoàn lại, giữ để khởi động lại hoặc hình thức khác đã thỏa thuận)</w:t>
            </w:r>
          </w:p>
        </w:tc>
      </w:tr>
    </w:tbl>
    <w:p>
      <w:pPr>
        <w:spacing w:after="60"/>
      </w:pPr>
    </w:p>
    <w:p>
      <w:pPr>
        <w:spacing w:after="100" w:before="0" w:line="276"/>
        <w:jc w:val="both"/>
      </w:pPr>
      <w:r>
        <w:rPr>
          <w:rFonts w:ascii="Times New Roman" w:cs="Times New Roman" w:eastAsia="Times New Roman" w:hAnsi="Times New Roman"/>
          <w:i/>
          <w:iCs/>
          <w:sz w:val="22"/>
          <w:szCs w:val="22"/>
        </w:rPr>
        <w:t xml:space="preserve">Ngưỡng 60% chỉ là đề xuất minh họa; cần được kiểm tra lại dựa trên dự toán thực tế và nêu rõ trong thông tin gọi vốn công khai để nhà đầu tư biết trước cách xử lý.</w:t>
      </w:r>
    </w:p>
    <w:p>
      <w:pPr>
        <w:pStyle w:val="Heading2"/>
        <w:keepNext/>
        <w:spacing w:after="80" w:before="200"/>
      </w:pPr>
      <w:r>
        <w:rPr>
          <w:rFonts w:ascii="Times New Roman" w:cs="Times New Roman" w:eastAsia="Times New Roman" w:hAnsi="Times New Roman"/>
          <w:b/>
          <w:bCs/>
          <w:color w:val="1F3A5F"/>
          <w:sz w:val="24"/>
          <w:szCs w:val="24"/>
        </w:rPr>
        <w:t xml:space="preserve">7.4. Các bước gọi vốn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6249"/>
        <w:gridCol w:w="2420"/>
      </w:tblGrid>
      <w:tr>
        <w:trPr>
          <w:cantSplit/>
          <w:tblHeader/>
        </w:trPr>
        <w:tc>
          <w:tcPr>
            <w:tcW w:type="dxa" w:w="1411"/>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w:t>
            </w:r>
          </w:p>
        </w:tc>
        <w:tc>
          <w:tcPr>
            <w:tcW w:type="dxa" w:w="624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Công việc</w:t>
            </w:r>
          </w:p>
        </w:tc>
        <w:tc>
          <w:tcPr>
            <w:tcW w:type="dxa" w:w="24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Kết quả</w:t>
            </w:r>
          </w:p>
        </w:tc>
      </w:tr>
      <w:tr>
        <w:trPr>
          <w:cantSplit/>
        </w:trPr>
        <w:tc>
          <w:tcPr>
            <w:tcW w:type="dxa" w:w="14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Tuần 1</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Hoàn thiện hồ sơ gọi vốn: kế hoạch, ngân sách, tiến độ, hồ sơ chủ dự án, bản mẫu giao diện, kế hoạch kỹ thuật; đăng bài công bố</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Hồ sơ được công bố; có kênh liên hệ</w:t>
            </w:r>
          </w:p>
        </w:tc>
      </w:tr>
      <w:tr>
        <w:trPr>
          <w:cantSplit/>
        </w:trPr>
        <w:tc>
          <w:tcPr>
            <w:tcW w:type="dxa" w:w="14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Tuần 2 – 5</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Giới thiệu dự án qua mạng lưới cá nhân, cộng đồng và nhà đầu tư tiềm năng; tổ chức buổi trình bày và giải đáp; cập nhật tiến độ công khai hằng tuần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Danh sách nhà đầu tư quan tâm</w:t>
            </w:r>
          </w:p>
        </w:tc>
      </w:tr>
      <w:tr>
        <w:trPr>
          <w:cantSplit/>
        </w:trPr>
        <w:tc>
          <w:tcPr>
            <w:tcW w:type="dxa" w:w="14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Tuần 6 – 7</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Thẩm định thông tin; trao đổi hình thức tham gia; thống nhất bằng văn bản số tiền, tiến độ chuyển tiền, quyền lợi, xử lý lỗ và chấm dứt</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Hợp đồng/thỏa thuận được ký</w:t>
            </w:r>
          </w:p>
        </w:tc>
      </w:tr>
      <w:tr>
        <w:trPr>
          <w:cantSplit/>
        </w:trPr>
        <w:tc>
          <w:tcPr>
            <w:tcW w:type="dxa" w:w="14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Tuần 8</w:t>
            </w:r>
          </w:p>
        </w:tc>
        <w:tc>
          <w:tcPr>
            <w:tcW w:type="dxa" w:w="62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Nhận tiền qua tài khoản/biên nhận rõ ràng; cập nhật sổ vốn; gửi xác nhận cho người góp vốn; công bố kết quả gọi vốn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Báo cáo kết quả huy động</w:t>
            </w:r>
          </w:p>
        </w:tc>
      </w:tr>
    </w:tbl>
    <w:p>
      <w:pPr>
        <w:spacing w:after="60"/>
      </w:pPr>
    </w:p>
    <w:p>
      <w:pPr>
        <w:spacing w:after="100" w:before="0" w:line="276"/>
        <w:jc w:val="both"/>
      </w:pPr>
      <w:r>
        <w:rPr>
          <w:rFonts w:ascii="Times New Roman" w:cs="Times New Roman" w:eastAsia="Times New Roman" w:hAnsi="Times New Roman"/>
          <w:sz w:val="22"/>
          <w:szCs w:val="22"/>
        </w:rPr>
        <w:t xml:space="preserve">Trong quá trình gọi vốn, không hứa lợi nhuận cố định nếu chưa có cơ sở; mỗi hình thức tham gia (hợp tác kinh doanh, khoản vay, tài trợ, đầu tư vào doanh nghiệp) có quyền và nghĩa vụ khác nhau và phải được nêu rõ trước khi nhận tiền.</w:t>
      </w:r>
    </w:p>
    <w:p>
      <w:pPr>
        <w:pStyle w:val="Heading2"/>
        <w:keepNext/>
        <w:spacing w:after="80" w:before="200"/>
      </w:pPr>
      <w:r>
        <w:rPr>
          <w:rFonts w:ascii="Times New Roman" w:cs="Times New Roman" w:eastAsia="Times New Roman" w:hAnsi="Times New Roman"/>
          <w:b/>
          <w:bCs/>
          <w:color w:val="1F3A5F"/>
          <w:sz w:val="24"/>
          <w:szCs w:val="24"/>
        </w:rPr>
        <w:t xml:space="preserve">7.5. Kênh huy động phù hợp</w:t>
      </w:r>
    </w:p>
    <w:p>
      <w:pPr>
        <w:pStyle w:val="ListParagraph"/>
        <w:numPr>
          <w:ilvl w:val="0"/>
          <w:numId w:val="2"/>
        </w:numPr>
        <w:spacing w:after="60" w:line="276"/>
        <w:jc w:val="both"/>
      </w:pPr>
      <w:r>
        <w:rPr>
          <w:rFonts w:ascii="Times New Roman" w:cs="Times New Roman" w:eastAsia="Times New Roman" w:hAnsi="Times New Roman"/>
          <w:sz w:val="22"/>
          <w:szCs w:val="22"/>
        </w:rPr>
        <w:t xml:space="preserve">Mạng lưới cá nhân và nhà đầu tư thiên thần/đối tác: phù hợp để trình bày trực tiếp bản mẫu, kế hoạch kỹ thuật và trả lời câu hỏi về mô hình doanh thu.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Cộng đồng khởi nghiệp, công nghệ và chủ cơ sở dịch vụ trên mạng xã hội: dùng để giới thiệu dự án, nhu cầu vốn và tiến độ; chỉ đăng số liệu có căn cứ.</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Nền tảng gọi vốn của dự án web: công bố hồ sơ, mốc tiến độ, tiến độ huy động và cập nhật định kỳ cho người góp vốn.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Đối tác trong ngành (đơn vị cung cấp thanh toán, hạ tầng, đào tạo): có thể trao đổi hình thức hỗ trợ không bằng tiền mặt hoặc ưu đãi thương mại.</w:t>
      </w:r>
    </w:p>
    <w:p>
      <w:pPr>
        <w:pStyle w:val="Heading2"/>
        <w:keepNext/>
        <w:spacing w:after="80" w:before="200"/>
      </w:pPr>
      <w:r>
        <w:rPr>
          <w:rFonts w:ascii="Times New Roman" w:cs="Times New Roman" w:eastAsia="Times New Roman" w:hAnsi="Times New Roman"/>
          <w:b/>
          <w:bCs/>
          <w:color w:val="1F3A5F"/>
          <w:sz w:val="24"/>
          <w:szCs w:val="24"/>
        </w:rPr>
        <w:t xml:space="preserve">7.6. Minh chứng cần có trước khi công bố</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Bản mẫu giao diện tương tác (hoặc video demo) cho thấy luồng đặt lịch chính.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Kế hoạch kỹ thuật: kiến trúc, danh sách chức năng, tiến độ, đội ngũ và phân công.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Kết quả khảo sát/phỏng vấn ban đầu và danh sách cơ sở sẵn sàng dùng thử (nếu có).</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Báo giá hoặc căn cứ chi phí cho các khoản lớn: nhân sự, hạ tầng, tích hợp bên thứ ba, kiểm thử bảo mật.</w:t>
      </w:r>
    </w:p>
    <w:p>
      <w:pPr>
        <w:pStyle w:val="Heading1"/>
        <w:keepNext/>
        <w:spacing w:after="120" w:before="280"/>
      </w:pPr>
      <w:r>
        <w:rPr>
          <w:rFonts w:ascii="Times New Roman" w:cs="Times New Roman" w:eastAsia="Times New Roman" w:hAnsi="Times New Roman"/>
          <w:b/>
          <w:bCs/>
          <w:color w:val="1F3A5F"/>
          <w:sz w:val="28"/>
          <w:szCs w:val="28"/>
        </w:rPr>
        <w:t xml:space="preserve">8. PHÂN TÍCH TÀI CHÍNH SƠ BỘ</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4839"/>
      </w:tblGrid>
      <w:tr>
        <w:trPr>
          <w:cantSplit/>
          <w:tblHeader/>
        </w:trPr>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Chỉ tiêu</w:t>
            </w:r>
          </w:p>
        </w:tc>
        <w:tc>
          <w:tcPr>
            <w:tcW w:type="dxa" w:w="24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Giá trị theo tài liệu gốc</w:t>
            </w:r>
          </w:p>
        </w:tc>
        <w:tc>
          <w:tcPr>
            <w:tcW w:type="dxa" w:w="483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Diễn giải</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Doanh thu dự kiến</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360.000.000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Chưa nêu rõ kỳ tính; trong tài liệu này giả định là 12 tháng đầu sau khi phát hành (cần xác nhận)</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Chi phí vận hành và bán hàng</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240.000.000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Chưa có bảng chi tiết theo kỳ; mục 8.2 đưa ra khung phân rã minh họa</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Chênh lệch trước thuế và chi phí tài chính</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120.000.000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Phép tính 360 triệu – 240 triệu; không được hiểu là lợi nhuận ròng chắc chắn</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vốn đầu tư ban đầu</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250.000.000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Ngân sách dự kiến</w:t>
            </w:r>
          </w:p>
        </w:tc>
      </w:tr>
      <w:tr>
        <w:trPr>
          <w:cantSplit/>
        </w:trPr>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cần huy động</w:t>
            </w:r>
          </w:p>
        </w:tc>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200.000.000 VNĐ</w:t>
            </w:r>
          </w:p>
        </w:tc>
        <w:tc>
          <w:tcPr>
            <w:tcW w:type="dxa" w:w="48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Phần vốn còn thiếu theo kế hoạch</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8.1. Giả định minh họa cho doanh thu 360 triệu đồng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cantSplit/>
          <w:tblHeader/>
        </w:trPr>
        <w:tc>
          <w:tcPr>
            <w:tcW w:type="dxa" w:w="383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Giả định</w:t>
            </w:r>
          </w:p>
        </w:tc>
        <w:tc>
          <w:tcPr>
            <w:tcW w:type="dxa" w:w="62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Giá trị minh họa</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Kỳ dự báo</w:t>
            </w:r>
          </w:p>
        </w:tc>
        <w:tc>
          <w:tcPr>
            <w:tcW w:type="dxa" w:w="6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12 tháng đầu sau phát hành</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cơ sở trả phí bình quân trong kỳ</w:t>
            </w:r>
          </w:p>
        </w:tc>
        <w:tc>
          <w:tcPr>
            <w:tcW w:type="dxa" w:w="6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100 cơ sở (ví dụ tăng dần từ khoảng 20 cơ sở lên khoảng 180 cơ sở vào cuối kỳ)</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thu bình quân mỗi cơ sở (ARPU)</w:t>
            </w:r>
          </w:p>
        </w:tc>
        <w:tc>
          <w:tcPr>
            <w:tcW w:type="dxa" w:w="6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300.000 VNĐ/tháng (giữa gói Cơ bản 199.000 và gói Nâng cao 399.000)</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Doanh thu</w:t>
            </w:r>
          </w:p>
        </w:tc>
        <w:tc>
          <w:tcPr>
            <w:tcW w:type="dxa" w:w="6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100 cơ sở × 300.000 VNĐ × 12 tháng = 360.000.000 VNĐ</w:t>
            </w:r>
          </w:p>
        </w:tc>
      </w:tr>
    </w:tbl>
    <w:p>
      <w:pPr>
        <w:spacing w:after="60"/>
      </w:pPr>
    </w:p>
    <w:p>
      <w:pPr>
        <w:spacing w:after="100" w:before="0" w:line="276"/>
        <w:jc w:val="both"/>
      </w:pPr>
      <w:r>
        <w:rPr>
          <w:rFonts w:ascii="Times New Roman" w:cs="Times New Roman" w:eastAsia="Times New Roman" w:hAnsi="Times New Roman"/>
          <w:i/>
          <w:iCs/>
          <w:sz w:val="22"/>
          <w:szCs w:val="22"/>
        </w:rPr>
        <w:t xml:space="preserve">Doanh thu trên chỉ tính phí thuê bao, chưa tính các nguồn thu bổ sung. Các giả định về số cơ sở và ARPU cần được kiểm chứng trong giai đoạn dùng thử.</w:t>
      </w:r>
    </w:p>
    <w:p>
      <w:pPr>
        <w:pStyle w:val="Heading2"/>
        <w:keepNext/>
        <w:spacing w:after="80" w:before="200"/>
      </w:pPr>
      <w:r>
        <w:rPr>
          <w:rFonts w:ascii="Times New Roman" w:cs="Times New Roman" w:eastAsia="Times New Roman" w:hAnsi="Times New Roman"/>
          <w:b/>
          <w:bCs/>
          <w:color w:val="1F3A5F"/>
          <w:sz w:val="24"/>
          <w:szCs w:val="24"/>
        </w:rPr>
        <w:t xml:space="preserve">8.2. Khung phân rã chi phí vận hành và bán hàng 240 triệu đồng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713"/>
        <w:gridCol w:w="2116"/>
        <w:gridCol w:w="2824"/>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Khoản chi (12 tháng)</w:t>
            </w:r>
          </w:p>
        </w:tc>
        <w:tc>
          <w:tcPr>
            <w:tcW w:type="dxa" w:w="171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tiền (VNĐ)</w:t>
            </w:r>
          </w:p>
        </w:tc>
        <w:tc>
          <w:tcPr>
            <w:tcW w:type="dxa" w:w="21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Tính chất</w:t>
            </w:r>
          </w:p>
        </w:tc>
        <w:tc>
          <w:tcPr>
            <w:tcW w:type="dxa" w:w="282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Ghi chú</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Bảo trì và nâng cấp sản phẩm (nhân sự kỹ thuật)</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96.000.000</w:t>
            </w:r>
          </w:p>
        </w:tc>
        <w:tc>
          <w:tcPr>
            <w:tcW w:type="dxa" w:w="21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Cố định</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Khoảng 8 triệu đồng/tháng</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Marketing duy trì và bán hàng</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40.000.000</w:t>
            </w:r>
          </w:p>
        </w:tc>
        <w:tc>
          <w:tcPr>
            <w:tcW w:type="dxa" w:w="21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Cố định</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Quảng cáo, nội dung, giới thiệu cơ sở mới</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Hành chính, pháp lý, kế toán</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14.000.000</w:t>
            </w:r>
          </w:p>
        </w:tc>
        <w:tc>
          <w:tcPr>
            <w:tcW w:type="dxa" w:w="21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Cố định</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Sổ sách, bản quyền, tuân thủ</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Hạ tầng đám mây và dịch vụ bên thứ ba</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48.000.000</w:t>
            </w:r>
          </w:p>
        </w:tc>
        <w:tc>
          <w:tcPr>
            <w:tcW w:type="dxa" w:w="21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Biến đổi theo số cơ sở</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Máy chủ, SMS/Zalo, cổng thanh toán, thông báo</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Hỗ trợ khách hàng và hướng dẫn cơ sở mới</w:t>
            </w:r>
          </w:p>
        </w:tc>
        <w:tc>
          <w:tcPr>
            <w:tcW w:type="dxa" w:w="17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42.000.000</w:t>
            </w:r>
          </w:p>
        </w:tc>
        <w:tc>
          <w:tcPr>
            <w:tcW w:type="dxa" w:w="21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Biến đổi theo số cơ sở</w:t>
            </w:r>
          </w:p>
        </w:tc>
        <w:tc>
          <w:tcPr>
            <w:tcW w:type="dxa" w:w="28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Người trực hỗ trợ, tài liệu, đào tạo</w:t>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1713"/>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240.000.000</w:t>
            </w:r>
          </w:p>
        </w:tc>
        <w:tc>
          <w:tcPr>
            <w:tcW w:type="dxa" w:w="2116"/>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82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Chi phí cố định 150 triệu đồng; chi phí biến đổi 90 triệu đồng</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8.3. Điểm hòa vốn vận hành (minh họa)</w:t>
      </w:r>
    </w:p>
    <w:p>
      <w:pPr>
        <w:spacing w:after="100" w:before="0" w:line="276"/>
        <w:jc w:val="both"/>
      </w:pPr>
      <w:r>
        <w:rPr>
          <w:rFonts w:ascii="Times New Roman" w:cs="Times New Roman" w:eastAsia="Times New Roman" w:hAnsi="Times New Roman"/>
          <w:sz w:val="22"/>
          <w:szCs w:val="22"/>
        </w:rPr>
        <w:t xml:space="preserve">Với giả định chi phí cố định 150 triệu đồng/năm, chi phí biến đổi khoảng 0,9 triệu đồng/cơ sở/năm (75.000 VNĐ/tháng) và doanh thu 3,6 triệu đồng/cơ sở/năm (300.000 VNĐ/tháng): số cơ sở trả phí bình quân để doanh thu bằng chi phí vận hành là 150 ÷ (3,6 – 0,9) ≈ </w:t>
      </w:r>
      <w:r>
        <w:rPr>
          <w:rFonts w:ascii="Times New Roman" w:cs="Times New Roman" w:eastAsia="Times New Roman" w:hAnsi="Times New Roman"/>
          <w:b/>
          <w:bCs/>
          <w:sz w:val="22"/>
          <w:szCs w:val="22"/>
        </w:rPr>
        <w:t xml:space="preserve">56 cơ sở</w:t>
      </w:r>
      <w:r>
        <w:rPr>
          <w:rFonts w:ascii="Times New Roman" w:cs="Times New Roman" w:eastAsia="Times New Roman" w:hAnsi="Times New Roman"/>
          <w:sz w:val="22"/>
          <w:szCs w:val="22"/>
        </w:rPr>
        <w:t xml:space="preserve">. Đây là điểm hòa vốn vận hành, chưa tính việc thu hồi 250 triệu đồng vốn đầu tư ban đầu.</w:t>
      </w:r>
    </w:p>
    <w:p>
      <w:pPr>
        <w:pStyle w:val="Heading2"/>
        <w:keepNext/>
        <w:spacing w:after="80" w:before="200"/>
      </w:pPr>
      <w:r>
        <w:rPr>
          <w:rFonts w:ascii="Times New Roman" w:cs="Times New Roman" w:eastAsia="Times New Roman" w:hAnsi="Times New Roman"/>
          <w:b/>
          <w:bCs/>
          <w:color w:val="1F3A5F"/>
          <w:sz w:val="24"/>
          <w:szCs w:val="24"/>
        </w:rPr>
        <w:t xml:space="preserve">8.4. Kịch bản quản trị (dữ liệu mẫu, cập nhật sau dùng thử)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1814"/>
        <w:gridCol w:w="2016"/>
        <w:gridCol w:w="2016"/>
        <w:gridCol w:w="2017"/>
      </w:tblGrid>
      <w:tr>
        <w:trPr>
          <w:cantSplit/>
          <w:tblHeader/>
        </w:trPr>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Kịch bản</w:t>
            </w:r>
          </w:p>
        </w:tc>
        <w:tc>
          <w:tcPr>
            <w:tcW w:type="dxa" w:w="18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cơ sở trả phí bình quân</w:t>
            </w:r>
          </w:p>
        </w:tc>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Doanh thu 12 tháng</w:t>
            </w:r>
          </w:p>
        </w:tc>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Chi phí 12 tháng</w:t>
            </w:r>
          </w:p>
        </w:tc>
        <w:tc>
          <w:tcPr>
            <w:tcW w:type="dxa" w:w="20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Chênh lệch trước thuế và chi phí tài chính</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Thận trọng</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60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216.000.000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204.000.000</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12.000.000</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Cơ sở (khớp số liệu gốc)</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100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360.000.000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240.000.000</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120.000.000</w:t>
            </w:r>
          </w:p>
        </w:tc>
      </w:tr>
      <w:tr>
        <w:trPr>
          <w:cantSplit/>
        </w:trPr>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Tích cực</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130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468.000.000</w:t>
            </w:r>
          </w:p>
        </w:tc>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267.000.000</w:t>
            </w:r>
          </w:p>
        </w:tc>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201.000.000</w:t>
            </w:r>
          </w:p>
        </w:tc>
      </w:tr>
    </w:tbl>
    <w:p>
      <w:pPr>
        <w:spacing w:after="60"/>
      </w:pPr>
    </w:p>
    <w:p>
      <w:pPr>
        <w:spacing w:after="100" w:before="0" w:line="276"/>
        <w:jc w:val="both"/>
      </w:pPr>
      <w:r>
        <w:rPr>
          <w:rFonts w:ascii="Times New Roman" w:cs="Times New Roman" w:eastAsia="Times New Roman" w:hAnsi="Times New Roman"/>
          <w:i/>
          <w:iCs/>
          <w:sz w:val="22"/>
          <w:szCs w:val="22"/>
        </w:rPr>
        <w:t xml:space="preserve">Cách tính: doanh thu = số cơ sở × 3,6 triệu đồng; chi phí = 150 triệu đồng + 0,9 triệu đồng × số cơ sở. Ba kịch bản chỉ để minh họa độ nhạy của kết quả theo số cơ sở trả phí; kịch bản thận trọng cho thấy dự án chỉ vừa đủ bù chi phí vận hành. Sau giai đoạn dùng thử, cần cập nhật bằng số liệu thực tế.</w:t>
      </w:r>
    </w:p>
    <w:p>
      <w:pPr>
        <w:pStyle w:val="Heading2"/>
        <w:keepNext/>
        <w:spacing w:after="80" w:before="200"/>
      </w:pPr>
      <w:r>
        <w:rPr>
          <w:rFonts w:ascii="Times New Roman" w:cs="Times New Roman" w:eastAsia="Times New Roman" w:hAnsi="Times New Roman"/>
          <w:b/>
          <w:bCs/>
          <w:color w:val="1F3A5F"/>
          <w:sz w:val="24"/>
          <w:szCs w:val="24"/>
        </w:rPr>
        <w:t xml:space="preserve">8.5. Minh họa thời gian thu hồi vốn và chia kết quả</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Nếu chênh lệch 120 triệu đồng/năm được duy trì và không có khoản nào khác phải trừ, thời gian thu hồi 250 triệu đồng vốn ban đầu khoảng 250 ÷ 120 ≈ 2,1 năm. Đây là phép tính đơn giản, không phải cam kết hoàn vốn.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Ví dụ cách tính chia lợi nhuận với tỷ lệ minh họa ở mục 10.2: giả sử lợi nhuận có thể phân chia là 100 triệu đồng, nhóm nhà đầu tư có quyền hưởng lợi nhuận nhận 30 triệu đồng (Nhà đầu tư B 18 triệu đồng, Nhà đầu tư C 12 triệu đồng), chủ dự án hoặc phần giữ lại 70 triệu đồng, Nhà đầu tư A (hỗ trợ không nhận lợi nhuận) 0 đồng. Số liệu này chỉ minh họa cách tính, không dự báo kết quả.</w:t>
      </w:r>
    </w:p>
    <w:p>
      <w:pPr>
        <w:pStyle w:val="Heading2"/>
        <w:keepNext/>
        <w:spacing w:after="80" w:before="200"/>
      </w:pPr>
      <w:r>
        <w:rPr>
          <w:rFonts w:ascii="Times New Roman" w:cs="Times New Roman" w:eastAsia="Times New Roman" w:hAnsi="Times New Roman"/>
          <w:b/>
          <w:bCs/>
          <w:color w:val="1F3A5F"/>
          <w:sz w:val="24"/>
          <w:szCs w:val="24"/>
        </w:rPr>
        <w:t xml:space="preserve">8.6. Thông tin phải bổ sung trước khi đưa ra mức sinh lời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Kỳ dự báo doanh thu và chi phí; kế hoạch tăng trưởng số cơ sở theo tháng.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Bảng giá chính thức, chính sách dùng thử, tỷ lệ chuyển từ miễn phí sang trả phí và tỷ lệ rời bỏ.</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Chi phí nhân sự duy trì sau phát hành, chi phí hạ tầng theo lượng dùng thực tế, phí cổng thanh toán và nhà cung cấp tin nhắn.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Thuế, khấu hao, chi phí tài chính và dòng tiền theo tháng; số vốn lưu động tối thiểu cần duy trì.</w:t>
      </w:r>
    </w:p>
    <w:p>
      <w:pPr>
        <w:pStyle w:val="Heading1"/>
        <w:keepNext/>
        <w:spacing w:after="120" w:before="280"/>
      </w:pPr>
      <w:r>
        <w:rPr>
          <w:rFonts w:ascii="Times New Roman" w:cs="Times New Roman" w:eastAsia="Times New Roman" w:hAnsi="Times New Roman"/>
          <w:b/>
          <w:bCs/>
          <w:color w:val="1F3A5F"/>
          <w:sz w:val="28"/>
          <w:szCs w:val="28"/>
        </w:rPr>
        <w:t xml:space="preserve">9. RỦI RO VÀ PHƯƠNG ÁN KIỂM SOÁT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612"/>
        <w:gridCol w:w="4032"/>
        <w:gridCol w:w="2420"/>
      </w:tblGrid>
      <w:tr>
        <w:trPr>
          <w:cantSplit/>
          <w:tblHeader/>
        </w:trPr>
        <w:tc>
          <w:tcPr>
            <w:tcW w:type="dxa" w:w="201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Rủi ro</w:t>
            </w:r>
          </w:p>
        </w:tc>
        <w:tc>
          <w:tcPr>
            <w:tcW w:type="dxa" w:w="161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độ sơ bộ</w:t>
            </w:r>
          </w:p>
        </w:tc>
        <w:tc>
          <w:tcPr>
            <w:tcW w:type="dxa" w:w="403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Biện pháp kiểm soát</w:t>
            </w:r>
          </w:p>
        </w:tc>
        <w:tc>
          <w:tcPr>
            <w:tcW w:type="dxa" w:w="242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Dấu hiệu cần xem xét lại</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Ít người sử dụng</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 – cao theo đánh giá gốc</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Phát hành thử nghiệm với nhóm cơ sở; thu thập phản hồi; điều chỉnh chức năng và giá theo dữ liệu thật; có gói miễn phí để giảm rào cản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Số cơ sở kích hoạt hoặc số lịch/tuần thấp hơn mục tiêu mốc M3</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Lỗi kỹ thuật</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 – cao theo đánh giá gốc</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thử chức năng và hồi quy; rà soát mã nguồn; kiểm thử trên nhiều thiết bị; phát hành theo giai đoạn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Lỗi nghiêm trọng còn mở ở thời điểm mốc nghiệm thu</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Chi phí bảo trì cao</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 – cao theo đánh giá gốc</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kiến trúc đơn giản; tự động hóa kiểm thử/triển khai; dự trù chi phí bảo trì ngay trong mô hình tài chính</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Chi phí hạ tầng hoặc nhân sự bảo trì vượt khung phân rã mục 8.2</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Bảo mật và dữ liệu cá nhân</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Cao nếu xảy ra sự cố</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thử bảo mật độc lập; phân quyền; mã hóa; không lưu dữ liệu thẻ; chính sách quyền riêng tư; quy trình xử lý sự cố</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Phát hiện lỗ hổng nghiêm trọng hoặc truy cập trái phép</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Phụ thuộc bên thứ ba (thanh toán, tin nhắn, cửa hàng ứng dụng)</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Chọn nhà cung cấp có phương án thay thế; chuẩn bị phương án đặt cọc thủ công/QR nếu chưa tích hợp được; nộp duyệt ứng dụng sớm</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Bị từ chối đăng ký, đổi điều khoản hoặc tăng phí</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Chậm tiến độ hoặc thiếu nhân sự chủ chốt</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 – cao</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Chia giai đoạn có mốc nghiệm thu; tài liệu hóa mã nguồn; có người thay thế dự phòng; dùng quỹ dự phòng khi được duyệt</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Trễ mốc quá 3–4 tuần hoặc có người chủ chốt rời nhóm</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Cạnh tranh từ giải pháp có sẵn</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Tập trung nhóm khách hàng hẹp; khác biệt ở sự đơn giản, giá và hỗ trợ bằng tiếng Việt</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Khách dùng thử cho rằng không khác biệt hoặc giá không phù hợp</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Bất đồng giữa người góp vốn</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Trung bình – cao</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Hợp đồng ghi rõ quyền quyết định, báo cáo, sở hữu mã nguồn, phân chia kết quả và chấm dứt</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Không thống nhất cách xử lý lỗ/hoàn vốn/sở hữu sản phẩm</w:t>
            </w:r>
          </w:p>
        </w:tc>
      </w:tr>
      <w:tr>
        <w:trPr>
          <w:cantSplit/>
        </w:trPr>
        <w:tc>
          <w:tcPr>
            <w:tcW w:type="dxa" w:w="2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Rủi ro pháp lý</w:t>
            </w:r>
          </w:p>
        </w:tc>
        <w:tc>
          <w:tcPr>
            <w:tcW w:type="dxa" w:w="16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Cần rà soát</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Kiểm tra yêu cầu về dữ liệu cá nhân, thương mại điện tử/dịch vụ trực tuyến, thanh toán; lưu hồ sơ liên quan</w:t>
            </w:r>
          </w:p>
        </w:tc>
        <w:tc>
          <w:tcPr>
            <w:tcW w:type="dxa" w:w="2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Có yêu cầu mới của cơ quan quản lý hoặc nhà cung cấp</w:t>
            </w:r>
          </w:p>
        </w:tc>
      </w:tr>
    </w:tbl>
    <w:p>
      <w:pPr>
        <w:spacing w:after="60"/>
      </w:pPr>
    </w:p>
    <w:p>
      <w:pPr>
        <w:pStyle w:val="Heading1"/>
        <w:keepNext/>
        <w:spacing w:after="120" w:before="280"/>
      </w:pPr>
      <w:r>
        <w:rPr>
          <w:rFonts w:ascii="Times New Roman" w:cs="Times New Roman" w:eastAsia="Times New Roman" w:hAnsi="Times New Roman"/>
          <w:b/>
          <w:bCs/>
          <w:color w:val="1F3A5F"/>
          <w:sz w:val="28"/>
          <w:szCs w:val="28"/>
        </w:rPr>
        <w:t xml:space="preserve">10. QUYỀN LỢI NHÀ ĐẦU TƯ VÀ CƠ CHẾ BÁO CÁO</w:t>
      </w:r>
    </w:p>
    <w:p>
      <w:pPr>
        <w:pStyle w:val="Heading2"/>
        <w:keepNext/>
        <w:spacing w:after="80" w:before="200"/>
      </w:pPr>
      <w:r>
        <w:rPr>
          <w:rFonts w:ascii="Times New Roman" w:cs="Times New Roman" w:eastAsia="Times New Roman" w:hAnsi="Times New Roman"/>
          <w:b/>
          <w:bCs/>
          <w:color w:val="1F3A5F"/>
          <w:sz w:val="24"/>
          <w:szCs w:val="24"/>
        </w:rPr>
        <w:t xml:space="preserve">10.1. Các hình thức tham gia cần lựa chọn rõ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cantSplit/>
          <w:tblHeader/>
        </w:trPr>
        <w:tc>
          <w:tcPr>
            <w:tcW w:type="dxa" w:w="24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Hình thức</w:t>
            </w:r>
          </w:p>
        </w:tc>
        <w:tc>
          <w:tcPr>
            <w:tcW w:type="dxa" w:w="403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Quyền lợi có thể thỏa thuận</w:t>
            </w:r>
          </w:p>
        </w:tc>
        <w:tc>
          <w:tcPr>
            <w:tcW w:type="dxa" w:w="362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Điểm cần làm rõ</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Hợp tác kinh doanh có chia kết quả</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Tỷ lệ phân chia lợi nhuận thực tế theo công thức đã thống nhất</w:t>
            </w:r>
          </w:p>
        </w:tc>
        <w:tc>
          <w:tcPr>
            <w:tcW w:type="dxa" w:w="36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Cách xác định lợi nhuận, thời điểm quyết toán, cách xử lý lỗ, quyền kiểm tra, quyền sở hữu sản phẩm</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Khoản vay</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Hoàn trả gốc và lãi nếu có, theo lịch được ghi trong hợp đồng</w:t>
            </w:r>
          </w:p>
        </w:tc>
        <w:tc>
          <w:tcPr>
            <w:tcW w:type="dxa" w:w="36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Lãi suất, kỳ hạn, tài sản bảo đảm (nếu có), hậu quả chậm trả</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Hỗ trợ không nhận lợi nhuận</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Quyền lợi phi tài chính nếu có (ghi nhận cảm ơn, dùng thử sớm, ưu đãi gói); không mặc định có quyền hoàn vốn</w:t>
            </w:r>
          </w:p>
        </w:tc>
        <w:tc>
          <w:tcPr>
            <w:tcW w:type="dxa" w:w="36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Khoản tiền có phải hoàn lại không và điều kiện sử dụng</w:t>
            </w:r>
          </w:p>
        </w:tc>
      </w:tr>
      <w:tr>
        <w:trPr>
          <w:cantSplit/>
        </w:trPr>
        <w:tc>
          <w:tcPr>
            <w:tcW w:type="dxa" w:w="24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Đầu tư vào doanh nghiệp</w:t>
            </w:r>
          </w:p>
        </w:tc>
        <w:tc>
          <w:tcPr>
            <w:tcW w:type="dxa" w:w="403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Quyền theo cơ cấu sở hữu và hồ sơ doanh nghiệp nếu áp dụng</w:t>
            </w:r>
          </w:p>
        </w:tc>
        <w:tc>
          <w:tcPr>
            <w:tcW w:type="dxa" w:w="36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Thủ tục pháp lý, quyền biểu quyết, chuyển nhượng, nghĩa vụ cổ đông/thành viên, pha loãng cổ phần</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10.2. Nguyên tắc phân chia kết quả</w:t>
      </w:r>
    </w:p>
    <w:p>
      <w:pPr>
        <w:spacing w:after="100" w:before="0" w:line="276"/>
        <w:jc w:val="both"/>
      </w:pPr>
      <w:r>
        <w:rPr>
          <w:rFonts w:ascii="Times New Roman" w:cs="Times New Roman" w:eastAsia="Times New Roman" w:hAnsi="Times New Roman"/>
          <w:sz w:val="22"/>
          <w:szCs w:val="22"/>
        </w:rPr>
        <w:t xml:space="preserve">Bảng gốc có tỷ lệ minh họa: 30% phần lợi nhuận có thể phân chia dành cho nhóm nhà đầu tư có quyền hưởng lợi nhuận, 70% dành cho chủ dự án hoặc giữ lại theo thỏa thuận; người hỗ trợ không nhận lợi nhuận là 0%. Đây chỉ là ví dụ trong tài liệu nguồn, không tự động áp dụng cho SmartBooking. Các bên phải xác định tỷ lệ, cách tính lợi nhuận và lịch thanh toán bằng văn bản trước khi nhận tiền.</w:t>
      </w:r>
    </w:p>
    <w:p>
      <w:pPr>
        <w:spacing w:after="100" w:before="0" w:line="276"/>
        <w:jc w:val="both"/>
      </w:pPr>
      <w:r>
        <w:rPr>
          <w:rFonts w:ascii="Times New Roman" w:cs="Times New Roman" w:eastAsia="Times New Roman" w:hAnsi="Times New Roman"/>
          <w:sz w:val="22"/>
          <w:szCs w:val="22"/>
        </w:rPr>
        <w:t xml:space="preserve">Nếu áp dụng tỷ lệ minh họa trên với phương án góp vốn ở mục 7.2, nhóm có quyền hưởng lợi nhuận gồm Nhà đầu tư B (90 triệu đồng) và Nhà đầu tư C (60 triệu đồng); chia theo tỷ lệ vốn góp trong nhóm này (60% và 40%) thì phần của B là 18% và của C là 12% lợi nhuận có thể phân chia.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2822"/>
        <w:gridCol w:w="3428"/>
      </w:tblGrid>
      <w:tr>
        <w:trPr>
          <w:cantSplit/>
          <w:tblHeader/>
        </w:trPr>
        <w:tc>
          <w:tcPr>
            <w:tcW w:type="dxa" w:w="383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Đối tượng</w:t>
            </w:r>
          </w:p>
        </w:tc>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Tỷ lệ minh họa trên lợi nhuận có thể phân chia</w:t>
            </w:r>
          </w:p>
        </w:tc>
        <w:tc>
          <w:tcPr>
            <w:tcW w:type="dxa" w:w="3428"/>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Ghi chú</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A (hỗ trợ không nhận lợi nhuận)</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0%</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Quyền lợi phi tài chính theo thỏa thuận</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B (có chia lợi nhuận)</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18%</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60% của phần 30% dành cho nhóm nhà đầu tư</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Nhà đầu tư C (có chia lợi nhuận)</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40% của phần 30% dành cho nhóm nhà đầu tư</w:t>
            </w:r>
          </w:p>
        </w:tc>
      </w:tr>
      <w:tr>
        <w:trPr>
          <w:cantSplit/>
        </w:trPr>
        <w:tc>
          <w:tcPr>
            <w:tcW w:type="dxa" w:w="383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Chủ dự án hoặc phần giữ lại theo thỏa thuận</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70%</w:t>
            </w:r>
          </w:p>
        </w:tc>
        <w:tc>
          <w:tcPr>
            <w:tcW w:type="dxa" w:w="34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Gồm phần giữ lại để tái đầu tư/bảo trì nếu các bên thống nhất</w:t>
            </w:r>
          </w:p>
        </w:tc>
      </w:tr>
      <w:tr>
        <w:trPr>
          <w:cantSplit/>
        </w:trPr>
        <w:tc>
          <w:tcPr>
            <w:tcW w:type="dxa" w:w="3830"/>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100%</w:t>
            </w:r>
          </w:p>
        </w:tc>
        <w:tc>
          <w:tcPr>
            <w:tcW w:type="dxa" w:w="3428"/>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10.3. Quyền sở hữu mã nguồn, thương hiệu và dữ liệu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Cần ghi rõ ai sở hữu mã nguồn, thương hiệu, tên miền, tài khoản nhà phát triển ứng dụng và dữ liệu người dùng; khoản góp vốn không tự động chuyển quyền sở hữu mã nguồn nếu hợp đồng không quy định.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Nhân sự và bên thuê ngoài tham gia phát triển phải ký thỏa thuận chuyển giao quyền sở hữu trí tuệ về cho chủ dự án/pháp nhân dự án.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Dữ liệu người dùng cuối thuộc trách nhiệm xử lý theo quy định bảo vệ dữ liệu cá nhân; nhà đầu tư không mặc định được truy cập dữ liệu cá nhân của người dùng.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Khi dự án dừng, cần có phương án xử lý mã nguồn, dữ liệu và tài sản (bán lại, chuyển giao, lưu trữ hoặc xóa) được thống nhất từ trước.</w:t>
      </w:r>
    </w:p>
    <w:p>
      <w:pPr>
        <w:pStyle w:val="Heading2"/>
        <w:keepNext/>
        <w:spacing w:after="80" w:before="200"/>
      </w:pPr>
      <w:r>
        <w:rPr>
          <w:rFonts w:ascii="Times New Roman" w:cs="Times New Roman" w:eastAsia="Times New Roman" w:hAnsi="Times New Roman"/>
          <w:b/>
          <w:bCs/>
          <w:color w:val="1F3A5F"/>
          <w:sz w:val="24"/>
          <w:szCs w:val="24"/>
        </w:rPr>
        <w:t xml:space="preserve">10.4. Báo cáo và minh bạch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Báo cáo hằng tuần trong giai đoạn phát triển: tiến độ, công việc hoàn thành, chi phí đã chi, khoản còn phải trả, rủi ro và vấn đề phát sinh.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Buổi trình diễn sản phẩm (demo) cuối mỗi giai đoạn trước khi đề nghị giải ngân giai đoạn tiếp theo.</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Báo cáo hằng tháng khi vận hành: số cơ sở, số lịch đặt, doanh thu, chi phí, dòng tiền, lỗi và nghĩa vụ phải trả.</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Cho phép người góp vốn kiểm tra chứng từ trong phạm vi và theo cách thức đã thống nhất, bảo đảm không làm gián đoạn công việc.</w:t>
      </w:r>
    </w:p>
    <w:p>
      <w:pPr>
        <w:pStyle w:val="ListParagraph"/>
        <w:numPr>
          <w:ilvl w:val="0"/>
          <w:numId w:val="2"/>
        </w:numPr>
        <w:spacing w:after="60" w:line="276"/>
        <w:jc w:val="both"/>
      </w:pPr>
      <w:r>
        <w:rPr>
          <w:rFonts w:ascii="Times New Roman" w:cs="Times New Roman" w:eastAsia="Times New Roman" w:hAnsi="Times New Roman"/>
          <w:sz w:val="22"/>
          <w:szCs w:val="22"/>
        </w:rPr>
        <w:t xml:space="preserve">Mọi thay đổi lớn về phạm vi, tổng ngân sách, người quản lý hoặc mô hình kinh doanh phải thông báo và xin ý kiến theo thỏa thuận.</w:t>
      </w:r>
    </w:p>
    <w:p>
      <w:pPr>
        <w:pStyle w:val="Heading1"/>
        <w:keepNext/>
        <w:spacing w:after="120" w:before="280"/>
      </w:pPr>
      <w:r>
        <w:rPr>
          <w:rFonts w:ascii="Times New Roman" w:cs="Times New Roman" w:eastAsia="Times New Roman" w:hAnsi="Times New Roman"/>
          <w:b/>
          <w:bCs/>
          <w:color w:val="1F3A5F"/>
          <w:sz w:val="28"/>
          <w:szCs w:val="28"/>
        </w:rPr>
        <w:t xml:space="preserve">11. KẾT LUẬN VÀ ĐỀ XUẤT</w:t>
      </w:r>
    </w:p>
    <w:p>
      <w:pPr>
        <w:spacing w:after="100" w:before="0" w:line="276"/>
        <w:jc w:val="both"/>
      </w:pPr>
      <w:r>
        <w:rPr>
          <w:rFonts w:ascii="Times New Roman" w:cs="Times New Roman" w:eastAsia="Times New Roman" w:hAnsi="Times New Roman"/>
          <w:sz w:val="22"/>
          <w:szCs w:val="22"/>
        </w:rPr>
        <w:t xml:space="preserve">SmartBooking có phương án sơ bộ với tổng vốn dự kiến 250 triệu đồng, trong đó vốn tự có 50 triệu đồng và mục tiêu gọi thêm 200 triệu đồng. Kế hoạch triển khai dự kiến trong 6 tháng, từ phân tích và thiết kế đến phát triển, dùng thử và phát hành phiên bản đầu tiên. Theo số liệu gốc, doanh thu dự kiến là 360 triệu đồng và chi phí vận hành/bán hàng 240 triệu đồng; cần xác minh kỳ dự báo, khả năng thu hút người dùng và bổ sung các khoản chi phí để đánh giá hiệu quả thực tế.</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cantSplit/>
          <w:tblHeader/>
        </w:trPr>
        <w:tc>
          <w:tcPr>
            <w:tcW w:type="dxa" w:w="302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Tiêu chí đánh giá</w:t>
            </w:r>
          </w:p>
        </w:tc>
        <w:tc>
          <w:tcPr>
            <w:tcW w:type="dxa" w:w="705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Dự án B – SmartBooking</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Nhu cầu vốn</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250 triệu đồng</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cần gọi</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200 triệu đồng</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Kết quả đầu ra</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Tạo ra một ứng dụng hoàn chỉnh (phiên bản đầu tiên)</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Rủi ro nổi bật</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Khả năng thu hút người dùng; lỗi kỹ thuật; chi phí bảo trì</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Minh chứng yêu cầu</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Tạo bản mẫu, kế hoạch kỹ thuật</w:t>
            </w:r>
          </w:p>
        </w:tc>
      </w:tr>
      <w:tr>
        <w:trPr>
          <w:cantSplit/>
        </w:trPr>
        <w:tc>
          <w:tcPr>
            <w:tcW w:type="dxa" w:w="30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Đề xuất trước khi đầu tư</w:t>
            </w:r>
          </w:p>
        </w:tc>
        <w:tc>
          <w:tcPr>
            <w:tcW w:type="dxa" w:w="70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Kiểm tra khả năng sử dụng và mô hình doanh thu</w:t>
            </w:r>
          </w:p>
        </w:tc>
      </w:tr>
    </w:tbl>
    <w:p>
      <w:pPr>
        <w:spacing w:after="60"/>
      </w:pPr>
    </w:p>
    <w:p>
      <w:pPr>
        <w:pStyle w:val="Heading2"/>
        <w:keepNext/>
        <w:spacing w:after="80" w:before="200"/>
      </w:pPr>
      <w:r>
        <w:rPr>
          <w:rFonts w:ascii="Times New Roman" w:cs="Times New Roman" w:eastAsia="Times New Roman" w:hAnsi="Times New Roman"/>
          <w:b/>
          <w:bCs/>
          <w:color w:val="1F3A5F"/>
          <w:sz w:val="24"/>
          <w:szCs w:val="24"/>
        </w:rPr>
        <w:t xml:space="preserve">Việc cần hoàn thành trước khi công bố gọi vốn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Hoàn thiện bản mẫu giao diện tương tác và kế hoạch kỹ thuật; thu thập báo giá cho nhân sự, hạ tầng, tích hợp bên thứ ba và kiểm thử bảo mật.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Phỏng vấn/khảo sát ban đầu để kiểm chứng nhu cầu và mức giá; lập danh sách cơ sở dùng thử.</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Chốt kỳ tính doanh thu 360 triệu đồng và chi phí 240 triệu đồng; lập dòng tiền theo tháng.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Thống nhất phương án gọi 200 triệu đồng; sửa bảng nhà đầu tư để tổng số tiền không vượt mục tiêu; thống nhất ngưỡng khởi động và cách xử lý nếu không đủ vốn.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Chọn hình thức pháp lý của khoản tiền nhận được; làm rõ quyền sở hữu mã nguồn và dữ liệu; hoàn thiện hợp đồng phù hợp với hình thức đó.</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Chỉ công bố thông tin có căn cứ; nêu rõ rủi ro, quyền lợi, cách xử lý lỗ và trường hợp dự án dừng.</w:t>
      </w:r>
    </w:p>
    <w:p>
      <w:r>
        <w:br w:type="page"/>
      </w:r>
    </w:p>
    <w:p>
      <w:pPr>
        <w:pStyle w:val="Heading1"/>
        <w:keepNext/>
        <w:spacing w:after="120" w:before="280"/>
      </w:pPr>
      <w:r>
        <w:rPr>
          <w:rFonts w:ascii="Times New Roman" w:cs="Times New Roman" w:eastAsia="Times New Roman" w:hAnsi="Times New Roman"/>
          <w:b/>
          <w:bCs/>
          <w:color w:val="1F3A5F"/>
          <w:sz w:val="28"/>
          <w:szCs w:val="28"/>
        </w:rPr>
        <w:t xml:space="preserve">PHỤ LỤC – DỰ THẢO HỢP ĐỒNG HỢP TÁC KINH DOANH/GÓP VỐN</w:t>
      </w:r>
    </w:p>
    <w:p>
      <w:pPr>
        <w:spacing w:after="100" w:before="0" w:line="276"/>
        <w:jc w:val="both"/>
      </w:pPr>
      <w:r>
        <w:rPr>
          <w:rFonts w:ascii="Times New Roman" w:cs="Times New Roman" w:eastAsia="Times New Roman" w:hAnsi="Times New Roman"/>
          <w:i/>
          <w:iCs/>
          <w:sz w:val="22"/>
          <w:szCs w:val="22"/>
        </w:rPr>
        <w:t xml:space="preserve">Lưu ý: Đây là mẫu thảo luận. Các bên cần điền đầy đủ thông tin, lựa chọn đúng bản chất giao dịch và nhờ người có chuyên môn pháp lý rà soát trước khi ký. Không dùng đồng thời các điều khoản mâu thuẫn giữa khoản vay, đầu tư và hợp tác kinh doanh.</w:t>
      </w:r>
    </w:p>
    <w:p>
      <w:pPr>
        <w:spacing w:after="60" w:before="120"/>
        <w:jc w:val="center"/>
      </w:pPr>
      <w:r>
        <w:rPr>
          <w:rFonts w:ascii="Times New Roman" w:cs="Times New Roman" w:eastAsia="Times New Roman" w:hAnsi="Times New Roman"/>
          <w:b/>
          <w:bCs/>
          <w:sz w:val="26"/>
          <w:szCs w:val="26"/>
        </w:rPr>
        <w:t xml:space="preserve">HỢP ĐỒNG HỢP TÁC KINH DOANH DỰ ÁN SMARTBOOKING</w:t>
      </w:r>
    </w:p>
    <w:p>
      <w:pPr>
        <w:spacing w:after="100" w:before="0" w:line="276"/>
        <w:jc w:val="center"/>
      </w:pPr>
      <w:r>
        <w:rPr>
          <w:rFonts w:ascii="Times New Roman" w:cs="Times New Roman" w:eastAsia="Times New Roman" w:hAnsi="Times New Roman"/>
          <w:sz w:val="22"/>
          <w:szCs w:val="22"/>
        </w:rPr>
        <w:t xml:space="preserve">Số: ……/2026/HĐHTKD-SB</w:t>
      </w:r>
    </w:p>
    <w:p>
      <w:pPr>
        <w:spacing w:after="100" w:before="0" w:line="276"/>
        <w:jc w:val="both"/>
      </w:pPr>
      <w:r>
        <w:rPr>
          <w:rFonts w:ascii="Times New Roman" w:cs="Times New Roman" w:eastAsia="Times New Roman" w:hAnsi="Times New Roman"/>
          <w:sz w:val="22"/>
          <w:szCs w:val="22"/>
        </w:rPr>
        <w:t xml:space="preserve">Hôm nay, ngày …… tháng …… năm 2026, tại ……………………………, các bên gồm:</w:t>
      </w:r>
    </w:p>
    <w:p>
      <w:pPr>
        <w:pStyle w:val="Heading2"/>
        <w:keepNext/>
        <w:spacing w:after="80" w:before="200"/>
      </w:pPr>
      <w:r>
        <w:rPr>
          <w:rFonts w:ascii="Times New Roman" w:cs="Times New Roman" w:eastAsia="Times New Roman" w:hAnsi="Times New Roman"/>
          <w:b/>
          <w:bCs/>
          <w:color w:val="1F3A5F"/>
          <w:sz w:val="24"/>
          <w:szCs w:val="24"/>
        </w:rPr>
        <w:t xml:space="preserve">BÊN A – CHỦ DỰ ÁN/ĐẠI DIỆN ĐIỀU HÀNH</w:t>
      </w:r>
    </w:p>
    <w:p>
      <w:pPr>
        <w:spacing w:after="100" w:before="0" w:line="276"/>
        <w:jc w:val="left"/>
      </w:pPr>
      <w:r>
        <w:rPr>
          <w:rFonts w:ascii="Times New Roman" w:cs="Times New Roman" w:eastAsia="Times New Roman" w:hAnsi="Times New Roman"/>
          <w:sz w:val="22"/>
          <w:szCs w:val="22"/>
        </w:rPr>
        <w:t xml:space="preserve">Họ và tên/Tên tổ chức: ........................................................................</w:t>
      </w:r>
    </w:p>
    <w:p>
      <w:pPr>
        <w:spacing w:after="100" w:before="0" w:line="276"/>
        <w:jc w:val="left"/>
      </w:pPr>
      <w:r>
        <w:rPr>
          <w:rFonts w:ascii="Times New Roman" w:cs="Times New Roman" w:eastAsia="Times New Roman" w:hAnsi="Times New Roman"/>
          <w:sz w:val="22"/>
          <w:szCs w:val="22"/>
        </w:rPr>
        <w:t xml:space="preserve">Ngày sinh/Mã số doanh nghiệp (nếu có): ................................................</w:t>
      </w:r>
    </w:p>
    <w:p>
      <w:pPr>
        <w:spacing w:after="100" w:before="0" w:line="276"/>
        <w:jc w:val="left"/>
      </w:pPr>
      <w:r>
        <w:rPr>
          <w:rFonts w:ascii="Times New Roman" w:cs="Times New Roman" w:eastAsia="Times New Roman" w:hAnsi="Times New Roman"/>
          <w:sz w:val="22"/>
          <w:szCs w:val="22"/>
        </w:rPr>
        <w:t xml:space="preserve">CCCD/giấy tờ pháp lý: .......................... cấp ngày .......... tại .................</w:t>
      </w:r>
    </w:p>
    <w:p>
      <w:pPr>
        <w:spacing w:after="100" w:before="0" w:line="276"/>
        <w:jc w:val="left"/>
      </w:pPr>
      <w:r>
        <w:rPr>
          <w:rFonts w:ascii="Times New Roman" w:cs="Times New Roman" w:eastAsia="Times New Roman" w:hAnsi="Times New Roman"/>
          <w:sz w:val="22"/>
          <w:szCs w:val="22"/>
        </w:rPr>
        <w:t xml:space="preserve">Địa chỉ: .................................................................................................</w:t>
      </w:r>
    </w:p>
    <w:p>
      <w:pPr>
        <w:spacing w:after="100" w:before="0" w:line="276"/>
        <w:jc w:val="left"/>
      </w:pPr>
      <w:r>
        <w:rPr>
          <w:rFonts w:ascii="Times New Roman" w:cs="Times New Roman" w:eastAsia="Times New Roman" w:hAnsi="Times New Roman"/>
          <w:sz w:val="22"/>
          <w:szCs w:val="22"/>
        </w:rPr>
        <w:t xml:space="preserve">Điện thoại/Email: ...................................................................................</w:t>
      </w:r>
    </w:p>
    <w:p>
      <w:pPr>
        <w:spacing w:after="100" w:before="0" w:line="276"/>
        <w:jc w:val="left"/>
      </w:pPr>
      <w:r>
        <w:rPr>
          <w:rFonts w:ascii="Times New Roman" w:cs="Times New Roman" w:eastAsia="Times New Roman" w:hAnsi="Times New Roman"/>
          <w:sz w:val="22"/>
          <w:szCs w:val="22"/>
        </w:rPr>
        <w:t xml:space="preserve">Tài khoản nhận/chi dự án (nếu thống nhất): .............................................................</w:t>
      </w:r>
    </w:p>
    <w:p>
      <w:pPr>
        <w:pStyle w:val="Heading2"/>
        <w:keepNext/>
        <w:spacing w:after="80" w:before="200"/>
      </w:pPr>
      <w:r>
        <w:rPr>
          <w:rFonts w:ascii="Times New Roman" w:cs="Times New Roman" w:eastAsia="Times New Roman" w:hAnsi="Times New Roman"/>
          <w:b/>
          <w:bCs/>
          <w:color w:val="1F3A5F"/>
          <w:sz w:val="24"/>
          <w:szCs w:val="24"/>
        </w:rPr>
        <w:t xml:space="preserve">BÊN B – BÊN GÓP VỐN/ĐỐI TÁC</w:t>
      </w:r>
    </w:p>
    <w:p>
      <w:pPr>
        <w:spacing w:after="100" w:before="0" w:line="276"/>
        <w:jc w:val="left"/>
      </w:pPr>
      <w:r>
        <w:rPr>
          <w:rFonts w:ascii="Times New Roman" w:cs="Times New Roman" w:eastAsia="Times New Roman" w:hAnsi="Times New Roman"/>
          <w:sz w:val="22"/>
          <w:szCs w:val="22"/>
        </w:rPr>
        <w:t xml:space="preserve">Họ và tên/Tên tổ chức: ........................................................................</w:t>
      </w:r>
    </w:p>
    <w:p>
      <w:pPr>
        <w:spacing w:after="100" w:before="0" w:line="276"/>
        <w:jc w:val="left"/>
      </w:pPr>
      <w:r>
        <w:rPr>
          <w:rFonts w:ascii="Times New Roman" w:cs="Times New Roman" w:eastAsia="Times New Roman" w:hAnsi="Times New Roman"/>
          <w:sz w:val="22"/>
          <w:szCs w:val="22"/>
        </w:rPr>
        <w:t xml:space="preserve">Ngày sinh/Mã số doanh nghiệp (nếu có): ................................................</w:t>
      </w:r>
    </w:p>
    <w:p>
      <w:pPr>
        <w:spacing w:after="100" w:before="0" w:line="276"/>
        <w:jc w:val="left"/>
      </w:pPr>
      <w:r>
        <w:rPr>
          <w:rFonts w:ascii="Times New Roman" w:cs="Times New Roman" w:eastAsia="Times New Roman" w:hAnsi="Times New Roman"/>
          <w:sz w:val="22"/>
          <w:szCs w:val="22"/>
        </w:rPr>
        <w:t xml:space="preserve">CCCD/giấy tờ pháp lý: .......................... cấp ngày .......... tại .................</w:t>
      </w:r>
    </w:p>
    <w:p>
      <w:pPr>
        <w:spacing w:after="100" w:before="0" w:line="276"/>
        <w:jc w:val="left"/>
      </w:pPr>
      <w:r>
        <w:rPr>
          <w:rFonts w:ascii="Times New Roman" w:cs="Times New Roman" w:eastAsia="Times New Roman" w:hAnsi="Times New Roman"/>
          <w:sz w:val="22"/>
          <w:szCs w:val="22"/>
        </w:rPr>
        <w:t xml:space="preserve">Địa chỉ: .................................................................................................</w:t>
      </w:r>
    </w:p>
    <w:p>
      <w:pPr>
        <w:spacing w:after="100" w:before="0" w:line="276"/>
        <w:jc w:val="left"/>
      </w:pPr>
      <w:r>
        <w:rPr>
          <w:rFonts w:ascii="Times New Roman" w:cs="Times New Roman" w:eastAsia="Times New Roman" w:hAnsi="Times New Roman"/>
          <w:sz w:val="22"/>
          <w:szCs w:val="22"/>
        </w:rPr>
        <w:t xml:space="preserve">Điện thoại/Email: ...................................................................................</w:t>
      </w:r>
    </w:p>
    <w:p>
      <w:pPr>
        <w:spacing w:after="100" w:before="0" w:line="276"/>
        <w:jc w:val="left"/>
      </w:pPr>
      <w:r>
        <w:rPr>
          <w:rFonts w:ascii="Times New Roman" w:cs="Times New Roman" w:eastAsia="Times New Roman" w:hAnsi="Times New Roman"/>
          <w:sz w:val="22"/>
          <w:szCs w:val="22"/>
        </w:rPr>
        <w:t xml:space="preserve">Tài khoản chuyển vốn: .............................................................</w:t>
      </w:r>
    </w:p>
    <w:p>
      <w:pPr>
        <w:spacing w:after="100" w:before="0" w:line="276"/>
        <w:jc w:val="both"/>
      </w:pPr>
      <w:r>
        <w:rPr>
          <w:rFonts w:ascii="Times New Roman" w:cs="Times New Roman" w:eastAsia="Times New Roman" w:hAnsi="Times New Roman"/>
          <w:sz w:val="22"/>
          <w:szCs w:val="22"/>
        </w:rPr>
        <w:t xml:space="preserve">Bên A và Bên B sau đây gọi riêng là “Bên”, gọi chung là “Các Bên”, thống nhất ký hợp đồng với các điều khoản sau:</w:t>
      </w:r>
    </w:p>
    <w:p>
      <w:pPr>
        <w:pStyle w:val="Heading2"/>
        <w:keepNext/>
        <w:spacing w:after="80" w:before="200"/>
      </w:pPr>
      <w:r>
        <w:rPr>
          <w:rFonts w:ascii="Times New Roman" w:cs="Times New Roman" w:eastAsia="Times New Roman" w:hAnsi="Times New Roman"/>
          <w:b/>
          <w:bCs/>
          <w:color w:val="1F3A5F"/>
          <w:sz w:val="24"/>
          <w:szCs w:val="24"/>
        </w:rPr>
        <w:t xml:space="preserve">Điều 1. Mục đích và phạm vi hợp tác</w:t>
      </w:r>
    </w:p>
    <w:p>
      <w:pPr>
        <w:spacing w:after="100" w:before="0" w:line="276"/>
        <w:jc w:val="both"/>
      </w:pPr>
      <w:r>
        <w:rPr>
          <w:rFonts w:ascii="Times New Roman" w:cs="Times New Roman" w:eastAsia="Times New Roman" w:hAnsi="Times New Roman"/>
          <w:sz w:val="22"/>
          <w:szCs w:val="22"/>
        </w:rPr>
        <w:t xml:space="preserve">1.1. Các Bên hợp tác để thiết kế, phát triển, thử nghiệm và phát hành phiên bản đầu tiên của dự án SmartBooking – ứng dụng quản lý và đặt lịch dịch vụ.</w:t>
      </w:r>
    </w:p>
    <w:p>
      <w:pPr>
        <w:spacing w:after="100" w:before="0" w:line="276"/>
        <w:jc w:val="both"/>
      </w:pPr>
      <w:r>
        <w:rPr>
          <w:rFonts w:ascii="Times New Roman" w:cs="Times New Roman" w:eastAsia="Times New Roman" w:hAnsi="Times New Roman"/>
          <w:sz w:val="22"/>
          <w:szCs w:val="22"/>
        </w:rPr>
        <w:t xml:space="preserve">1.2. Tổng ngân sách dự kiến của dự án là 250.000.000 VNĐ. Vốn tự có dự kiến của Bên A là 50.000.000 VNĐ; mục tiêu vốn huy động từ các bên góp vốn là 200.000.000 VNĐ. Khoản góp thực tế của Bên B theo hợp đồng này là: ………………… VNĐ (bằng chữ: ………………………………………………).</w:t>
      </w:r>
    </w:p>
    <w:p>
      <w:pPr>
        <w:spacing w:after="100" w:before="0" w:line="276"/>
        <w:jc w:val="both"/>
      </w:pPr>
      <w:r>
        <w:rPr>
          <w:rFonts w:ascii="Times New Roman" w:cs="Times New Roman" w:eastAsia="Times New Roman" w:hAnsi="Times New Roman"/>
          <w:sz w:val="22"/>
          <w:szCs w:val="22"/>
        </w:rPr>
        <w:t xml:space="preserve">1.3. Phạm vi sử dụng vốn thực hiện theo ngân sách và kế hoạch đính kèm. Mọi thay đổi đáng kể về mục đích, phạm vi sản phẩm hoặc tổng ngân sách phải được xử lý theo Điều 9 của hợp đồng.</w:t>
      </w:r>
    </w:p>
    <w:p>
      <w:pPr>
        <w:pStyle w:val="Heading2"/>
        <w:keepNext/>
        <w:spacing w:after="80" w:before="200"/>
      </w:pPr>
      <w:r>
        <w:rPr>
          <w:rFonts w:ascii="Times New Roman" w:cs="Times New Roman" w:eastAsia="Times New Roman" w:hAnsi="Times New Roman"/>
          <w:b/>
          <w:bCs/>
          <w:color w:val="1F3A5F"/>
          <w:sz w:val="24"/>
          <w:szCs w:val="24"/>
        </w:rPr>
        <w:t xml:space="preserve">Điều 2. Bản chất khoản góp và quyền lợi</w:t>
      </w:r>
    </w:p>
    <w:p>
      <w:pPr>
        <w:spacing w:after="100" w:before="0" w:line="276"/>
        <w:jc w:val="both"/>
      </w:pPr>
      <w:r>
        <w:rPr>
          <w:rFonts w:ascii="Times New Roman" w:cs="Times New Roman" w:eastAsia="Times New Roman" w:hAnsi="Times New Roman"/>
          <w:sz w:val="22"/>
          <w:szCs w:val="22"/>
        </w:rPr>
        <w:t xml:space="preserve">2.1. Các Bên đánh dấu và hoàn thiện đúng một phương án trước khi ký: ☐ Hợp tác kinh doanh có chia kết quả; ☐ Khoản vay; ☐ Hỗ trợ/tài trợ không nhận lợi nhuận; ☐ Hình thức khác: ……………………… .</w:t>
      </w:r>
    </w:p>
    <w:p>
      <w:pPr>
        <w:spacing w:after="100" w:before="0" w:line="276"/>
        <w:jc w:val="both"/>
      </w:pPr>
      <w:r>
        <w:rPr>
          <w:rFonts w:ascii="Times New Roman" w:cs="Times New Roman" w:eastAsia="Times New Roman" w:hAnsi="Times New Roman"/>
          <w:sz w:val="22"/>
          <w:szCs w:val="22"/>
        </w:rPr>
        <w:t xml:space="preserve">2.2. Nếu chọn hợp tác kinh doanh có chia kết quả, tỷ lệ phân chia phần lợi nhuận được xác định như sau: Bên A ……%; Bên B ……%; bên khác (nếu có) ……%. Tỷ lệ này chỉ áp dụng sau khi xác định doanh thu, chi phí hợp lệ, nghĩa vụ thuế và các khoản phải trả theo nguyên tắc được Các Bên thống nhất bằng văn bản.</w:t>
      </w:r>
    </w:p>
    <w:p>
      <w:pPr>
        <w:spacing w:after="100" w:before="0" w:line="276"/>
        <w:jc w:val="both"/>
      </w:pPr>
      <w:r>
        <w:rPr>
          <w:rFonts w:ascii="Times New Roman" w:cs="Times New Roman" w:eastAsia="Times New Roman" w:hAnsi="Times New Roman"/>
          <w:sz w:val="22"/>
          <w:szCs w:val="22"/>
        </w:rPr>
        <w:t xml:space="preserve">2.3. Nếu chọn khoản vay, ghi rõ số tiền vay, lãi suất (nếu có), lịch trả gốc/lãi và biện pháp xử lý chậm trả tại phụ lục riêng. Không áp dụng cơ chế chia lợi nhuận thay cho điều khoản vay nếu Các Bên chưa thống nhất.</w:t>
      </w:r>
    </w:p>
    <w:p>
      <w:pPr>
        <w:spacing w:after="100" w:before="0" w:line="276"/>
        <w:jc w:val="both"/>
      </w:pPr>
      <w:r>
        <w:rPr>
          <w:rFonts w:ascii="Times New Roman" w:cs="Times New Roman" w:eastAsia="Times New Roman" w:hAnsi="Times New Roman"/>
          <w:sz w:val="22"/>
          <w:szCs w:val="22"/>
        </w:rPr>
        <w:t xml:space="preserve">2.4. Nếu chọn hỗ trợ/tài trợ không nhận lợi nhuận, ghi rõ khoản tiền có hoàn lại hay không, điều kiện hoàn lại (nếu có) và quyền lợi phi tài chính đi kèm.</w:t>
      </w:r>
    </w:p>
    <w:p>
      <w:pPr>
        <w:spacing w:after="100" w:before="0" w:line="276"/>
        <w:jc w:val="both"/>
      </w:pPr>
      <w:r>
        <w:rPr>
          <w:rFonts w:ascii="Times New Roman" w:cs="Times New Roman" w:eastAsia="Times New Roman" w:hAnsi="Times New Roman"/>
          <w:sz w:val="22"/>
          <w:szCs w:val="22"/>
        </w:rPr>
        <w:t xml:space="preserve">2.5. Không điều khoản nào trong hợp đồng này được hiểu là cam kết chắc chắn về doanh thu, lợi nhuận, số lượng người dùng hoặc hoàn vốn, trừ nghĩa vụ cụ thể được ghi rõ và phù hợp với phương án giao dịch đã chọn.</w:t>
      </w:r>
    </w:p>
    <w:p>
      <w:pPr>
        <w:pStyle w:val="Heading2"/>
        <w:keepNext/>
        <w:spacing w:after="80" w:before="200"/>
      </w:pPr>
      <w:r>
        <w:rPr>
          <w:rFonts w:ascii="Times New Roman" w:cs="Times New Roman" w:eastAsia="Times New Roman" w:hAnsi="Times New Roman"/>
          <w:b/>
          <w:bCs/>
          <w:color w:val="1F3A5F"/>
          <w:sz w:val="24"/>
          <w:szCs w:val="24"/>
        </w:rPr>
        <w:t xml:space="preserve">Điều 3. Tiến độ góp vốn, ngưỡng khởi động và xác nhận</w:t>
      </w:r>
    </w:p>
    <w:p>
      <w:pPr>
        <w:spacing w:after="100" w:before="0" w:line="276"/>
        <w:jc w:val="both"/>
      </w:pPr>
      <w:r>
        <w:rPr>
          <w:rFonts w:ascii="Times New Roman" w:cs="Times New Roman" w:eastAsia="Times New Roman" w:hAnsi="Times New Roman"/>
          <w:sz w:val="22"/>
          <w:szCs w:val="22"/>
        </w:rPr>
        <w:t xml:space="preserve">3.1. Bên B góp số tiền nêu tại khoản 1.2 theo tiến độ: đợt 1 ………… VNĐ vào ngày …………; đợt 2 ………… VNĐ vào ngày …………; đợt khác (nếu có) ………… .</w:t>
      </w:r>
    </w:p>
    <w:p>
      <w:pPr>
        <w:spacing w:after="100" w:before="0" w:line="276"/>
        <w:jc w:val="both"/>
      </w:pPr>
      <w:r>
        <w:rPr>
          <w:rFonts w:ascii="Times New Roman" w:cs="Times New Roman" w:eastAsia="Times New Roman" w:hAnsi="Times New Roman"/>
          <w:sz w:val="22"/>
          <w:szCs w:val="22"/>
        </w:rPr>
        <w:t xml:space="preserve">3.2. Phương thức chuyển tiền: ……………………………………… . Nội dung chuyển khoản ghi “Góp vốn/hợp tác SmartBooking – [họ tên] – [đợt]”. Bên A xác nhận nhận tiền bằng biên nhận hoặc văn bản lưu trữ.</w:t>
      </w:r>
    </w:p>
    <w:p>
      <w:pPr>
        <w:spacing w:after="100" w:before="0" w:line="276"/>
        <w:jc w:val="both"/>
      </w:pPr>
      <w:r>
        <w:rPr>
          <w:rFonts w:ascii="Times New Roman" w:cs="Times New Roman" w:eastAsia="Times New Roman" w:hAnsi="Times New Roman"/>
          <w:sz w:val="22"/>
          <w:szCs w:val="22"/>
        </w:rPr>
        <w:t xml:space="preserve">3.3. Ngưỡng khởi động: dự án chỉ bắt đầu giai đoạn phát triển chính khi tổng vốn huy động đạt tối thiểu ………… VNĐ. Nếu đến hết thời hạn gọi vốn chưa đạt ngưỡng này, khoản đã nhận được xử lý theo phương án: ☐ hoàn lại cho Bên B; ☐ gia hạn gọi vốn đến ngày …………; ☐ khác: ……………… .</w:t>
      </w:r>
    </w:p>
    <w:p>
      <w:pPr>
        <w:spacing w:after="100" w:before="0" w:line="276"/>
        <w:jc w:val="both"/>
      </w:pPr>
      <w:r>
        <w:rPr>
          <w:rFonts w:ascii="Times New Roman" w:cs="Times New Roman" w:eastAsia="Times New Roman" w:hAnsi="Times New Roman"/>
          <w:sz w:val="22"/>
          <w:szCs w:val="22"/>
        </w:rPr>
        <w:t xml:space="preserve">3.4. Nếu một bên không thực hiện đúng tiến độ, các bên thông báo bằng văn bản và thống nhất thời hạn khắc phục, điều chỉnh kế hoạch hoặc chấm dứt theo Điều 10.</w:t>
      </w:r>
    </w:p>
    <w:p>
      <w:pPr>
        <w:pStyle w:val="Heading2"/>
        <w:keepNext/>
        <w:spacing w:after="80" w:before="200"/>
      </w:pPr>
      <w:r>
        <w:rPr>
          <w:rFonts w:ascii="Times New Roman" w:cs="Times New Roman" w:eastAsia="Times New Roman" w:hAnsi="Times New Roman"/>
          <w:b/>
          <w:bCs/>
          <w:color w:val="1F3A5F"/>
          <w:sz w:val="24"/>
          <w:szCs w:val="24"/>
        </w:rPr>
        <w:t xml:space="preserve">Điều 4. Quản lý và sử dụng vốn</w:t>
      </w:r>
    </w:p>
    <w:p>
      <w:pPr>
        <w:spacing w:after="100" w:before="0" w:line="276"/>
        <w:jc w:val="both"/>
      </w:pPr>
      <w:r>
        <w:rPr>
          <w:rFonts w:ascii="Times New Roman" w:cs="Times New Roman" w:eastAsia="Times New Roman" w:hAnsi="Times New Roman"/>
          <w:sz w:val="22"/>
          <w:szCs w:val="22"/>
        </w:rPr>
        <w:t xml:space="preserve">4.1. Vốn chỉ được sử dụng cho các hạng mục phục vụ dự án. Bên A lưu giữ hóa đơn, báo giá, chứng từ chuyển tiền và bảng theo dõi thu – chi trong phạm vi có thể thu thập hợp pháp.</w:t>
      </w:r>
    </w:p>
    <w:p>
      <w:pPr>
        <w:spacing w:after="100" w:before="0" w:line="276"/>
        <w:jc w:val="both"/>
      </w:pPr>
      <w:r>
        <w:rPr>
          <w:rFonts w:ascii="Times New Roman" w:cs="Times New Roman" w:eastAsia="Times New Roman" w:hAnsi="Times New Roman"/>
          <w:sz w:val="22"/>
          <w:szCs w:val="22"/>
        </w:rPr>
        <w:t xml:space="preserve">4.2. Khoản chi trên …………… VNĐ hoặc vượt quá ngân sách của một hạng mục trên ……% phải được Bên B/đại diện các bên góp vốn chấp thuận trước bằng văn bản hoặc phương thức điện tử có thể lưu trữ.</w:t>
      </w:r>
    </w:p>
    <w:p>
      <w:pPr>
        <w:spacing w:after="100" w:before="0" w:line="276"/>
        <w:jc w:val="both"/>
      </w:pPr>
      <w:r>
        <w:rPr>
          <w:rFonts w:ascii="Times New Roman" w:cs="Times New Roman" w:eastAsia="Times New Roman" w:hAnsi="Times New Roman"/>
          <w:sz w:val="22"/>
          <w:szCs w:val="22"/>
        </w:rPr>
        <w:t xml:space="preserve">4.3. Việc giải ngân giữa các giai đoạn thực hiện theo mốc nghiệm thu thống nhất tại Phụ lục 1. Tiền dự phòng chỉ sử dụng khi phát sinh có lý do rõ ràng; việc sử dụng phải được ghi nhận trong báo cáo kỳ gần nhất.</w:t>
      </w:r>
    </w:p>
    <w:p>
      <w:pPr>
        <w:spacing w:after="100" w:before="0" w:line="276"/>
        <w:jc w:val="both"/>
      </w:pPr>
      <w:r>
        <w:rPr>
          <w:rFonts w:ascii="Times New Roman" w:cs="Times New Roman" w:eastAsia="Times New Roman" w:hAnsi="Times New Roman"/>
          <w:sz w:val="22"/>
          <w:szCs w:val="22"/>
        </w:rPr>
        <w:t xml:space="preserve">4.4. Tài sản mua từ nguồn vốn dự án (thiết bị, tên miền, tài khoản nhà phát triển, bản quyền công cụ) phải được ghi vào danh mục tài sản, nêu người quản lý và phương án xử lý khi hợp tác kết thúc.</w:t>
      </w:r>
    </w:p>
    <w:p>
      <w:pPr>
        <w:pStyle w:val="Heading2"/>
        <w:keepNext/>
        <w:spacing w:after="80" w:before="200"/>
      </w:pPr>
      <w:r>
        <w:rPr>
          <w:rFonts w:ascii="Times New Roman" w:cs="Times New Roman" w:eastAsia="Times New Roman" w:hAnsi="Times New Roman"/>
          <w:b/>
          <w:bCs/>
          <w:color w:val="1F3A5F"/>
          <w:sz w:val="24"/>
          <w:szCs w:val="24"/>
        </w:rPr>
        <w:t xml:space="preserve">Điều 5. Quyền và nghĩa vụ của Bên A</w:t>
      </w:r>
    </w:p>
    <w:p>
      <w:pPr>
        <w:spacing w:after="100" w:before="0" w:line="276"/>
        <w:jc w:val="both"/>
      </w:pPr>
      <w:r>
        <w:rPr>
          <w:rFonts w:ascii="Times New Roman" w:cs="Times New Roman" w:eastAsia="Times New Roman" w:hAnsi="Times New Roman"/>
          <w:sz w:val="22"/>
          <w:szCs w:val="22"/>
        </w:rPr>
        <w:t xml:space="preserve">5.1. Tổ chức triển khai dự án, quản lý hoạt động hằng ngày và sử dụng vốn đúng mục đích.</w:t>
      </w:r>
    </w:p>
    <w:p>
      <w:pPr>
        <w:spacing w:after="100" w:before="0" w:line="276"/>
        <w:jc w:val="both"/>
      </w:pPr>
      <w:r>
        <w:rPr>
          <w:rFonts w:ascii="Times New Roman" w:cs="Times New Roman" w:eastAsia="Times New Roman" w:hAnsi="Times New Roman"/>
          <w:sz w:val="22"/>
          <w:szCs w:val="22"/>
        </w:rPr>
        <w:t xml:space="preserve">5.2. Cung cấp thông tin trung thực về tiến độ, chi phí, rủi ro, kết quả dùng thử và các thay đổi trọng yếu.</w:t>
      </w:r>
    </w:p>
    <w:p>
      <w:pPr>
        <w:spacing w:after="100" w:before="0" w:line="276"/>
        <w:jc w:val="both"/>
      </w:pPr>
      <w:r>
        <w:rPr>
          <w:rFonts w:ascii="Times New Roman" w:cs="Times New Roman" w:eastAsia="Times New Roman" w:hAnsi="Times New Roman"/>
          <w:sz w:val="22"/>
          <w:szCs w:val="22"/>
        </w:rPr>
        <w:t xml:space="preserve">5.3. Lập báo cáo định kỳ: giai đoạn phát triển báo cáo hằng tuần và trình diễn sản phẩm cuối mỗi giai đoạn; khi vận hành báo cáo hằng tháng, trừ khi Các Bên thống nhất khác.</w:t>
      </w:r>
    </w:p>
    <w:p>
      <w:pPr>
        <w:spacing w:after="100" w:before="0" w:line="276"/>
        <w:jc w:val="both"/>
      </w:pPr>
      <w:r>
        <w:rPr>
          <w:rFonts w:ascii="Times New Roman" w:cs="Times New Roman" w:eastAsia="Times New Roman" w:hAnsi="Times New Roman"/>
          <w:sz w:val="22"/>
          <w:szCs w:val="22"/>
        </w:rPr>
        <w:t xml:space="preserve">5.4. Thông báo sớm khi có nguy cơ vượt ngân sách, chậm tiến độ, sự cố bảo mật nghiêm trọng, thay đổi nhân sự chủ chốt hoặc không thể tiếp tục dự án.</w:t>
      </w:r>
    </w:p>
    <w:p>
      <w:pPr>
        <w:spacing w:after="100" w:before="0" w:line="276"/>
        <w:jc w:val="both"/>
      </w:pPr>
      <w:r>
        <w:rPr>
          <w:rFonts w:ascii="Times New Roman" w:cs="Times New Roman" w:eastAsia="Times New Roman" w:hAnsi="Times New Roman"/>
          <w:sz w:val="22"/>
          <w:szCs w:val="22"/>
        </w:rPr>
        <w:t xml:space="preserve">5.5. Không tự ý dùng tiền dự án cho mục đích cá nhân hoặc chuyển nhượng nghĩa vụ theo hợp đồng nếu chưa có chấp thuận cần thiết.</w:t>
      </w:r>
    </w:p>
    <w:p>
      <w:pPr>
        <w:pStyle w:val="Heading2"/>
        <w:keepNext/>
        <w:spacing w:after="80" w:before="200"/>
      </w:pPr>
      <w:r>
        <w:rPr>
          <w:rFonts w:ascii="Times New Roman" w:cs="Times New Roman" w:eastAsia="Times New Roman" w:hAnsi="Times New Roman"/>
          <w:b/>
          <w:bCs/>
          <w:color w:val="1F3A5F"/>
          <w:sz w:val="24"/>
          <w:szCs w:val="24"/>
        </w:rPr>
        <w:t xml:space="preserve">Điều 6. Quyền và nghĩa vụ của Bên B</w:t>
      </w:r>
    </w:p>
    <w:p>
      <w:pPr>
        <w:spacing w:after="100" w:before="0" w:line="276"/>
        <w:jc w:val="both"/>
      </w:pPr>
      <w:r>
        <w:rPr>
          <w:rFonts w:ascii="Times New Roman" w:cs="Times New Roman" w:eastAsia="Times New Roman" w:hAnsi="Times New Roman"/>
          <w:sz w:val="22"/>
          <w:szCs w:val="22"/>
        </w:rPr>
        <w:t xml:space="preserve">6.1. Góp vốn đúng số tiền và tiến độ đã cam kết.</w:t>
      </w:r>
    </w:p>
    <w:p>
      <w:pPr>
        <w:spacing w:after="100" w:before="0" w:line="276"/>
        <w:jc w:val="both"/>
      </w:pPr>
      <w:r>
        <w:rPr>
          <w:rFonts w:ascii="Times New Roman" w:cs="Times New Roman" w:eastAsia="Times New Roman" w:hAnsi="Times New Roman"/>
          <w:sz w:val="22"/>
          <w:szCs w:val="22"/>
        </w:rPr>
        <w:t xml:space="preserve">6.2. Được nhận báo cáo và kiểm tra chứng từ trong phạm vi, thời gian và cách thức đã thỏa thuận, bảo đảm không cản trở hoạt động bình thường.</w:t>
      </w:r>
    </w:p>
    <w:p>
      <w:pPr>
        <w:spacing w:after="100" w:before="0" w:line="276"/>
        <w:jc w:val="both"/>
      </w:pPr>
      <w:r>
        <w:rPr>
          <w:rFonts w:ascii="Times New Roman" w:cs="Times New Roman" w:eastAsia="Times New Roman" w:hAnsi="Times New Roman"/>
          <w:sz w:val="22"/>
          <w:szCs w:val="22"/>
        </w:rPr>
        <w:t xml:space="preserve">6.3. Được hưởng quyền lợi theo phương án tại Điều 2 và phụ lục được ký hợp lệ.</w:t>
      </w:r>
    </w:p>
    <w:p>
      <w:pPr>
        <w:spacing w:after="100" w:before="0" w:line="276"/>
        <w:jc w:val="both"/>
      </w:pPr>
      <w:r>
        <w:rPr>
          <w:rFonts w:ascii="Times New Roman" w:cs="Times New Roman" w:eastAsia="Times New Roman" w:hAnsi="Times New Roman"/>
          <w:sz w:val="22"/>
          <w:szCs w:val="22"/>
        </w:rPr>
        <w:t xml:space="preserve">6.4. Giữ bí mật thông tin kinh doanh, mã nguồn và dữ liệu không công khai, trừ trường hợp phải cung cấp theo quy định pháp luật hoặc có sự đồng ý của Các Bên.</w:t>
      </w:r>
    </w:p>
    <w:p>
      <w:pPr>
        <w:spacing w:after="100" w:before="0" w:line="276"/>
        <w:jc w:val="both"/>
      </w:pPr>
      <w:r>
        <w:rPr>
          <w:rFonts w:ascii="Times New Roman" w:cs="Times New Roman" w:eastAsia="Times New Roman" w:hAnsi="Times New Roman"/>
          <w:sz w:val="22"/>
          <w:szCs w:val="22"/>
        </w:rPr>
        <w:t xml:space="preserve">6.5. Thông báo bằng văn bản khi thay đổi thông tin liên hệ hoặc tài khoản liên quan đến giao dịch.</w:t>
      </w:r>
    </w:p>
    <w:p>
      <w:pPr>
        <w:pStyle w:val="Heading2"/>
        <w:keepNext/>
        <w:spacing w:after="80" w:before="200"/>
      </w:pPr>
      <w:r>
        <w:rPr>
          <w:rFonts w:ascii="Times New Roman" w:cs="Times New Roman" w:eastAsia="Times New Roman" w:hAnsi="Times New Roman"/>
          <w:b/>
          <w:bCs/>
          <w:color w:val="1F3A5F"/>
          <w:sz w:val="24"/>
          <w:szCs w:val="24"/>
        </w:rPr>
        <w:t xml:space="preserve">Điều 7. Sở hữu trí tuệ, mã nguồn và dữ liệu</w:t>
      </w:r>
    </w:p>
    <w:p>
      <w:pPr>
        <w:spacing w:after="100" w:before="0" w:line="276"/>
        <w:jc w:val="both"/>
      </w:pPr>
      <w:r>
        <w:rPr>
          <w:rFonts w:ascii="Times New Roman" w:cs="Times New Roman" w:eastAsia="Times New Roman" w:hAnsi="Times New Roman"/>
          <w:sz w:val="22"/>
          <w:szCs w:val="22"/>
        </w:rPr>
        <w:t xml:space="preserve">7.1. Quyền sở hữu mã nguồn, thiết kế, thương hiệu, tên miền và tài khoản nhà phát triển của SmartBooking được xác định như sau: ……………………………………………… . Nếu không có thỏa thuận khác bằng văn bản, khoản góp vốn của Bên B không làm phát sinh quyền sở hữu mã nguồn.</w:t>
      </w:r>
    </w:p>
    <w:p>
      <w:pPr>
        <w:spacing w:after="100" w:before="0" w:line="276"/>
        <w:jc w:val="both"/>
      </w:pPr>
      <w:r>
        <w:rPr>
          <w:rFonts w:ascii="Times New Roman" w:cs="Times New Roman" w:eastAsia="Times New Roman" w:hAnsi="Times New Roman"/>
          <w:sz w:val="22"/>
          <w:szCs w:val="22"/>
        </w:rPr>
        <w:t xml:space="preserve">7.2. Bên A bảo đảm nhân sự và bên thuê ngoài tham gia phát triển đã ký thỏa thuận chuyển giao hoặc cho phép sử dụng quyền sở hữu trí tuệ phù hợp với hợp đồng này.</w:t>
      </w:r>
    </w:p>
    <w:p>
      <w:pPr>
        <w:spacing w:after="100" w:before="0" w:line="276"/>
        <w:jc w:val="both"/>
      </w:pPr>
      <w:r>
        <w:rPr>
          <w:rFonts w:ascii="Times New Roman" w:cs="Times New Roman" w:eastAsia="Times New Roman" w:hAnsi="Times New Roman"/>
          <w:sz w:val="22"/>
          <w:szCs w:val="22"/>
        </w:rPr>
        <w:t xml:space="preserve">7.3. Dữ liệu cá nhân của người dùng được xử lý theo quy định pháp luật về bảo vệ dữ liệu cá nhân và chính sách quyền riêng tư của dự án; Bên B không mặc định được truy cập dữ liệu cá nhân của người dùng.</w:t>
      </w:r>
    </w:p>
    <w:p>
      <w:pPr>
        <w:pStyle w:val="Heading2"/>
        <w:keepNext/>
        <w:spacing w:after="80" w:before="200"/>
      </w:pPr>
      <w:r>
        <w:rPr>
          <w:rFonts w:ascii="Times New Roman" w:cs="Times New Roman" w:eastAsia="Times New Roman" w:hAnsi="Times New Roman"/>
          <w:b/>
          <w:bCs/>
          <w:color w:val="1F3A5F"/>
          <w:sz w:val="24"/>
          <w:szCs w:val="24"/>
        </w:rPr>
        <w:t xml:space="preserve">Điều 8. Xác định kết quả kinh doanh và thanh toán</w:t>
      </w:r>
    </w:p>
    <w:p>
      <w:pPr>
        <w:spacing w:after="100" w:before="0" w:line="276"/>
        <w:jc w:val="both"/>
      </w:pPr>
      <w:r>
        <w:rPr>
          <w:rFonts w:ascii="Times New Roman" w:cs="Times New Roman" w:eastAsia="Times New Roman" w:hAnsi="Times New Roman"/>
          <w:sz w:val="22"/>
          <w:szCs w:val="22"/>
        </w:rPr>
        <w:t xml:space="preserve">8.1. Kỳ báo cáo/quyết toán: ……………………… (tháng/quý/năm hoặc mốc khác). Ngày chốt số liệu: ………… .</w:t>
      </w:r>
    </w:p>
    <w:p>
      <w:pPr>
        <w:spacing w:after="100" w:before="0" w:line="276"/>
        <w:jc w:val="both"/>
      </w:pPr>
      <w:r>
        <w:rPr>
          <w:rFonts w:ascii="Times New Roman" w:cs="Times New Roman" w:eastAsia="Times New Roman" w:hAnsi="Times New Roman"/>
          <w:sz w:val="22"/>
          <w:szCs w:val="22"/>
        </w:rPr>
        <w:t xml:space="preserve">8.2. Doanh thu và chi phí phải có căn cứ ghi nhận. Các khoản chi phí hợp lệ (bao gồm chi phí hạ tầng, bảo trì, nhân sự), nghĩa vụ thuế, công nợ và khoản dự phòng được xác định theo nguyên tắc: ………………………………………………………………… .</w:t>
      </w:r>
    </w:p>
    <w:p>
      <w:pPr>
        <w:spacing w:after="100" w:before="0" w:line="276"/>
        <w:jc w:val="both"/>
      </w:pPr>
      <w:r>
        <w:rPr>
          <w:rFonts w:ascii="Times New Roman" w:cs="Times New Roman" w:eastAsia="Times New Roman" w:hAnsi="Times New Roman"/>
          <w:sz w:val="22"/>
          <w:szCs w:val="22"/>
        </w:rPr>
        <w:t xml:space="preserve">8.3. Nếu có chia lợi nhuận, việc phân chia chỉ thực hiện sau khi đối soát số liệu, xác định nghĩa vụ phải trả và giữ lại số vốn lưu động cần thiết theo thỏa thuận. Thời hạn thanh toán: ………… ngày kể từ ngày phê duyệt báo cáo.</w:t>
      </w:r>
    </w:p>
    <w:p>
      <w:pPr>
        <w:spacing w:after="100" w:before="0" w:line="276"/>
        <w:jc w:val="both"/>
      </w:pPr>
      <w:r>
        <w:rPr>
          <w:rFonts w:ascii="Times New Roman" w:cs="Times New Roman" w:eastAsia="Times New Roman" w:hAnsi="Times New Roman"/>
          <w:sz w:val="22"/>
          <w:szCs w:val="22"/>
        </w:rPr>
        <w:t xml:space="preserve">8.4. Xử lý lỗ hoặc thiếu hụt tiền mặt: ………………………………………………………………… . Không mặc định Bên A hoặc Bên B phải góp thêm vốn nếu chưa có thỏa thuận bằng văn bản.</w:t>
      </w:r>
    </w:p>
    <w:p>
      <w:pPr>
        <w:pStyle w:val="Heading2"/>
        <w:keepNext/>
        <w:spacing w:after="80" w:before="200"/>
      </w:pPr>
      <w:r>
        <w:rPr>
          <w:rFonts w:ascii="Times New Roman" w:cs="Times New Roman" w:eastAsia="Times New Roman" w:hAnsi="Times New Roman"/>
          <w:b/>
          <w:bCs/>
          <w:color w:val="1F3A5F"/>
          <w:sz w:val="24"/>
          <w:szCs w:val="24"/>
        </w:rPr>
        <w:t xml:space="preserve">Điều 9. Thời hạn, tiến độ và thay đổi dự án</w:t>
      </w:r>
    </w:p>
    <w:p>
      <w:pPr>
        <w:spacing w:after="100" w:before="0" w:line="276"/>
        <w:jc w:val="both"/>
      </w:pPr>
      <w:r>
        <w:rPr>
          <w:rFonts w:ascii="Times New Roman" w:cs="Times New Roman" w:eastAsia="Times New Roman" w:hAnsi="Times New Roman"/>
          <w:sz w:val="22"/>
          <w:szCs w:val="22"/>
        </w:rPr>
        <w:t xml:space="preserve">9.1. Hợp đồng có hiệu lực từ ngày ký đến ngày ………… hoặc đến khi các nghĩa vụ được hoàn thành, trừ trường hợp chấm dứt sớm theo hợp đồng.</w:t>
      </w:r>
    </w:p>
    <w:p>
      <w:pPr>
        <w:spacing w:after="100" w:before="0" w:line="276"/>
        <w:jc w:val="both"/>
      </w:pPr>
      <w:r>
        <w:rPr>
          <w:rFonts w:ascii="Times New Roman" w:cs="Times New Roman" w:eastAsia="Times New Roman" w:hAnsi="Times New Roman"/>
          <w:sz w:val="22"/>
          <w:szCs w:val="22"/>
        </w:rPr>
        <w:t xml:space="preserve">9.2. Tiến độ dự kiến của dự án là 6 tháng: tháng 1–2 phân tích và thiết kế; tháng 3–4 phát triển chức năng chính; tháng 5–6 kiểm thử và triển khai. Tiến độ có thể điều chỉnh theo thực tế và phải thông báo cho Các Bên.</w:t>
      </w:r>
    </w:p>
    <w:p>
      <w:pPr>
        <w:spacing w:after="100" w:before="0" w:line="276"/>
        <w:jc w:val="both"/>
      </w:pPr>
      <w:r>
        <w:rPr>
          <w:rFonts w:ascii="Times New Roman" w:cs="Times New Roman" w:eastAsia="Times New Roman" w:hAnsi="Times New Roman"/>
          <w:sz w:val="22"/>
          <w:szCs w:val="22"/>
        </w:rPr>
        <w:t xml:space="preserve">9.3. Thay đổi trọng yếu về tổng vốn, phạm vi sản phẩm, đội ngũ chủ chốt hoặc mô hình kinh doanh cần được lập thành phụ lục có xác nhận của Các Bên.</w:t>
      </w:r>
    </w:p>
    <w:p>
      <w:pPr>
        <w:pStyle w:val="Heading2"/>
        <w:keepNext/>
        <w:spacing w:after="80" w:before="200"/>
      </w:pPr>
      <w:r>
        <w:rPr>
          <w:rFonts w:ascii="Times New Roman" w:cs="Times New Roman" w:eastAsia="Times New Roman" w:hAnsi="Times New Roman"/>
          <w:b/>
          <w:bCs/>
          <w:color w:val="1F3A5F"/>
          <w:sz w:val="24"/>
          <w:szCs w:val="24"/>
        </w:rPr>
        <w:t xml:space="preserve">Điều 10. Chấm dứt hợp tác và xử lý tài sản</w:t>
      </w:r>
    </w:p>
    <w:p>
      <w:pPr>
        <w:spacing w:after="100" w:before="0" w:line="276"/>
        <w:jc w:val="both"/>
      </w:pPr>
      <w:r>
        <w:rPr>
          <w:rFonts w:ascii="Times New Roman" w:cs="Times New Roman" w:eastAsia="Times New Roman" w:hAnsi="Times New Roman"/>
          <w:sz w:val="22"/>
          <w:szCs w:val="22"/>
        </w:rPr>
        <w:t xml:space="preserve">10.1. Hợp đồng chấm dứt khi hết hạn và hoàn thành nghĩa vụ; theo thỏa thuận bằng văn bản; hoặc khi có vi phạm trọng yếu không được khắc phục trong …… ngày kể từ khi nhận thông báo.</w:t>
      </w:r>
    </w:p>
    <w:p>
      <w:pPr>
        <w:spacing w:after="100" w:before="0" w:line="276"/>
        <w:jc w:val="both"/>
      </w:pPr>
      <w:r>
        <w:rPr>
          <w:rFonts w:ascii="Times New Roman" w:cs="Times New Roman" w:eastAsia="Times New Roman" w:hAnsi="Times New Roman"/>
          <w:sz w:val="22"/>
          <w:szCs w:val="22"/>
        </w:rPr>
        <w:t xml:space="preserve">10.2. Khi chấm dứt, Các Bên lập biên bản đối soát vốn đã góp, khoản đã chi, công nợ, tài sản còn lại, mã nguồn/dữ liệu và nghĩa vụ chưa hoàn thành. Tài sản, mã nguồn và tiền còn lại được xử lý theo phương án: ………………………………………………………………… .</w:t>
      </w:r>
    </w:p>
    <w:p>
      <w:pPr>
        <w:spacing w:after="100" w:before="0" w:line="276"/>
        <w:jc w:val="both"/>
      </w:pPr>
      <w:r>
        <w:rPr>
          <w:rFonts w:ascii="Times New Roman" w:cs="Times New Roman" w:eastAsia="Times New Roman" w:hAnsi="Times New Roman"/>
          <w:sz w:val="22"/>
          <w:szCs w:val="22"/>
        </w:rPr>
        <w:t xml:space="preserve">10.3. Việc hoàn trả vốn, nếu có, thực hiện theo phương án đã chọn tại Điều 2 và tình trạng tài chính thực tế, không được hiểu là bảo đảm hoàn vốn trong mọi trường hợp nếu điều khoản giao dịch không quy định như vậy.</w:t>
      </w:r>
    </w:p>
    <w:p>
      <w:pPr>
        <w:pStyle w:val="Heading2"/>
        <w:keepNext/>
        <w:spacing w:after="80" w:before="200"/>
      </w:pPr>
      <w:r>
        <w:rPr>
          <w:rFonts w:ascii="Times New Roman" w:cs="Times New Roman" w:eastAsia="Times New Roman" w:hAnsi="Times New Roman"/>
          <w:b/>
          <w:bCs/>
          <w:color w:val="1F3A5F"/>
          <w:sz w:val="24"/>
          <w:szCs w:val="24"/>
        </w:rPr>
        <w:t xml:space="preserve">Điều 11. Bảo mật và giải quyết tranh chấp</w:t>
      </w:r>
    </w:p>
    <w:p>
      <w:pPr>
        <w:spacing w:after="100" w:before="0" w:line="276"/>
        <w:jc w:val="both"/>
      </w:pPr>
      <w:r>
        <w:rPr>
          <w:rFonts w:ascii="Times New Roman" w:cs="Times New Roman" w:eastAsia="Times New Roman" w:hAnsi="Times New Roman"/>
          <w:sz w:val="22"/>
          <w:szCs w:val="22"/>
        </w:rPr>
        <w:t xml:space="preserve">11.1. Các Bên bảo mật thông tin kinh doanh, mã nguồn, số liệu tài chính và dữ liệu khách hàng không công khai, trừ trường hợp được đồng ý hoặc phải cung cấp theo quy định pháp luật.</w:t>
      </w:r>
    </w:p>
    <w:p>
      <w:pPr>
        <w:spacing w:after="100" w:before="0" w:line="276"/>
        <w:jc w:val="both"/>
      </w:pPr>
      <w:r>
        <w:rPr>
          <w:rFonts w:ascii="Times New Roman" w:cs="Times New Roman" w:eastAsia="Times New Roman" w:hAnsi="Times New Roman"/>
          <w:sz w:val="22"/>
          <w:szCs w:val="22"/>
        </w:rPr>
        <w:t xml:space="preserve">11.2. Tranh chấp trước hết được giải quyết bằng thương lượng trong …… ngày. Nếu không đạt thỏa thuận, Các Bên có quyền đưa tranh chấp đến cơ quan có thẩm quyền theo quy định pháp luật Việt Nam.</w:t>
      </w:r>
    </w:p>
    <w:p>
      <w:pPr>
        <w:pStyle w:val="Heading2"/>
        <w:keepNext/>
        <w:spacing w:after="80" w:before="200"/>
      </w:pPr>
      <w:r>
        <w:rPr>
          <w:rFonts w:ascii="Times New Roman" w:cs="Times New Roman" w:eastAsia="Times New Roman" w:hAnsi="Times New Roman"/>
          <w:b/>
          <w:bCs/>
          <w:color w:val="1F3A5F"/>
          <w:sz w:val="24"/>
          <w:szCs w:val="24"/>
        </w:rPr>
        <w:t xml:space="preserve">Điều 12. Điều khoản chung</w:t>
      </w:r>
    </w:p>
    <w:p>
      <w:pPr>
        <w:spacing w:after="100" w:before="0" w:line="276"/>
        <w:jc w:val="both"/>
      </w:pPr>
      <w:r>
        <w:rPr>
          <w:rFonts w:ascii="Times New Roman" w:cs="Times New Roman" w:eastAsia="Times New Roman" w:hAnsi="Times New Roman"/>
          <w:sz w:val="22"/>
          <w:szCs w:val="22"/>
        </w:rPr>
        <w:t xml:space="preserve">12.1. Hợp đồng và các phụ lục là toàn bộ thỏa thuận của Các Bên về nội dung ghi trong hợp đồng. Mọi sửa đổi phải được lập thành văn bản và có xác nhận hợp lệ của Các Bên.</w:t>
      </w:r>
    </w:p>
    <w:p>
      <w:pPr>
        <w:spacing w:after="100" w:before="0" w:line="276"/>
        <w:jc w:val="both"/>
      </w:pPr>
      <w:r>
        <w:rPr>
          <w:rFonts w:ascii="Times New Roman" w:cs="Times New Roman" w:eastAsia="Times New Roman" w:hAnsi="Times New Roman"/>
          <w:sz w:val="22"/>
          <w:szCs w:val="22"/>
        </w:rPr>
        <w:t xml:space="preserve">12.2. Hợp đồng được lập thành …… bản có giá trị như nhau, mỗi bên giữ …… bản. Các Bên xác nhận đã đọc, hiểu quyền và nghĩa vụ của mình và tự nguyện ký kết.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ĐẠI DIỆN BÊN A</w:t>
            </w:r>
          </w:p>
        </w:tc>
        <w:tc>
          <w:tcPr>
            <w:tcW w:type="dxa" w:w="504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ĐẠI DIỆN BÊN B</w:t>
            </w:r>
          </w:p>
        </w:tc>
      </w:tr>
      <w:tr>
        <w:trPr>
          <w:cantSplit/>
        </w:trPr>
        <w:tc>
          <w:tcPr>
            <w:tcW w:type="dxa" w:w="504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i/>
                <w:iCs/>
                <w:sz w:val="22"/>
                <w:szCs w:val="22"/>
              </w:rPr>
              <w:t xml:space="preserve">Ký, ghi rõ họ tên</w:t>
            </w:r>
          </w:p>
          <w:p>
            <w:pPr>
              <w:spacing w:after="900"/>
            </w:pPr>
          </w:p>
          <w:p>
            <w:pPr>
              <w:jc w:val="center"/>
            </w:pPr>
            <w:r>
              <w:rPr>
                <w:rFonts w:ascii="Times New Roman" w:cs="Times New Roman" w:eastAsia="Times New Roman" w:hAnsi="Times New Roman"/>
                <w:sz w:val="22"/>
                <w:szCs w:val="22"/>
              </w:rPr>
              <w:t xml:space="preserve">........................................</w:t>
            </w:r>
          </w:p>
        </w:tc>
        <w:tc>
          <w:tcPr>
            <w:tcW w:type="dxa" w:w="504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i/>
                <w:iCs/>
                <w:sz w:val="22"/>
                <w:szCs w:val="22"/>
              </w:rPr>
              <w:t xml:space="preserve">Ký, ghi rõ họ tên</w:t>
            </w:r>
          </w:p>
          <w:p>
            <w:pPr>
              <w:spacing w:after="900"/>
            </w:pPr>
          </w:p>
          <w:p>
            <w:pPr>
              <w:jc w:val="center"/>
            </w:pPr>
            <w:r>
              <w:rPr>
                <w:rFonts w:ascii="Times New Roman" w:cs="Times New Roman" w:eastAsia="Times New Roman" w:hAnsi="Times New Roman"/>
                <w:sz w:val="22"/>
                <w:szCs w:val="22"/>
              </w:rPr>
              <w:t xml:space="preserve">........................................</w:t>
            </w:r>
          </w:p>
        </w:tc>
      </w:tr>
    </w:tbl>
    <w:p>
      <w:pPr>
        <w:pStyle w:val="Heading1"/>
        <w:keepNext/>
        <w:spacing w:after="120" w:before="280"/>
      </w:pPr>
      <w:r>
        <w:rPr>
          <w:rFonts w:ascii="Times New Roman" w:cs="Times New Roman" w:eastAsia="Times New Roman" w:hAnsi="Times New Roman"/>
          <w:b/>
          <w:bCs/>
          <w:color w:val="1F3A5F"/>
          <w:sz w:val="28"/>
          <w:szCs w:val="28"/>
        </w:rPr>
        <w:t xml:space="preserve">PHỤ LỤC 1 – NGÂN SÁCH, MỐC NGHIỆM THU VÀ TIẾN ĐỘ GIẢI NGÂN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217"/>
        <w:gridCol w:w="2217"/>
        <w:gridCol w:w="2219"/>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Hạng mục</w:t>
            </w:r>
          </w:p>
        </w:tc>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Ngân sách dự kiến (VNĐ)</w:t>
            </w:r>
          </w:p>
        </w:tc>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tiền thực tế (VNĐ)</w:t>
            </w:r>
          </w:p>
        </w:tc>
        <w:tc>
          <w:tcPr>
            <w:tcW w:type="dxa" w:w="2219"/>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Chứng từ/ghi chú</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Nhân sự</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120.000.000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bị, công cụ và phần mềm</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20.000.000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Thiết kế, phát triển sản phẩm</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Marketing và quảng bá</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Vận hành và dịch vụ</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25.000.000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Dự phòng</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30.000.000</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c>
          <w:tcPr>
            <w:tcW w:type="dxa" w:w="22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22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250.000.000</w:t>
            </w:r>
          </w:p>
        </w:tc>
        <w:tc>
          <w:tcPr>
            <w:tcW w:type="dxa" w:w="22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2219"/>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217"/>
        <w:gridCol w:w="2822"/>
        <w:gridCol w:w="1614"/>
      </w:tblGrid>
      <w:tr>
        <w:trPr>
          <w:cantSplit/>
          <w:tblHeader/>
        </w:trPr>
        <w:tc>
          <w:tcPr>
            <w:tcW w:type="dxa" w:w="342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Giai đoạn/mốc</w:t>
            </w:r>
          </w:p>
        </w:tc>
        <w:tc>
          <w:tcPr>
            <w:tcW w:type="dxa" w:w="2217"/>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Nhu cầu chi dự kiến (VNĐ)</w:t>
            </w:r>
          </w:p>
        </w:tc>
        <w:tc>
          <w:tcPr>
            <w:tcW w:type="dxa" w:w="2822"/>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Điều kiện nghiệm thu</w:t>
            </w:r>
          </w:p>
        </w:tc>
        <w:tc>
          <w:tcPr>
            <w:tcW w:type="dxa" w:w="1614"/>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Ngày nghiệm thu thực tế</w:t>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Giai đoạn 1 – kết thúc tại M1 (Tháng 2)</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63.000.000</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thiết kế và mô hình dữ liệu được rà soát; bản mẫu được người dùng thử</w:t>
            </w:r>
          </w:p>
        </w:tc>
        <w:tc>
          <w:tcPr>
            <w:tcW w:type="dxa" w:w="1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Giai đoạn 2 – kết thúc tại M2 (Tháng 4)</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78.000.000</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Bản thử nghiệm chạy đủ luồng đặt lịch</w:t>
            </w:r>
          </w:p>
        </w:tc>
        <w:tc>
          <w:tcPr>
            <w:tcW w:type="dxa" w:w="1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Giai đoạn 3 – kết thúc tại M3/M4 (Tháng 5–6)</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79.000.000</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Dùng thử, kiểm thử bảo mật, phát hành phiên bản đầu tiên</w:t>
            </w:r>
          </w:p>
        </w:tc>
        <w:tc>
          <w:tcPr>
            <w:tcW w:type="dxa" w:w="1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Dự phòng (giải ngân khi được duyệt)</w:t>
            </w:r>
          </w:p>
        </w:tc>
        <w:tc>
          <w:tcPr>
            <w:tcW w:type="dxa" w:w="22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30.000.000</w:t>
            </w:r>
          </w:p>
        </w:tc>
        <w:tc>
          <w:tcPr>
            <w:tcW w:type="dxa" w:w="282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Có lý do và phê duyệt bằng văn bản</w:t>
            </w:r>
          </w:p>
        </w:tc>
        <w:tc>
          <w:tcPr>
            <w:tcW w:type="dxa" w:w="1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sz w:val="19"/>
                <w:szCs w:val="19"/>
              </w:rPr>
              <w:t xml:space="preserve"/>
            </w:r>
          </w:p>
        </w:tc>
      </w:tr>
      <w:tr>
        <w:trPr>
          <w:cantSplit/>
        </w:trPr>
        <w:tc>
          <w:tcPr>
            <w:tcW w:type="dxa" w:w="342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w:t>
            </w:r>
          </w:p>
        </w:tc>
        <w:tc>
          <w:tcPr>
            <w:tcW w:type="dxa" w:w="2217"/>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250.000.000</w:t>
            </w:r>
          </w:p>
        </w:tc>
        <w:tc>
          <w:tcPr>
            <w:tcW w:type="dxa" w:w="2822"/>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c>
          <w:tcPr>
            <w:tcW w:type="dxa" w:w="1614"/>
            <w:tcBorders>
              <w:top w:val="single" w:color="808080" w:sz="4"/>
              <w:left w:val="single" w:color="808080" w:sz="4"/>
              <w:bottom w:val="single" w:color="808080" w:sz="4"/>
              <w:right w:val="single" w:color="808080" w:sz="4"/>
            </w:tcBorders>
            <w:shd w:fill="EEF3F9"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
            </w:r>
          </w:p>
        </w:tc>
      </w:tr>
    </w:tbl>
    <w:p>
      <w:pPr>
        <w:spacing w:after="60"/>
      </w:pPr>
    </w:p>
    <w:p>
      <w:pPr>
        <w:pStyle w:val="Heading1"/>
        <w:keepNext/>
        <w:spacing w:after="120" w:before="280"/>
      </w:pPr>
      <w:r>
        <w:rPr>
          <w:rFonts w:ascii="Times New Roman" w:cs="Times New Roman" w:eastAsia="Times New Roman" w:hAnsi="Times New Roman"/>
          <w:b/>
          <w:bCs/>
          <w:color w:val="1F3A5F"/>
          <w:sz w:val="28"/>
          <w:szCs w:val="28"/>
        </w:rPr>
        <w:t xml:space="preserve">PHỤ LỤC 2 – THÔNG TIN CẦN ĐIỀN TRƯỚC KHI KÝ</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Thông tin pháp lý và địa chỉ liên hệ chính xác của các bên.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Hình thức giao dịch được lựa chọn và bản chất pháp lý của khoản góp.</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Số tiền Bên B góp, tiến độ chuyển tiền, ngưỡng khởi động và xác nhận nhận tiền.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Tỷ lệ/công thức chia kết quả hoặc điều kiện trả nợ/tài trợ, nếu có.</w:t>
      </w:r>
    </w:p>
    <w:p>
      <w:pPr>
        <w:pStyle w:val="ListParagraph"/>
        <w:numPr>
          <w:ilvl w:val="0"/>
          <w:numId w:val="2"/>
        </w:numPr>
        <w:spacing w:after="60" w:line="276"/>
        <w:jc w:val="both"/>
      </w:pPr>
      <w:r>
        <w:rPr>
          <w:rFonts w:ascii="Times New Roman" w:cs="Times New Roman" w:eastAsia="Times New Roman" w:hAnsi="Times New Roman"/>
          <w:sz w:val="22"/>
          <w:szCs w:val="22"/>
        </w:rPr>
        <w:t xml:space="preserve">Quyền sở hữu mã nguồn, thương hiệu, tên miền, tài khoản nhà phát triển và dữ liệu.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Nguyên tắc xử lý lỗ, tài sản, công nợ, hoàn trả tiền và chấm dứt hợp tác.</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Ngưỡng chi tiêu cần phê duyệt, kỳ báo cáo, mốc nghiệm thu và quyền kiểm tra chứng từ.</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Báo giá/căn cứ chi phí cho các khoản lớn và kế hoạch kỹ thuật được duyệt.</w:t>
      </w:r>
    </w:p>
    <w:p>
      <w:pPr>
        <w:pStyle w:val="Heading1"/>
        <w:keepNext/>
        <w:spacing w:after="120" w:before="280"/>
      </w:pPr>
      <w:r>
        <w:rPr>
          <w:rFonts w:ascii="Times New Roman" w:cs="Times New Roman" w:eastAsia="Times New Roman" w:hAnsi="Times New Roman"/>
          <w:b/>
          <w:bCs/>
          <w:color w:val="1F3A5F"/>
          <w:sz w:val="28"/>
          <w:szCs w:val="28"/>
        </w:rPr>
        <w:t xml:space="preserve">PHỤ LỤC 3 – BẢNG DỮ LIỆU MẪU CHO TRANG DỰ ÁN TRÊN WEB GỌI VỐN</w:t>
      </w:r>
    </w:p>
    <w:p>
      <w:pPr>
        <w:spacing w:after="100" w:before="0" w:line="276"/>
        <w:jc w:val="both"/>
      </w:pPr>
      <w:r>
        <w:rPr>
          <w:rFonts w:ascii="Times New Roman" w:cs="Times New Roman" w:eastAsia="Times New Roman" w:hAnsi="Times New Roman"/>
          <w:sz w:val="22"/>
          <w:szCs w:val="22"/>
        </w:rPr>
        <w:t xml:space="preserve">Bảng tóm tắt các trường thông tin có thể dùng trực tiếp làm dữ liệu mẫu (mock data) cho trang chi tiết dự án. Số liệu khớp với tài liệu gốc; các trường có đánh dấu (*) là giả định minh họa.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5"/>
      </w:tblGrid>
      <w:tr>
        <w:trPr>
          <w:cantSplit/>
          <w:tblHeader/>
        </w:trPr>
        <w:tc>
          <w:tcPr>
            <w:tcW w:type="dxa" w:w="322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Trường dữ liệu</w:t>
            </w:r>
          </w:p>
        </w:tc>
        <w:tc>
          <w:tcPr>
            <w:tcW w:type="dxa" w:w="6855"/>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Giá trị mẫu</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Mã dự án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B – SMARTBOOKING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Tên dự án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SmartBooking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Khẩu hiệu (*)</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Đặt lịch dễ dàng – quản lý gọn gàng cho mọi cơ sở dịch vụ</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Mô tả ngắn (*)</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Ứng dụng giúp cơ sở dịch vụ nhỏ quản lý lịch hẹn, nhân viên, khách hàng và giúp khách đặt lịch nhanh, được nhắc lịch tự động.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Lĩnh vực</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Công nghệ, phần mềm</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Thẻ phân loại (*)</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Ứng dụng di động; Đặt lịch; SaaS; Dịch vụ địa phương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Trạng thái</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Lên kế hoạch</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Tổng vốn dự kiến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250.000.000 VNĐ</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tự có</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50.000.000 VNĐ</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cần gọi (mục tiêu gọi vốn)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200.000.000 VNĐ</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Vốn đã huy động</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0 VNĐ (0%)</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Số nhà đầu tư đã xác nhận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0 (3 nhà đầu tư minh họa đang ở trạng thái “Chờ xác nhận”)</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dự án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6 tháng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bắt đầu đầu tư</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Kể từ khi đăng bài</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Thời gian gọi vốn</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2 tháng kể từ khi đăng bài (còn 60 ngày khi mới đăng)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góp tối thiểu (*)</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5.000.000 VNĐ</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Hình thức tham gia</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Có chia lợi nhuận; hỗ trợ không nhận lợi nhuận (theo thỏa thuận)</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Ngưỡng khởi động đề xuất (*)</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120.000.000 VNĐ (60% mục tiêu)</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Mức độ rủi ro sơ bộ</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Trung bình – cao</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Phân bổ vốn (triệu VNĐ)</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Nhân sự 120; Thiết bị/công cụ/phần mềm 20; Thiết kế/phát triển sản phẩm 30; Marketing 25; Vận hành và dịch vụ 25; Dự phòng 30</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Mốc tiến độ</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T1–2: Bản thiết kế và mô hình dữ liệu; T3–4: Bản thử nghiệm; T5–6: Phiên bản đầu tiên</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Doanh thu dự kiến / Chi phí / Chênh lệch</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360 triệu / 240 triệu / 120 triệu VNĐ (chưa phải lợi nhuận ròng)</w:t>
            </w:r>
          </w:p>
        </w:tc>
      </w:tr>
      <w:tr>
        <w:trPr>
          <w:cantSplit/>
        </w:trPr>
        <w:tc>
          <w:tcPr>
            <w:tcW w:type="dxa" w:w="32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bCs/>
                <w:sz w:val="19"/>
                <w:szCs w:val="19"/>
              </w:rPr>
              <w:t xml:space="preserve">Tài liệu minh chứng cần đính kèm</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jc w:val="left"/>
            </w:pPr>
            <w:r>
              <w:rPr>
                <w:rFonts w:ascii="Times New Roman" w:cs="Times New Roman" w:eastAsia="Times New Roman" w:hAnsi="Times New Roman"/>
                <w:b w:val="false"/>
                <w:bCs w:val="false"/>
                <w:sz w:val="19"/>
                <w:szCs w:val="19"/>
              </w:rPr>
              <w:t xml:space="preserve">Bản mẫu giao diện; kế hoạch kỹ thuật; bảng dự toán; kết quả khảo sát/phỏng vấn</w:t>
            </w:r>
          </w:p>
        </w:tc>
      </w:tr>
    </w:tbl>
    <w:p>
      <w:pPr>
        <w:spacing w:after="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SMARTBOOKING – Kế hoạch gọi vốn và dự thảo hợp đồng | 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A5F"/>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đầu tư và gọi vốn chi tiết – Dự án B SmartBooking</dc:title>
  <dc:creator>Nhóm 14</dc:creator>
  <cp:lastModifiedBy>Un-named</cp:lastModifiedBy>
  <cp:revision>1</cp:revision>
  <dcterms:created xsi:type="dcterms:W3CDTF">2026-10-21T11:07:26.601Z</dcterms:created>
  <dcterms:modified xsi:type="dcterms:W3CDTF">2026-10-21T11:07:26.612Z</dcterms:modified>
</cp:coreProperties>
</file>

<file path=docProps/custom.xml><?xml version="1.0" encoding="utf-8"?>
<Properties xmlns="http://schemas.openxmlformats.org/officeDocument/2006/custom-properties" xmlns:vt="http://schemas.openxmlformats.org/officeDocument/2006/docPropsVTypes"/>
</file>