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9709E" w14:textId="0C68C5E5" w:rsidR="004720E0" w:rsidRDefault="004720E0" w:rsidP="004720E0">
      <w:pPr>
        <w:jc w:val="center"/>
        <w:rPr>
          <w:b/>
          <w:bCs/>
          <w:sz w:val="28"/>
          <w:szCs w:val="28"/>
        </w:rPr>
      </w:pPr>
      <w:r w:rsidRPr="004720E0">
        <w:rPr>
          <w:b/>
          <w:bCs/>
          <w:sz w:val="28"/>
          <w:szCs w:val="28"/>
        </w:rPr>
        <w:t xml:space="preserve">ClinGen SVI Recommendations for Applying </w:t>
      </w:r>
      <w:r w:rsidRPr="004720E0">
        <w:rPr>
          <w:b/>
          <w:bCs/>
          <w:i/>
          <w:iCs/>
          <w:sz w:val="28"/>
          <w:szCs w:val="28"/>
        </w:rPr>
        <w:t>de novo</w:t>
      </w:r>
      <w:r w:rsidRPr="004720E0">
        <w:rPr>
          <w:b/>
          <w:bCs/>
          <w:sz w:val="28"/>
          <w:szCs w:val="28"/>
        </w:rPr>
        <w:t xml:space="preserve"> Evidence</w:t>
      </w:r>
    </w:p>
    <w:p w14:paraId="2A7C8BEE" w14:textId="00C89145" w:rsidR="004720E0" w:rsidRPr="004A3F1D" w:rsidRDefault="004720E0" w:rsidP="004720E0">
      <w:pPr>
        <w:rPr>
          <w:color w:val="2E74B5" w:themeColor="accent5" w:themeShade="BF"/>
          <w:sz w:val="24"/>
          <w:szCs w:val="24"/>
        </w:rPr>
      </w:pPr>
      <w:r w:rsidRPr="004A3F1D">
        <w:rPr>
          <w:color w:val="2E74B5" w:themeColor="accent5" w:themeShade="BF"/>
          <w:sz w:val="24"/>
          <w:szCs w:val="24"/>
        </w:rPr>
        <w:t xml:space="preserve">Use the phenotype consistency </w:t>
      </w:r>
      <w:r w:rsidR="005B3BBC" w:rsidRPr="004A3F1D">
        <w:rPr>
          <w:color w:val="2E74B5" w:themeColor="accent5" w:themeShade="BF"/>
          <w:sz w:val="24"/>
          <w:szCs w:val="24"/>
        </w:rPr>
        <w:t>“</w:t>
      </w:r>
      <w:r w:rsidR="005B3BBC" w:rsidRPr="004A3F1D">
        <w:rPr>
          <w:b/>
          <w:bCs/>
          <w:color w:val="2E74B5" w:themeColor="accent5" w:themeShade="BF"/>
          <w:sz w:val="24"/>
          <w:szCs w:val="24"/>
        </w:rPr>
        <w:t xml:space="preserve">Phenotype highly specific for </w:t>
      </w:r>
      <w:r w:rsidRPr="004A3F1D">
        <w:rPr>
          <w:b/>
          <w:bCs/>
          <w:color w:val="2E74B5" w:themeColor="accent5" w:themeShade="BF"/>
          <w:sz w:val="24"/>
          <w:szCs w:val="24"/>
        </w:rPr>
        <w:t>gene</w:t>
      </w:r>
      <w:r w:rsidR="005B3BBC" w:rsidRPr="004A3F1D">
        <w:rPr>
          <w:color w:val="2E74B5" w:themeColor="accent5" w:themeShade="BF"/>
          <w:sz w:val="24"/>
          <w:szCs w:val="24"/>
        </w:rPr>
        <w:t>”</w:t>
      </w:r>
      <w:r w:rsidRPr="004A3F1D">
        <w:rPr>
          <w:color w:val="2E74B5" w:themeColor="accent5" w:themeShade="BF"/>
          <w:sz w:val="24"/>
          <w:szCs w:val="24"/>
        </w:rPr>
        <w:t xml:space="preserve"> (</w:t>
      </w:r>
      <w:r w:rsidR="005B3BBC" w:rsidRPr="004A3F1D">
        <w:rPr>
          <w:color w:val="2E74B5" w:themeColor="accent5" w:themeShade="BF"/>
          <w:sz w:val="24"/>
          <w:szCs w:val="24"/>
        </w:rPr>
        <w:t>1st</w:t>
      </w:r>
      <w:r w:rsidRPr="004A3F1D">
        <w:rPr>
          <w:color w:val="2E74B5" w:themeColor="accent5" w:themeShade="BF"/>
          <w:sz w:val="24"/>
          <w:szCs w:val="24"/>
        </w:rPr>
        <w:t xml:space="preserve"> option) for</w:t>
      </w:r>
      <w:r w:rsidR="00AA77C3" w:rsidRPr="004A3F1D">
        <w:rPr>
          <w:color w:val="2E74B5" w:themeColor="accent5" w:themeShade="BF"/>
          <w:sz w:val="24"/>
          <w:szCs w:val="24"/>
        </w:rPr>
        <w:t xml:space="preserve"> Bernard-Soulier syndrome</w:t>
      </w:r>
      <w:r w:rsidR="004A3F1D" w:rsidRPr="004A3F1D">
        <w:rPr>
          <w:color w:val="2E74B5" w:themeColor="accent5" w:themeShade="BF"/>
          <w:sz w:val="24"/>
          <w:szCs w:val="24"/>
        </w:rPr>
        <w:t xml:space="preserve"> when all three genes (</w:t>
      </w:r>
      <w:r w:rsidR="004A3F1D" w:rsidRPr="004A3F1D">
        <w:rPr>
          <w:i/>
          <w:iCs/>
          <w:color w:val="2E74B5" w:themeColor="accent5" w:themeShade="BF"/>
          <w:sz w:val="24"/>
          <w:szCs w:val="24"/>
        </w:rPr>
        <w:t>GP1BA</w:t>
      </w:r>
      <w:r w:rsidR="004A3F1D" w:rsidRPr="004A3F1D">
        <w:rPr>
          <w:color w:val="2E74B5" w:themeColor="accent5" w:themeShade="BF"/>
          <w:sz w:val="24"/>
          <w:szCs w:val="24"/>
        </w:rPr>
        <w:t xml:space="preserve">, </w:t>
      </w:r>
      <w:r w:rsidR="004A3F1D" w:rsidRPr="004A3F1D">
        <w:rPr>
          <w:i/>
          <w:iCs/>
          <w:color w:val="2E74B5" w:themeColor="accent5" w:themeShade="BF"/>
          <w:sz w:val="24"/>
          <w:szCs w:val="24"/>
        </w:rPr>
        <w:t>GP1BB</w:t>
      </w:r>
      <w:r w:rsidR="004A3F1D" w:rsidRPr="004A3F1D">
        <w:rPr>
          <w:color w:val="2E74B5" w:themeColor="accent5" w:themeShade="BF"/>
          <w:sz w:val="24"/>
          <w:szCs w:val="24"/>
        </w:rPr>
        <w:t xml:space="preserve"> and </w:t>
      </w:r>
      <w:r w:rsidR="004A3F1D" w:rsidRPr="004A3F1D">
        <w:rPr>
          <w:i/>
          <w:iCs/>
          <w:color w:val="2E74B5" w:themeColor="accent5" w:themeShade="BF"/>
          <w:sz w:val="24"/>
          <w:szCs w:val="24"/>
        </w:rPr>
        <w:t>GP9</w:t>
      </w:r>
      <w:r w:rsidR="004A3F1D" w:rsidRPr="004A3F1D">
        <w:rPr>
          <w:color w:val="2E74B5" w:themeColor="accent5" w:themeShade="BF"/>
          <w:sz w:val="24"/>
          <w:szCs w:val="24"/>
        </w:rPr>
        <w:t>) associated with the condition have been sequenced</w:t>
      </w:r>
      <w:r w:rsidRPr="004A3F1D">
        <w:rPr>
          <w:color w:val="2E74B5" w:themeColor="accent5" w:themeShade="BF"/>
          <w:sz w:val="24"/>
          <w:szCs w:val="24"/>
        </w:rPr>
        <w:t>.</w:t>
      </w:r>
    </w:p>
    <w:p w14:paraId="2979C6FB" w14:textId="77777777" w:rsidR="004A3F1D" w:rsidRDefault="004A3F1D" w:rsidP="004720E0">
      <w:pPr>
        <w:rPr>
          <w:b/>
          <w:bCs/>
          <w:color w:val="2E74B5" w:themeColor="accent5" w:themeShade="BF"/>
          <w:sz w:val="24"/>
          <w:szCs w:val="24"/>
        </w:rPr>
      </w:pPr>
    </w:p>
    <w:p w14:paraId="3BDD4855" w14:textId="3C681A5F" w:rsidR="004A3F1D" w:rsidRPr="004A3F1D" w:rsidRDefault="004A3F1D" w:rsidP="004A3F1D">
      <w:pPr>
        <w:rPr>
          <w:color w:val="2E74B5" w:themeColor="accent5" w:themeShade="BF"/>
          <w:sz w:val="24"/>
          <w:szCs w:val="24"/>
        </w:rPr>
      </w:pPr>
      <w:r w:rsidRPr="004A3F1D">
        <w:rPr>
          <w:color w:val="2E74B5" w:themeColor="accent5" w:themeShade="BF"/>
          <w:sz w:val="24"/>
          <w:szCs w:val="24"/>
        </w:rPr>
        <w:t>Use the phenotype consistency “</w:t>
      </w:r>
      <w:r w:rsidRPr="004A3F1D">
        <w:rPr>
          <w:b/>
          <w:bCs/>
          <w:color w:val="2E74B5" w:themeColor="accent5" w:themeShade="BF"/>
          <w:sz w:val="24"/>
          <w:szCs w:val="24"/>
        </w:rPr>
        <w:t xml:space="preserve">Phenotype </w:t>
      </w:r>
      <w:r w:rsidRPr="004A3F1D">
        <w:rPr>
          <w:b/>
          <w:bCs/>
          <w:color w:val="2E74B5" w:themeColor="accent5" w:themeShade="BF"/>
          <w:sz w:val="24"/>
          <w:szCs w:val="24"/>
        </w:rPr>
        <w:t>consistent with</w:t>
      </w:r>
      <w:r w:rsidRPr="004A3F1D">
        <w:rPr>
          <w:b/>
          <w:bCs/>
          <w:color w:val="2E74B5" w:themeColor="accent5" w:themeShade="BF"/>
          <w:sz w:val="24"/>
          <w:szCs w:val="24"/>
        </w:rPr>
        <w:t xml:space="preserve"> gene</w:t>
      </w:r>
      <w:r w:rsidRPr="004A3F1D">
        <w:rPr>
          <w:b/>
          <w:bCs/>
          <w:color w:val="2E74B5" w:themeColor="accent5" w:themeShade="BF"/>
          <w:sz w:val="24"/>
          <w:szCs w:val="24"/>
        </w:rPr>
        <w:t xml:space="preserve"> but not highly </w:t>
      </w:r>
      <w:proofErr w:type="gramStart"/>
      <w:r w:rsidRPr="004A3F1D">
        <w:rPr>
          <w:b/>
          <w:bCs/>
          <w:color w:val="2E74B5" w:themeColor="accent5" w:themeShade="BF"/>
          <w:sz w:val="24"/>
          <w:szCs w:val="24"/>
        </w:rPr>
        <w:t>specific</w:t>
      </w:r>
      <w:r w:rsidRPr="004A3F1D">
        <w:rPr>
          <w:color w:val="2E74B5" w:themeColor="accent5" w:themeShade="BF"/>
          <w:sz w:val="24"/>
          <w:szCs w:val="24"/>
        </w:rPr>
        <w:t xml:space="preserve"> </w:t>
      </w:r>
      <w:r w:rsidRPr="004A3F1D">
        <w:rPr>
          <w:color w:val="2E74B5" w:themeColor="accent5" w:themeShade="BF"/>
          <w:sz w:val="24"/>
          <w:szCs w:val="24"/>
        </w:rPr>
        <w:t>”</w:t>
      </w:r>
      <w:proofErr w:type="gramEnd"/>
      <w:r w:rsidRPr="004A3F1D">
        <w:rPr>
          <w:color w:val="2E74B5" w:themeColor="accent5" w:themeShade="BF"/>
          <w:sz w:val="24"/>
          <w:szCs w:val="24"/>
        </w:rPr>
        <w:t xml:space="preserve"> (</w:t>
      </w:r>
      <w:r w:rsidRPr="004A3F1D">
        <w:rPr>
          <w:color w:val="2E74B5" w:themeColor="accent5" w:themeShade="BF"/>
          <w:sz w:val="24"/>
          <w:szCs w:val="24"/>
        </w:rPr>
        <w:t>2nd</w:t>
      </w:r>
      <w:r w:rsidRPr="004A3F1D">
        <w:rPr>
          <w:color w:val="2E74B5" w:themeColor="accent5" w:themeShade="BF"/>
          <w:sz w:val="24"/>
          <w:szCs w:val="24"/>
        </w:rPr>
        <w:t xml:space="preserve"> option) for Bernard-Soulier syndrome when </w:t>
      </w:r>
      <w:r w:rsidRPr="004A3F1D">
        <w:rPr>
          <w:color w:val="2E74B5" w:themeColor="accent5" w:themeShade="BF"/>
          <w:sz w:val="24"/>
          <w:szCs w:val="24"/>
        </w:rPr>
        <w:t>only 1 or 2 genes</w:t>
      </w:r>
      <w:r w:rsidRPr="004A3F1D">
        <w:rPr>
          <w:color w:val="2E74B5" w:themeColor="accent5" w:themeShade="BF"/>
          <w:sz w:val="24"/>
          <w:szCs w:val="24"/>
        </w:rPr>
        <w:t xml:space="preserve"> associated with the condition have been sequenced.</w:t>
      </w:r>
    </w:p>
    <w:p w14:paraId="08EE2263" w14:textId="77777777" w:rsidR="004A3F1D" w:rsidRPr="004720E0" w:rsidRDefault="004A3F1D" w:rsidP="004720E0">
      <w:pPr>
        <w:rPr>
          <w:b/>
          <w:bCs/>
          <w:color w:val="2E74B5" w:themeColor="accent5" w:themeShade="BF"/>
          <w:sz w:val="24"/>
          <w:szCs w:val="24"/>
        </w:rPr>
      </w:pPr>
    </w:p>
    <w:p w14:paraId="350A3747" w14:textId="3ED942DA" w:rsidR="004720E0" w:rsidRDefault="004720E0">
      <w:r>
        <w:rPr>
          <w:noProof/>
        </w:rPr>
        <w:drawing>
          <wp:inline distT="0" distB="0" distL="0" distR="0" wp14:anchorId="1D01F6FC" wp14:editId="522A6108">
            <wp:extent cx="5943600" cy="4124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2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E0"/>
    <w:rsid w:val="004720E0"/>
    <w:rsid w:val="004A3F1D"/>
    <w:rsid w:val="005B3BBC"/>
    <w:rsid w:val="00AA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0EE5"/>
  <w15:chartTrackingRefBased/>
  <w15:docId w15:val="{678C848F-55CD-48C3-AB69-ACBD6AC0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Kristy</dc:creator>
  <cp:keywords/>
  <dc:description/>
  <cp:lastModifiedBy>Lee, Kristy</cp:lastModifiedBy>
  <cp:revision>3</cp:revision>
  <dcterms:created xsi:type="dcterms:W3CDTF">2023-01-25T15:51:00Z</dcterms:created>
  <dcterms:modified xsi:type="dcterms:W3CDTF">2023-02-10T13:13:00Z</dcterms:modified>
</cp:coreProperties>
</file>