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43706" w14:textId="40D60957" w:rsidR="00672517" w:rsidRPr="00CE5E6D" w:rsidRDefault="00672517" w:rsidP="00672517">
      <w:pPr>
        <w:jc w:val="center"/>
        <w:rPr>
          <w:rStyle w:val="normaltextrun"/>
          <w:rFonts w:ascii="Calibri" w:hAnsi="Calibri" w:cs="Calibri"/>
          <w:b/>
          <w:bCs/>
          <w:color w:val="4F81BD"/>
          <w:sz w:val="28"/>
          <w:szCs w:val="28"/>
          <w:shd w:val="clear" w:color="auto" w:fill="FFFFFF"/>
        </w:rPr>
      </w:pPr>
      <w:r w:rsidRPr="00CE5E6D">
        <w:rPr>
          <w:rStyle w:val="normaltextrun"/>
          <w:rFonts w:ascii="Calibri" w:hAnsi="Calibri" w:cs="Calibri"/>
          <w:b/>
          <w:bCs/>
          <w:color w:val="000000"/>
          <w:sz w:val="40"/>
          <w:szCs w:val="40"/>
          <w:u w:val="single"/>
          <w:shd w:val="clear" w:color="auto" w:fill="FFFFFF"/>
        </w:rPr>
        <w:t>Rule Specifications for Type 2 VWD: Instructions for use</w:t>
      </w:r>
    </w:p>
    <w:p w14:paraId="093387C8" w14:textId="77777777" w:rsidR="00CE5E6D" w:rsidRDefault="00CE5E6D">
      <w:pPr>
        <w:rPr>
          <w:rStyle w:val="normaltextrun"/>
          <w:rFonts w:ascii="Calibri" w:hAnsi="Calibri" w:cs="Calibri"/>
          <w:shd w:val="clear" w:color="auto" w:fill="FFFFFF"/>
        </w:rPr>
      </w:pPr>
    </w:p>
    <w:p w14:paraId="5EA8F8FF" w14:textId="7C79AFCD" w:rsidR="00672517" w:rsidRDefault="00672517">
      <w:pPr>
        <w:rPr>
          <w:rStyle w:val="eop"/>
          <w:rFonts w:ascii="Calibri" w:hAnsi="Calibri" w:cs="Calibri"/>
          <w:sz w:val="24"/>
          <w:szCs w:val="24"/>
          <w:shd w:val="clear" w:color="auto" w:fill="FFFFFF"/>
        </w:rPr>
      </w:pPr>
      <w:r w:rsidRPr="00CE5E6D">
        <w:rPr>
          <w:rStyle w:val="normaltextrun"/>
          <w:rFonts w:ascii="Calibri" w:hAnsi="Calibri" w:cs="Calibri"/>
          <w:sz w:val="24"/>
          <w:szCs w:val="24"/>
          <w:shd w:val="clear" w:color="auto" w:fill="FFFFFF"/>
        </w:rPr>
        <w:t xml:space="preserve">The following rule specifications can be used for </w:t>
      </w:r>
      <w:r w:rsidRPr="00CE5E6D">
        <w:rPr>
          <w:rStyle w:val="normaltextrun"/>
          <w:rFonts w:ascii="Calibri" w:hAnsi="Calibri" w:cs="Calibri"/>
          <w:i/>
          <w:iCs/>
          <w:sz w:val="24"/>
          <w:szCs w:val="24"/>
          <w:shd w:val="clear" w:color="auto" w:fill="FFFFFF"/>
        </w:rPr>
        <w:t>VWF</w:t>
      </w:r>
      <w:r w:rsidRPr="00CE5E6D">
        <w:rPr>
          <w:rStyle w:val="normaltextrun"/>
          <w:rFonts w:ascii="Calibri" w:hAnsi="Calibri" w:cs="Calibri"/>
          <w:sz w:val="24"/>
          <w:szCs w:val="24"/>
          <w:shd w:val="clear" w:color="auto" w:fill="FFFFFF"/>
        </w:rPr>
        <w:t xml:space="preserve"> variants associated with a type 2 clinical diagnosis of VWD and/or for variants with no known association with disease.</w:t>
      </w:r>
      <w:r w:rsidR="00166FCE">
        <w:rPr>
          <w:rStyle w:val="normaltextrun"/>
          <w:rFonts w:ascii="Calibri" w:hAnsi="Calibri" w:cs="Calibri"/>
          <w:sz w:val="24"/>
          <w:szCs w:val="24"/>
          <w:shd w:val="clear" w:color="auto" w:fill="FFFFFF"/>
        </w:rPr>
        <w:t xml:space="preserve"> If the variant being curated has not been previously associated with VWD type 2 or if the proband with this variant does not clearly have a VWD type 2 phenotype, do not use this rule set.</w:t>
      </w:r>
      <w:r w:rsidRPr="00CE5E6D">
        <w:rPr>
          <w:rStyle w:val="normaltextrun"/>
          <w:rFonts w:ascii="Calibri" w:hAnsi="Calibri" w:cs="Calibri"/>
          <w:sz w:val="24"/>
          <w:szCs w:val="24"/>
          <w:shd w:val="clear" w:color="auto" w:fill="FFFFFF"/>
        </w:rPr>
        <w:t xml:space="preserve"> </w:t>
      </w:r>
      <w:r w:rsidR="00166FCE">
        <w:rPr>
          <w:rStyle w:val="normaltextrun"/>
          <w:rFonts w:ascii="Calibri" w:hAnsi="Calibri" w:cs="Calibri"/>
          <w:sz w:val="24"/>
          <w:szCs w:val="24"/>
          <w:shd w:val="clear" w:color="auto" w:fill="FFFFFF"/>
        </w:rPr>
        <w:t>Phenotyping for type 2 VWD is complex. If the variant has not been previously associated with a specific type 2 diagnosis (e.g., 2A, 2M, 2B or 2N) and the proband’s type 2 diagnosis is unclear, we recommend not using this rule set.</w:t>
      </w:r>
      <w:r w:rsidR="00F449EB">
        <w:rPr>
          <w:rStyle w:val="normaltextrun"/>
          <w:rFonts w:ascii="Calibri" w:hAnsi="Calibri" w:cs="Calibri"/>
          <w:sz w:val="24"/>
          <w:szCs w:val="24"/>
          <w:shd w:val="clear" w:color="auto" w:fill="FFFFFF"/>
        </w:rPr>
        <w:t xml:space="preserve"> </w:t>
      </w:r>
      <w:r w:rsidR="004B2697">
        <w:rPr>
          <w:rStyle w:val="normaltextrun"/>
          <w:rFonts w:ascii="Calibri" w:hAnsi="Calibri" w:cs="Calibri"/>
          <w:sz w:val="24"/>
          <w:szCs w:val="24"/>
        </w:rPr>
        <w:t>Due to the complexity of the VWD phenotype, w</w:t>
      </w:r>
      <w:r w:rsidR="004B2697" w:rsidRPr="004B2697">
        <w:rPr>
          <w:rStyle w:val="normaltextrun"/>
          <w:rFonts w:ascii="Calibri" w:hAnsi="Calibri" w:cs="Calibri"/>
          <w:sz w:val="24"/>
          <w:szCs w:val="24"/>
        </w:rPr>
        <w:t>e also recommend not using this rule set if there is uncertainty on how to apply the type 2 VWD guidelines.</w:t>
      </w:r>
      <w:r w:rsidR="004B2697" w:rsidRPr="004B2697">
        <w:rPr>
          <w:rStyle w:val="normaltextrun"/>
          <w:rFonts w:ascii="Calibri" w:hAnsi="Calibri" w:cs="Calibri"/>
          <w:sz w:val="24"/>
          <w:szCs w:val="24"/>
        </w:rPr>
        <w:t xml:space="preserve"> </w:t>
      </w:r>
      <w:r w:rsidR="00166FCE">
        <w:rPr>
          <w:rStyle w:val="normaltextrun"/>
          <w:rFonts w:ascii="Calibri" w:hAnsi="Calibri" w:cs="Calibri"/>
          <w:sz w:val="24"/>
          <w:szCs w:val="24"/>
          <w:shd w:val="clear" w:color="auto" w:fill="FFFFFF"/>
        </w:rPr>
        <w:t>A general VWD rule set agnostic of type</w:t>
      </w:r>
      <w:r w:rsidR="0040550B">
        <w:rPr>
          <w:rStyle w:val="normaltextrun"/>
          <w:rFonts w:ascii="Calibri" w:hAnsi="Calibri" w:cs="Calibri"/>
          <w:sz w:val="24"/>
          <w:szCs w:val="24"/>
          <w:shd w:val="clear" w:color="auto" w:fill="FFFFFF"/>
        </w:rPr>
        <w:t xml:space="preserve"> of VWD</w:t>
      </w:r>
      <w:r w:rsidR="00166FCE">
        <w:rPr>
          <w:rStyle w:val="normaltextrun"/>
          <w:rFonts w:ascii="Calibri" w:hAnsi="Calibri" w:cs="Calibri"/>
          <w:sz w:val="24"/>
          <w:szCs w:val="24"/>
          <w:shd w:val="clear" w:color="auto" w:fill="FFFFFF"/>
        </w:rPr>
        <w:t xml:space="preserve"> will be developed in the future. </w:t>
      </w:r>
      <w:r w:rsidRPr="00CE5E6D">
        <w:rPr>
          <w:rStyle w:val="normaltextrun"/>
          <w:rFonts w:ascii="Calibri" w:hAnsi="Calibri" w:cs="Calibri"/>
          <w:sz w:val="24"/>
          <w:szCs w:val="24"/>
          <w:shd w:val="clear" w:color="auto" w:fill="FFFFFF"/>
        </w:rPr>
        <w:t>Rule specifications specific to VWD types 1 and 3 are</w:t>
      </w:r>
      <w:r w:rsidR="00166FCE">
        <w:rPr>
          <w:rStyle w:val="normaltextrun"/>
          <w:rFonts w:ascii="Calibri" w:hAnsi="Calibri" w:cs="Calibri"/>
          <w:sz w:val="24"/>
          <w:szCs w:val="24"/>
          <w:shd w:val="clear" w:color="auto" w:fill="FFFFFF"/>
        </w:rPr>
        <w:t xml:space="preserve"> also</w:t>
      </w:r>
      <w:r w:rsidRPr="00CE5E6D">
        <w:rPr>
          <w:rStyle w:val="normaltextrun"/>
          <w:rFonts w:ascii="Calibri" w:hAnsi="Calibri" w:cs="Calibri"/>
          <w:sz w:val="24"/>
          <w:szCs w:val="24"/>
          <w:shd w:val="clear" w:color="auto" w:fill="FFFFFF"/>
        </w:rPr>
        <w:t xml:space="preserve"> currently under development. These rule specifications are</w:t>
      </w:r>
      <w:r w:rsidR="0040550B">
        <w:rPr>
          <w:rStyle w:val="normaltextrun"/>
          <w:rFonts w:ascii="Calibri" w:hAnsi="Calibri" w:cs="Calibri"/>
          <w:sz w:val="24"/>
          <w:szCs w:val="24"/>
          <w:shd w:val="clear" w:color="auto" w:fill="FFFFFF"/>
        </w:rPr>
        <w:t xml:space="preserve"> also</w:t>
      </w:r>
      <w:r w:rsidRPr="00CE5E6D">
        <w:rPr>
          <w:rStyle w:val="normaltextrun"/>
          <w:rFonts w:ascii="Calibri" w:hAnsi="Calibri" w:cs="Calibri"/>
          <w:sz w:val="24"/>
          <w:szCs w:val="24"/>
          <w:shd w:val="clear" w:color="auto" w:fill="FFFFFF"/>
        </w:rPr>
        <w:t xml:space="preserve"> not recommended for variants that have only been associated with a clinical diagnosis of Types 1 and/or 3 VWD</w:t>
      </w:r>
      <w:r w:rsidR="00634333" w:rsidRPr="00CE5E6D">
        <w:rPr>
          <w:rStyle w:val="normaltextrun"/>
          <w:rFonts w:ascii="Calibri" w:hAnsi="Calibri" w:cs="Calibri"/>
          <w:sz w:val="24"/>
          <w:szCs w:val="24"/>
          <w:shd w:val="clear" w:color="auto" w:fill="FFFFFF"/>
        </w:rPr>
        <w:t xml:space="preserve"> or no clinical diagnosis/proband</w:t>
      </w:r>
      <w:r w:rsidRPr="00CE5E6D">
        <w:rPr>
          <w:rStyle w:val="normaltextrun"/>
          <w:rFonts w:ascii="Calibri" w:hAnsi="Calibri" w:cs="Calibri"/>
          <w:sz w:val="24"/>
          <w:szCs w:val="24"/>
          <w:shd w:val="clear" w:color="auto" w:fill="FFFFFF"/>
        </w:rPr>
        <w:t>.</w:t>
      </w:r>
      <w:r w:rsidRPr="00CE5E6D">
        <w:rPr>
          <w:rStyle w:val="eop"/>
          <w:rFonts w:ascii="Calibri" w:hAnsi="Calibri" w:cs="Calibri"/>
          <w:sz w:val="24"/>
          <w:szCs w:val="24"/>
          <w:shd w:val="clear" w:color="auto" w:fill="FFFFFF"/>
        </w:rPr>
        <w:t> </w:t>
      </w:r>
    </w:p>
    <w:p w14:paraId="4BB90AD8" w14:textId="77777777" w:rsidR="00CE5E6D" w:rsidRPr="00CE5E6D" w:rsidRDefault="00CE5E6D">
      <w:pPr>
        <w:rPr>
          <w:rStyle w:val="eop"/>
          <w:rFonts w:ascii="Calibri" w:hAnsi="Calibri" w:cs="Calibri"/>
          <w:sz w:val="24"/>
          <w:szCs w:val="24"/>
          <w:shd w:val="clear" w:color="auto" w:fill="FFFFFF"/>
        </w:rPr>
      </w:pPr>
    </w:p>
    <w:p w14:paraId="155E2E33" w14:textId="6A35FE2F" w:rsidR="00672517" w:rsidRDefault="00672517">
      <w:pPr>
        <w:rPr>
          <w:rStyle w:val="eop"/>
          <w:rFonts w:ascii="Calibri" w:hAnsi="Calibri" w:cs="Calibri"/>
          <w:sz w:val="24"/>
          <w:szCs w:val="24"/>
          <w:shd w:val="clear" w:color="auto" w:fill="FFFFFF"/>
        </w:rPr>
      </w:pPr>
      <w:r w:rsidRPr="00CE5E6D">
        <w:rPr>
          <w:rStyle w:val="eop"/>
          <w:rFonts w:ascii="Calibri" w:hAnsi="Calibri" w:cs="Calibri"/>
          <w:sz w:val="24"/>
          <w:szCs w:val="24"/>
          <w:shd w:val="clear" w:color="auto" w:fill="FFFFFF"/>
        </w:rPr>
        <w:t xml:space="preserve">VWD type 2 can be further broken down into four specific diagnoses: VWD type 2A, 2B, 2M and 2N. Types 2A, 2B, and 2M are generally inherited in an autosomal dominant fashion, and therefore, have a separate rule set from VWD 2N, which is inherited in an autosomal recessive fashion. Additionally, the rule specifications have slight differences between types 2A, 2B and 2M. Therefore, it is advisable that the specific type of VWD that the variant has been associated with be established before further variant curation can </w:t>
      </w:r>
      <w:r w:rsidR="00433E47" w:rsidRPr="00CE5E6D">
        <w:rPr>
          <w:rStyle w:val="eop"/>
          <w:rFonts w:ascii="Calibri" w:hAnsi="Calibri" w:cs="Calibri"/>
          <w:sz w:val="24"/>
          <w:szCs w:val="24"/>
          <w:shd w:val="clear" w:color="auto" w:fill="FFFFFF"/>
        </w:rPr>
        <w:t>begin</w:t>
      </w:r>
      <w:r w:rsidR="00AB53A8" w:rsidRPr="00CE5E6D">
        <w:rPr>
          <w:rStyle w:val="eop"/>
          <w:rFonts w:ascii="Calibri" w:hAnsi="Calibri" w:cs="Calibri"/>
          <w:sz w:val="24"/>
          <w:szCs w:val="24"/>
          <w:shd w:val="clear" w:color="auto" w:fill="FFFFFF"/>
        </w:rPr>
        <w:t xml:space="preserve"> (see Figure 1)</w:t>
      </w:r>
      <w:r w:rsidRPr="00CE5E6D">
        <w:rPr>
          <w:rStyle w:val="eop"/>
          <w:rFonts w:ascii="Calibri" w:hAnsi="Calibri" w:cs="Calibri"/>
          <w:sz w:val="24"/>
          <w:szCs w:val="24"/>
          <w:shd w:val="clear" w:color="auto" w:fill="FFFFFF"/>
        </w:rPr>
        <w:t>.</w:t>
      </w:r>
      <w:r w:rsidR="001F797C" w:rsidRPr="00CE5E6D">
        <w:rPr>
          <w:rStyle w:val="eop"/>
          <w:rFonts w:ascii="Calibri" w:hAnsi="Calibri" w:cs="Calibri"/>
          <w:sz w:val="24"/>
          <w:szCs w:val="24"/>
          <w:shd w:val="clear" w:color="auto" w:fill="FFFFFF"/>
        </w:rPr>
        <w:t xml:space="preserve"> It is also important to note that there are </w:t>
      </w:r>
      <w:r w:rsidR="00FB4F3A" w:rsidRPr="00CE5E6D">
        <w:rPr>
          <w:rStyle w:val="eop"/>
          <w:rFonts w:ascii="Calibri" w:hAnsi="Calibri" w:cs="Calibri"/>
          <w:sz w:val="24"/>
          <w:szCs w:val="24"/>
          <w:shd w:val="clear" w:color="auto" w:fill="FFFFFF"/>
        </w:rPr>
        <w:t xml:space="preserve">some </w:t>
      </w:r>
      <w:r w:rsidR="001F797C" w:rsidRPr="00CE5E6D">
        <w:rPr>
          <w:rStyle w:val="eop"/>
          <w:rFonts w:ascii="Calibri" w:hAnsi="Calibri" w:cs="Calibri"/>
          <w:sz w:val="24"/>
          <w:szCs w:val="24"/>
          <w:shd w:val="clear" w:color="auto" w:fill="FFFFFF"/>
        </w:rPr>
        <w:t>variants that have been associated with more than one type of VWD.</w:t>
      </w:r>
      <w:r w:rsidR="00634333" w:rsidRPr="00CE5E6D">
        <w:rPr>
          <w:rStyle w:val="eop"/>
          <w:rFonts w:ascii="Calibri" w:hAnsi="Calibri" w:cs="Calibri"/>
          <w:sz w:val="24"/>
          <w:szCs w:val="24"/>
          <w:shd w:val="clear" w:color="auto" w:fill="FFFFFF"/>
        </w:rPr>
        <w:t xml:space="preserve"> For those variants, it may be warranted to curate </w:t>
      </w:r>
      <w:r w:rsidR="00AB53A8" w:rsidRPr="00CE5E6D">
        <w:rPr>
          <w:rStyle w:val="eop"/>
          <w:rFonts w:ascii="Calibri" w:hAnsi="Calibri" w:cs="Calibri"/>
          <w:sz w:val="24"/>
          <w:szCs w:val="24"/>
          <w:shd w:val="clear" w:color="auto" w:fill="FFFFFF"/>
        </w:rPr>
        <w:t xml:space="preserve">for more than one type of VWD, </w:t>
      </w:r>
      <w:r w:rsidR="00634333" w:rsidRPr="00CE5E6D">
        <w:rPr>
          <w:rStyle w:val="eop"/>
          <w:rFonts w:ascii="Calibri" w:hAnsi="Calibri" w:cs="Calibri"/>
          <w:sz w:val="24"/>
          <w:szCs w:val="24"/>
          <w:shd w:val="clear" w:color="auto" w:fill="FFFFFF"/>
        </w:rPr>
        <w:t xml:space="preserve">separating the probands that </w:t>
      </w:r>
      <w:r w:rsidR="00D438F7" w:rsidRPr="00CE5E6D">
        <w:rPr>
          <w:rStyle w:val="eop"/>
          <w:rFonts w:ascii="Calibri" w:hAnsi="Calibri" w:cs="Calibri"/>
          <w:sz w:val="24"/>
          <w:szCs w:val="24"/>
          <w:shd w:val="clear" w:color="auto" w:fill="FFFFFF"/>
        </w:rPr>
        <w:t xml:space="preserve">fall </w:t>
      </w:r>
      <w:r w:rsidR="00634333" w:rsidRPr="00CE5E6D">
        <w:rPr>
          <w:rStyle w:val="eop"/>
          <w:rFonts w:ascii="Calibri" w:hAnsi="Calibri" w:cs="Calibri"/>
          <w:sz w:val="24"/>
          <w:szCs w:val="24"/>
          <w:shd w:val="clear" w:color="auto" w:fill="FFFFFF"/>
        </w:rPr>
        <w:t xml:space="preserve">under </w:t>
      </w:r>
      <w:r w:rsidR="00D438F7" w:rsidRPr="00CE5E6D">
        <w:rPr>
          <w:rStyle w:val="eop"/>
          <w:rFonts w:ascii="Calibri" w:hAnsi="Calibri" w:cs="Calibri"/>
          <w:sz w:val="24"/>
          <w:szCs w:val="24"/>
          <w:shd w:val="clear" w:color="auto" w:fill="FFFFFF"/>
        </w:rPr>
        <w:t>each</w:t>
      </w:r>
      <w:r w:rsidR="00634333" w:rsidRPr="00CE5E6D">
        <w:rPr>
          <w:rStyle w:val="eop"/>
          <w:rFonts w:ascii="Calibri" w:hAnsi="Calibri" w:cs="Calibri"/>
          <w:sz w:val="24"/>
          <w:szCs w:val="24"/>
          <w:shd w:val="clear" w:color="auto" w:fill="FFFFFF"/>
        </w:rPr>
        <w:t xml:space="preserve"> typ</w:t>
      </w:r>
      <w:r w:rsidR="00D438F7" w:rsidRPr="00CE5E6D">
        <w:rPr>
          <w:rStyle w:val="eop"/>
          <w:rFonts w:ascii="Calibri" w:hAnsi="Calibri" w:cs="Calibri"/>
          <w:sz w:val="24"/>
          <w:szCs w:val="24"/>
          <w:shd w:val="clear" w:color="auto" w:fill="FFFFFF"/>
        </w:rPr>
        <w:t>e and only applying them under a single phenotype</w:t>
      </w:r>
      <w:r w:rsidR="00634333" w:rsidRPr="00CE5E6D">
        <w:rPr>
          <w:rStyle w:val="eop"/>
          <w:rFonts w:ascii="Calibri" w:hAnsi="Calibri" w:cs="Calibri"/>
          <w:sz w:val="24"/>
          <w:szCs w:val="24"/>
          <w:shd w:val="clear" w:color="auto" w:fill="FFFFFF"/>
        </w:rPr>
        <w:t>.</w:t>
      </w:r>
      <w:r w:rsidRPr="00CE5E6D">
        <w:rPr>
          <w:rStyle w:val="eop"/>
          <w:rFonts w:ascii="Calibri" w:hAnsi="Calibri" w:cs="Calibri"/>
          <w:sz w:val="24"/>
          <w:szCs w:val="24"/>
          <w:shd w:val="clear" w:color="auto" w:fill="FFFFFF"/>
        </w:rPr>
        <w:t xml:space="preserve"> </w:t>
      </w:r>
      <w:r w:rsidR="00AB53A8" w:rsidRPr="00CE5E6D">
        <w:rPr>
          <w:rStyle w:val="eop"/>
          <w:rFonts w:ascii="Calibri" w:hAnsi="Calibri" w:cs="Calibri"/>
          <w:sz w:val="24"/>
          <w:szCs w:val="24"/>
          <w:shd w:val="clear" w:color="auto" w:fill="FFFFFF"/>
        </w:rPr>
        <w:t xml:space="preserve">For instance, if a </w:t>
      </w:r>
      <w:r w:rsidR="00AB53A8" w:rsidRPr="00433E47">
        <w:rPr>
          <w:rStyle w:val="eop"/>
          <w:rFonts w:ascii="Calibri" w:hAnsi="Calibri" w:cs="Calibri"/>
          <w:i/>
          <w:iCs/>
          <w:sz w:val="24"/>
          <w:szCs w:val="24"/>
          <w:shd w:val="clear" w:color="auto" w:fill="FFFFFF"/>
        </w:rPr>
        <w:t>VWF</w:t>
      </w:r>
      <w:r w:rsidR="00AB53A8" w:rsidRPr="00CE5E6D">
        <w:rPr>
          <w:rStyle w:val="eop"/>
          <w:rFonts w:ascii="Calibri" w:hAnsi="Calibri" w:cs="Calibri"/>
          <w:sz w:val="24"/>
          <w:szCs w:val="24"/>
          <w:shd w:val="clear" w:color="auto" w:fill="FFFFFF"/>
        </w:rPr>
        <w:t xml:space="preserve"> variant has been associated with type 2A and type 2M phenotypes, you would curate the variant twice, once for the 2A phenotype using that proband(s) and once for the 2M phenotype using that proband(s). </w:t>
      </w:r>
      <w:r w:rsidRPr="00CE5E6D">
        <w:rPr>
          <w:rStyle w:val="eop"/>
          <w:rFonts w:ascii="Calibri" w:hAnsi="Calibri" w:cs="Calibri"/>
          <w:sz w:val="24"/>
          <w:szCs w:val="24"/>
          <w:shd w:val="clear" w:color="auto" w:fill="FFFFFF"/>
        </w:rPr>
        <w:t>If the variant has not been associated with a specific type of VWD and there is no proband with sufficient</w:t>
      </w:r>
      <w:r w:rsidR="001B5F7F" w:rsidRPr="00CE5E6D">
        <w:rPr>
          <w:rStyle w:val="eop"/>
          <w:rFonts w:ascii="Calibri" w:hAnsi="Calibri" w:cs="Calibri"/>
          <w:sz w:val="24"/>
          <w:szCs w:val="24"/>
          <w:shd w:val="clear" w:color="auto" w:fill="FFFFFF"/>
        </w:rPr>
        <w:t xml:space="preserve"> laboratory results available for use in the PP4 rule code, we would recommend that these rule specifications not be used. These r</w:t>
      </w:r>
      <w:r w:rsidR="001F797C" w:rsidRPr="00CE5E6D">
        <w:rPr>
          <w:rStyle w:val="eop"/>
          <w:rFonts w:ascii="Calibri" w:hAnsi="Calibri" w:cs="Calibri"/>
          <w:sz w:val="24"/>
          <w:szCs w:val="24"/>
          <w:shd w:val="clear" w:color="auto" w:fill="FFFFFF"/>
        </w:rPr>
        <w:t xml:space="preserve">ule </w:t>
      </w:r>
      <w:r w:rsidR="001B5F7F" w:rsidRPr="00CE5E6D">
        <w:rPr>
          <w:rStyle w:val="eop"/>
          <w:rFonts w:ascii="Calibri" w:hAnsi="Calibri" w:cs="Calibri"/>
          <w:sz w:val="24"/>
          <w:szCs w:val="24"/>
          <w:shd w:val="clear" w:color="auto" w:fill="FFFFFF"/>
        </w:rPr>
        <w:t>specifications are specifically for variants that have been associated or are suspected to be associated with VWD type 2 disease. We plan to develop a more general rule specification set in the future.</w:t>
      </w:r>
    </w:p>
    <w:p w14:paraId="367B4624" w14:textId="77777777" w:rsidR="00CE5E6D" w:rsidRPr="00CE5E6D" w:rsidRDefault="00CE5E6D">
      <w:pPr>
        <w:rPr>
          <w:rStyle w:val="eop"/>
          <w:rFonts w:ascii="Calibri" w:hAnsi="Calibri" w:cs="Calibri"/>
          <w:sz w:val="24"/>
          <w:szCs w:val="24"/>
          <w:shd w:val="clear" w:color="auto" w:fill="FFFFFF"/>
        </w:rPr>
      </w:pPr>
    </w:p>
    <w:p w14:paraId="2C91A389" w14:textId="323EA3DA" w:rsidR="00FB4F3A" w:rsidRDefault="00FB4F3A">
      <w:pPr>
        <w:rPr>
          <w:rStyle w:val="eop"/>
          <w:rFonts w:ascii="Calibri" w:hAnsi="Calibri" w:cs="Calibri"/>
          <w:sz w:val="24"/>
          <w:szCs w:val="24"/>
          <w:shd w:val="clear" w:color="auto" w:fill="FFFFFF"/>
        </w:rPr>
      </w:pPr>
      <w:r w:rsidRPr="00CE5E6D">
        <w:rPr>
          <w:rStyle w:val="eop"/>
          <w:rFonts w:ascii="Calibri" w:hAnsi="Calibri" w:cs="Calibri"/>
          <w:sz w:val="24"/>
          <w:szCs w:val="24"/>
          <w:shd w:val="clear" w:color="auto" w:fill="FFFFFF"/>
        </w:rPr>
        <w:t>Use the flow chart below to decide which set of rules to use for a particular variant. Additional laboratory results</w:t>
      </w:r>
      <w:r w:rsidR="00634333" w:rsidRPr="00CE5E6D">
        <w:rPr>
          <w:rStyle w:val="eop"/>
          <w:rFonts w:ascii="Calibri" w:hAnsi="Calibri" w:cs="Calibri"/>
          <w:sz w:val="24"/>
          <w:szCs w:val="24"/>
          <w:shd w:val="clear" w:color="auto" w:fill="FFFFFF"/>
        </w:rPr>
        <w:t xml:space="preserve"> not referred to below</w:t>
      </w:r>
      <w:r w:rsidRPr="00CE5E6D">
        <w:rPr>
          <w:rStyle w:val="eop"/>
          <w:rFonts w:ascii="Calibri" w:hAnsi="Calibri" w:cs="Calibri"/>
          <w:sz w:val="24"/>
          <w:szCs w:val="24"/>
          <w:shd w:val="clear" w:color="auto" w:fill="FFFFFF"/>
        </w:rPr>
        <w:t xml:space="preserve"> could supp</w:t>
      </w:r>
      <w:r w:rsidR="00634333" w:rsidRPr="00CE5E6D">
        <w:rPr>
          <w:rStyle w:val="eop"/>
          <w:rFonts w:ascii="Calibri" w:hAnsi="Calibri" w:cs="Calibri"/>
          <w:sz w:val="24"/>
          <w:szCs w:val="24"/>
          <w:shd w:val="clear" w:color="auto" w:fill="FFFFFF"/>
        </w:rPr>
        <w:t>ort a diagnosis of the condition. The purpose of this flow chart is to simply guide which rule set might be most appropriate</w:t>
      </w:r>
      <w:r w:rsidR="00D438F7" w:rsidRPr="00CE5E6D">
        <w:rPr>
          <w:rStyle w:val="eop"/>
          <w:rFonts w:ascii="Calibri" w:hAnsi="Calibri" w:cs="Calibri"/>
          <w:sz w:val="24"/>
          <w:szCs w:val="24"/>
          <w:shd w:val="clear" w:color="auto" w:fill="FFFFFF"/>
        </w:rPr>
        <w:t xml:space="preserve"> before starting a detailed variant curation</w:t>
      </w:r>
      <w:r w:rsidR="00634333" w:rsidRPr="00CE5E6D">
        <w:rPr>
          <w:rStyle w:val="eop"/>
          <w:rFonts w:ascii="Calibri" w:hAnsi="Calibri" w:cs="Calibri"/>
          <w:sz w:val="24"/>
          <w:szCs w:val="24"/>
          <w:shd w:val="clear" w:color="auto" w:fill="FFFFFF"/>
        </w:rPr>
        <w:t>.</w:t>
      </w:r>
    </w:p>
    <w:p w14:paraId="2820B4B1" w14:textId="09C0C39E" w:rsidR="00CE5E6D" w:rsidRDefault="00CE5E6D">
      <w:pPr>
        <w:rPr>
          <w:rStyle w:val="eop"/>
          <w:rFonts w:ascii="Calibri" w:hAnsi="Calibri" w:cs="Calibri"/>
          <w:sz w:val="24"/>
          <w:szCs w:val="24"/>
          <w:shd w:val="clear" w:color="auto" w:fill="FFFFFF"/>
        </w:rPr>
      </w:pPr>
    </w:p>
    <w:p w14:paraId="431D4BA8" w14:textId="55EC3BE7" w:rsidR="00CE5E6D" w:rsidRDefault="00CE5E6D">
      <w:pPr>
        <w:rPr>
          <w:rStyle w:val="eop"/>
          <w:rFonts w:ascii="Calibri" w:hAnsi="Calibri" w:cs="Calibri"/>
          <w:sz w:val="24"/>
          <w:szCs w:val="24"/>
          <w:shd w:val="clear" w:color="auto" w:fill="FFFFFF"/>
        </w:rPr>
      </w:pPr>
    </w:p>
    <w:p w14:paraId="62C2FEE2" w14:textId="6DB90881" w:rsidR="00CE5E6D" w:rsidRDefault="00CE5E6D">
      <w:pPr>
        <w:rPr>
          <w:rStyle w:val="eop"/>
          <w:rFonts w:ascii="Calibri" w:hAnsi="Calibri" w:cs="Calibri"/>
          <w:sz w:val="24"/>
          <w:szCs w:val="24"/>
          <w:shd w:val="clear" w:color="auto" w:fill="FFFFFF"/>
        </w:rPr>
      </w:pPr>
    </w:p>
    <w:p w14:paraId="6E8825FC" w14:textId="77777777" w:rsidR="00CE5E6D" w:rsidRPr="00CE5E6D" w:rsidRDefault="00CE5E6D">
      <w:pPr>
        <w:rPr>
          <w:rStyle w:val="eop"/>
          <w:rFonts w:ascii="Calibri" w:hAnsi="Calibri" w:cs="Calibri"/>
          <w:sz w:val="24"/>
          <w:szCs w:val="24"/>
          <w:shd w:val="clear" w:color="auto" w:fill="FFFFFF"/>
        </w:rPr>
      </w:pPr>
    </w:p>
    <w:p w14:paraId="620CCA71" w14:textId="5C7B1107" w:rsidR="00FB4F3A" w:rsidRPr="00CE5E6D" w:rsidRDefault="00634333">
      <w:pPr>
        <w:rPr>
          <w:rStyle w:val="eop"/>
          <w:rFonts w:ascii="Calibri" w:hAnsi="Calibri" w:cs="Calibri"/>
          <w:b/>
          <w:bCs/>
          <w:sz w:val="24"/>
          <w:szCs w:val="24"/>
          <w:shd w:val="clear" w:color="auto" w:fill="FFFFFF"/>
        </w:rPr>
      </w:pPr>
      <w:r w:rsidRPr="00CE5E6D">
        <w:rPr>
          <w:rStyle w:val="eop"/>
          <w:rFonts w:ascii="Calibri" w:hAnsi="Calibri" w:cs="Calibri"/>
          <w:b/>
          <w:bCs/>
          <w:sz w:val="24"/>
          <w:szCs w:val="24"/>
          <w:u w:val="single"/>
          <w:shd w:val="clear" w:color="auto" w:fill="FFFFFF"/>
        </w:rPr>
        <w:t>Figure 1</w:t>
      </w:r>
      <w:r w:rsidRPr="00CE5E6D">
        <w:rPr>
          <w:rStyle w:val="eop"/>
          <w:rFonts w:ascii="Calibri" w:hAnsi="Calibri" w:cs="Calibri"/>
          <w:b/>
          <w:bCs/>
          <w:sz w:val="24"/>
          <w:szCs w:val="24"/>
          <w:shd w:val="clear" w:color="auto" w:fill="FFFFFF"/>
        </w:rPr>
        <w:t xml:space="preserve"> – Flow chart to guide choice of rule specifications for VWD Type 2 variant curation</w:t>
      </w:r>
    </w:p>
    <w:p w14:paraId="03F9FD36" w14:textId="259147E9" w:rsidR="00FB4F3A" w:rsidRDefault="005A5C78">
      <w:r>
        <w:rPr>
          <w:noProof/>
        </w:rPr>
        <w:drawing>
          <wp:inline distT="0" distB="0" distL="0" distR="0" wp14:anchorId="4F9D9757" wp14:editId="47C32C8F">
            <wp:extent cx="5934075" cy="3581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14:paraId="28ACCEED" w14:textId="2ECB7AB8" w:rsidR="00634333" w:rsidRPr="00672517" w:rsidRDefault="00D438F7">
      <w:r>
        <w:t xml:space="preserve">VWF: von Willebrand factor; </w:t>
      </w:r>
      <w:r w:rsidR="00634333">
        <w:t xml:space="preserve">Act: activity; Ag: antigen; HMW: high molecular weight; RIPA: </w:t>
      </w:r>
      <w:r>
        <w:t>ristocetin-induced platelet aggregation</w:t>
      </w:r>
      <w:r w:rsidR="00634333">
        <w:t xml:space="preserve">; </w:t>
      </w:r>
      <w:r>
        <w:t xml:space="preserve">FVIII:C: factor VIII clotting assay; </w:t>
      </w:r>
      <w:r w:rsidR="00634333">
        <w:t>VWF:FVIIIB: VWF binding to factor VIII protein</w:t>
      </w:r>
      <w:r>
        <w:t xml:space="preserve"> assay</w:t>
      </w:r>
    </w:p>
    <w:sectPr w:rsidR="00634333" w:rsidRPr="00672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17"/>
    <w:rsid w:val="00166FCE"/>
    <w:rsid w:val="001B5F7F"/>
    <w:rsid w:val="001F797C"/>
    <w:rsid w:val="0040550B"/>
    <w:rsid w:val="00433E47"/>
    <w:rsid w:val="004B2697"/>
    <w:rsid w:val="005A5C78"/>
    <w:rsid w:val="00634333"/>
    <w:rsid w:val="00672517"/>
    <w:rsid w:val="00AB53A8"/>
    <w:rsid w:val="00AC1E33"/>
    <w:rsid w:val="00CE5E6D"/>
    <w:rsid w:val="00D438F7"/>
    <w:rsid w:val="00F449EB"/>
    <w:rsid w:val="00FB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A834"/>
  <w15:chartTrackingRefBased/>
  <w15:docId w15:val="{3C310744-FCC0-4BE6-BC22-8B5A2374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672517"/>
  </w:style>
  <w:style w:type="character" w:customStyle="1" w:styleId="eop">
    <w:name w:val="eop"/>
    <w:basedOn w:val="DefaultParagraphFont"/>
    <w:rsid w:val="00672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Kristy</dc:creator>
  <cp:keywords/>
  <dc:description/>
  <cp:lastModifiedBy>Lee, Kristy</cp:lastModifiedBy>
  <cp:revision>3</cp:revision>
  <dcterms:created xsi:type="dcterms:W3CDTF">2024-02-06T14:01:00Z</dcterms:created>
  <dcterms:modified xsi:type="dcterms:W3CDTF">2024-02-06T21:17:00Z</dcterms:modified>
</cp:coreProperties>
</file>