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709E" w14:textId="0C68C5E5" w:rsidR="004720E0" w:rsidRDefault="004720E0" w:rsidP="004720E0">
      <w:pPr>
        <w:jc w:val="center"/>
        <w:rPr>
          <w:b/>
          <w:bCs/>
          <w:sz w:val="28"/>
          <w:szCs w:val="28"/>
        </w:rPr>
      </w:pPr>
      <w:r w:rsidRPr="004720E0">
        <w:rPr>
          <w:b/>
          <w:bCs/>
          <w:sz w:val="28"/>
          <w:szCs w:val="28"/>
        </w:rPr>
        <w:t xml:space="preserve">ClinGen SVI Recommendations for Applying </w:t>
      </w:r>
      <w:r w:rsidRPr="004720E0">
        <w:rPr>
          <w:b/>
          <w:bCs/>
          <w:i/>
          <w:iCs/>
          <w:sz w:val="28"/>
          <w:szCs w:val="28"/>
        </w:rPr>
        <w:t>de novo</w:t>
      </w:r>
      <w:r w:rsidRPr="004720E0">
        <w:rPr>
          <w:b/>
          <w:bCs/>
          <w:sz w:val="28"/>
          <w:szCs w:val="28"/>
        </w:rPr>
        <w:t xml:space="preserve"> </w:t>
      </w:r>
      <w:proofErr w:type="gramStart"/>
      <w:r w:rsidRPr="004720E0">
        <w:rPr>
          <w:b/>
          <w:bCs/>
          <w:sz w:val="28"/>
          <w:szCs w:val="28"/>
        </w:rPr>
        <w:t>Evidence</w:t>
      </w:r>
      <w:proofErr w:type="gramEnd"/>
    </w:p>
    <w:p w14:paraId="6A6C6B01" w14:textId="2DB73A5D" w:rsidR="000D518E" w:rsidRPr="004720E0" w:rsidRDefault="004720E0" w:rsidP="000D518E">
      <w:pPr>
        <w:rPr>
          <w:b/>
          <w:bCs/>
          <w:color w:val="2E74B5" w:themeColor="accent5" w:themeShade="BF"/>
          <w:sz w:val="24"/>
          <w:szCs w:val="24"/>
        </w:rPr>
      </w:pPr>
      <w:r>
        <w:rPr>
          <w:b/>
          <w:bCs/>
          <w:color w:val="2E74B5" w:themeColor="accent5" w:themeShade="BF"/>
          <w:sz w:val="24"/>
          <w:szCs w:val="24"/>
        </w:rPr>
        <w:t>Use the phenotype consistency for gene consistent but not highly specific (2</w:t>
      </w:r>
      <w:r w:rsidRPr="004720E0">
        <w:rPr>
          <w:b/>
          <w:bCs/>
          <w:color w:val="2E74B5" w:themeColor="accent5" w:themeShade="BF"/>
          <w:sz w:val="24"/>
          <w:szCs w:val="24"/>
          <w:vertAlign w:val="superscript"/>
        </w:rPr>
        <w:t>nd</w:t>
      </w:r>
      <w:r>
        <w:rPr>
          <w:b/>
          <w:bCs/>
          <w:color w:val="2E74B5" w:themeColor="accent5" w:themeShade="BF"/>
          <w:sz w:val="24"/>
          <w:szCs w:val="24"/>
        </w:rPr>
        <w:t xml:space="preserve"> option) for VWD type 2</w:t>
      </w:r>
      <w:r w:rsidR="000D518E">
        <w:rPr>
          <w:b/>
          <w:bCs/>
          <w:color w:val="2E74B5" w:themeColor="accent5" w:themeShade="BF"/>
          <w:sz w:val="24"/>
          <w:szCs w:val="24"/>
        </w:rPr>
        <w:t xml:space="preserve"> if the proband meets PP4 criteria</w:t>
      </w:r>
      <w:r>
        <w:rPr>
          <w:b/>
          <w:bCs/>
          <w:color w:val="2E74B5" w:themeColor="accent5" w:themeShade="BF"/>
          <w:sz w:val="24"/>
          <w:szCs w:val="24"/>
        </w:rPr>
        <w:t>.</w:t>
      </w:r>
      <w:r w:rsidR="000D518E">
        <w:rPr>
          <w:b/>
          <w:bCs/>
          <w:color w:val="2E74B5" w:themeColor="accent5" w:themeShade="BF"/>
          <w:sz w:val="24"/>
          <w:szCs w:val="24"/>
        </w:rPr>
        <w:t xml:space="preserve"> </w:t>
      </w:r>
      <w:r w:rsidR="000D518E">
        <w:rPr>
          <w:b/>
          <w:bCs/>
          <w:color w:val="2E74B5" w:themeColor="accent5" w:themeShade="BF"/>
          <w:sz w:val="24"/>
          <w:szCs w:val="24"/>
        </w:rPr>
        <w:t xml:space="preserve">Use the phenotype consistency for </w:t>
      </w:r>
      <w:r w:rsidR="000D518E">
        <w:rPr>
          <w:b/>
          <w:bCs/>
          <w:color w:val="2E74B5" w:themeColor="accent5" w:themeShade="BF"/>
          <w:sz w:val="24"/>
          <w:szCs w:val="24"/>
        </w:rPr>
        <w:t xml:space="preserve">highly specific for </w:t>
      </w:r>
      <w:r w:rsidR="000D518E">
        <w:rPr>
          <w:b/>
          <w:bCs/>
          <w:color w:val="2E74B5" w:themeColor="accent5" w:themeShade="BF"/>
          <w:sz w:val="24"/>
          <w:szCs w:val="24"/>
        </w:rPr>
        <w:t>gene (</w:t>
      </w:r>
      <w:r w:rsidR="000D518E">
        <w:rPr>
          <w:b/>
          <w:bCs/>
          <w:color w:val="2E74B5" w:themeColor="accent5" w:themeShade="BF"/>
          <w:sz w:val="24"/>
          <w:szCs w:val="24"/>
        </w:rPr>
        <w:t>1</w:t>
      </w:r>
      <w:r w:rsidR="000D518E" w:rsidRPr="000D518E">
        <w:rPr>
          <w:b/>
          <w:bCs/>
          <w:color w:val="2E74B5" w:themeColor="accent5" w:themeShade="BF"/>
          <w:sz w:val="24"/>
          <w:szCs w:val="24"/>
          <w:vertAlign w:val="superscript"/>
        </w:rPr>
        <w:t>st</w:t>
      </w:r>
      <w:r w:rsidR="000D518E">
        <w:rPr>
          <w:b/>
          <w:bCs/>
          <w:color w:val="2E74B5" w:themeColor="accent5" w:themeShade="BF"/>
          <w:sz w:val="24"/>
          <w:szCs w:val="24"/>
        </w:rPr>
        <w:t xml:space="preserve"> option) for VWD type 2 if the proband meets PP4</w:t>
      </w:r>
      <w:r w:rsidR="000D518E">
        <w:rPr>
          <w:b/>
          <w:bCs/>
          <w:color w:val="2E74B5" w:themeColor="accent5" w:themeShade="BF"/>
          <w:sz w:val="24"/>
          <w:szCs w:val="24"/>
        </w:rPr>
        <w:t>_Moderate</w:t>
      </w:r>
      <w:r w:rsidR="000D518E">
        <w:rPr>
          <w:b/>
          <w:bCs/>
          <w:color w:val="2E74B5" w:themeColor="accent5" w:themeShade="BF"/>
          <w:sz w:val="24"/>
          <w:szCs w:val="24"/>
        </w:rPr>
        <w:t xml:space="preserve"> criteria.</w:t>
      </w:r>
    </w:p>
    <w:p w14:paraId="2A7C8BEE" w14:textId="5C51FCB9" w:rsidR="004720E0" w:rsidRPr="004720E0" w:rsidRDefault="004720E0" w:rsidP="004720E0">
      <w:pPr>
        <w:rPr>
          <w:b/>
          <w:bCs/>
          <w:color w:val="2E74B5" w:themeColor="accent5" w:themeShade="BF"/>
          <w:sz w:val="24"/>
          <w:szCs w:val="24"/>
        </w:rPr>
      </w:pPr>
    </w:p>
    <w:p w14:paraId="350A3747" w14:textId="3ED942DA" w:rsidR="004720E0" w:rsidRDefault="004720E0">
      <w:r>
        <w:rPr>
          <w:noProof/>
        </w:rPr>
        <w:drawing>
          <wp:inline distT="0" distB="0" distL="0" distR="0" wp14:anchorId="1D01F6FC" wp14:editId="522A6108">
            <wp:extent cx="5943600" cy="4124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2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E0"/>
    <w:rsid w:val="000D518E"/>
    <w:rsid w:val="0047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90EE5"/>
  <w15:chartTrackingRefBased/>
  <w15:docId w15:val="{678C848F-55CD-48C3-AB69-ACBD6AC0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2</cp:revision>
  <dcterms:created xsi:type="dcterms:W3CDTF">2022-10-14T12:49:00Z</dcterms:created>
  <dcterms:modified xsi:type="dcterms:W3CDTF">2024-02-06T12:21:00Z</dcterms:modified>
</cp:coreProperties>
</file>