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0C68C5E5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4720E0">
        <w:rPr>
          <w:b/>
          <w:bCs/>
          <w:i/>
          <w:iCs/>
          <w:sz w:val="28"/>
          <w:szCs w:val="28"/>
        </w:rPr>
        <w:t>de novo</w:t>
      </w:r>
      <w:r w:rsidRPr="004720E0">
        <w:rPr>
          <w:b/>
          <w:bCs/>
          <w:sz w:val="28"/>
          <w:szCs w:val="28"/>
        </w:rPr>
        <w:t xml:space="preserve"> Evidence</w:t>
      </w:r>
    </w:p>
    <w:p w14:paraId="2A7C8BEE" w14:textId="6E7EEE88" w:rsidR="004720E0" w:rsidRPr="004720E0" w:rsidRDefault="004720E0" w:rsidP="004720E0">
      <w:pPr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 xml:space="preserve">Use the phenotype consistency </w:t>
      </w:r>
      <w:r w:rsidR="005B3BBC">
        <w:rPr>
          <w:b/>
          <w:bCs/>
          <w:color w:val="2E74B5" w:themeColor="accent5" w:themeShade="BF"/>
          <w:sz w:val="24"/>
          <w:szCs w:val="24"/>
        </w:rPr>
        <w:t xml:space="preserve">“Phenotype highly specific for </w:t>
      </w:r>
      <w:r>
        <w:rPr>
          <w:b/>
          <w:bCs/>
          <w:color w:val="2E74B5" w:themeColor="accent5" w:themeShade="BF"/>
          <w:sz w:val="24"/>
          <w:szCs w:val="24"/>
        </w:rPr>
        <w:t>gene</w:t>
      </w:r>
      <w:r w:rsidR="005B3BBC">
        <w:rPr>
          <w:b/>
          <w:bCs/>
          <w:color w:val="2E74B5" w:themeColor="accent5" w:themeShade="BF"/>
          <w:sz w:val="24"/>
          <w:szCs w:val="24"/>
        </w:rPr>
        <w:t>”</w:t>
      </w:r>
      <w:r>
        <w:rPr>
          <w:b/>
          <w:bCs/>
          <w:color w:val="2E74B5" w:themeColor="accent5" w:themeShade="BF"/>
          <w:sz w:val="24"/>
          <w:szCs w:val="24"/>
        </w:rPr>
        <w:t xml:space="preserve"> (</w:t>
      </w:r>
      <w:r w:rsidR="005B3BBC">
        <w:rPr>
          <w:b/>
          <w:bCs/>
          <w:color w:val="2E74B5" w:themeColor="accent5" w:themeShade="BF"/>
          <w:sz w:val="24"/>
          <w:szCs w:val="24"/>
        </w:rPr>
        <w:t>1st</w:t>
      </w:r>
      <w:r>
        <w:rPr>
          <w:b/>
          <w:bCs/>
          <w:color w:val="2E74B5" w:themeColor="accent5" w:themeShade="BF"/>
          <w:sz w:val="24"/>
          <w:szCs w:val="24"/>
        </w:rPr>
        <w:t xml:space="preserve"> option) for </w:t>
      </w:r>
      <w:r w:rsidR="005B3BBC">
        <w:rPr>
          <w:b/>
          <w:bCs/>
          <w:color w:val="2E74B5" w:themeColor="accent5" w:themeShade="BF"/>
          <w:sz w:val="24"/>
          <w:szCs w:val="24"/>
        </w:rPr>
        <w:t>antithrombin deficiency</w:t>
      </w:r>
      <w:r>
        <w:rPr>
          <w:b/>
          <w:bCs/>
          <w:color w:val="2E74B5" w:themeColor="accent5" w:themeShade="BF"/>
          <w:sz w:val="24"/>
          <w:szCs w:val="24"/>
        </w:rPr>
        <w:t>.</w:t>
      </w:r>
    </w:p>
    <w:p w14:paraId="350A3747" w14:textId="3ED942DA" w:rsidR="004720E0" w:rsidRDefault="004720E0">
      <w:r>
        <w:rPr>
          <w:noProof/>
        </w:rPr>
        <w:drawing>
          <wp:inline distT="0" distB="0" distL="0" distR="0" wp14:anchorId="1D01F6FC" wp14:editId="522A6108">
            <wp:extent cx="59436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4720E0"/>
    <w:rsid w:val="005B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2022-10-27T12:41:00Z</dcterms:created>
  <dcterms:modified xsi:type="dcterms:W3CDTF">2022-10-27T12:41:00Z</dcterms:modified>
</cp:coreProperties>
</file>