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8428F" w14:textId="5FCE546E" w:rsidR="000927C3" w:rsidRPr="000927C3" w:rsidRDefault="00192523" w:rsidP="000927C3">
      <w:pPr>
        <w:ind w:hanging="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Antithrombin deficiency PP4/PS4</w:t>
      </w:r>
      <w:r w:rsidR="000927C3" w:rsidRPr="000927C3">
        <w:rPr>
          <w:b/>
          <w:sz w:val="28"/>
          <w:szCs w:val="28"/>
        </w:rPr>
        <w:t xml:space="preserve"> Rule Specification Guidance</w:t>
      </w:r>
    </w:p>
    <w:p w14:paraId="2BCC2D0A" w14:textId="4FCE00A2" w:rsidR="000927C3" w:rsidRPr="004831D0" w:rsidRDefault="000927C3" w:rsidP="000927C3">
      <w:pPr>
        <w:ind w:hanging="2"/>
        <w:rPr>
          <w:b/>
          <w:color w:val="4472C4" w:themeColor="accent1"/>
          <w:sz w:val="24"/>
          <w:szCs w:val="24"/>
        </w:rPr>
      </w:pPr>
      <w:r>
        <w:rPr>
          <w:b/>
          <w:color w:val="4F81BD"/>
          <w:sz w:val="24"/>
          <w:szCs w:val="24"/>
        </w:rPr>
        <w:t>The p</w:t>
      </w:r>
      <w:r w:rsidR="004831D0">
        <w:rPr>
          <w:b/>
          <w:color w:val="4F81BD"/>
          <w:sz w:val="24"/>
          <w:szCs w:val="24"/>
        </w:rPr>
        <w:t xml:space="preserve">roband </w:t>
      </w:r>
      <w:r>
        <w:rPr>
          <w:b/>
          <w:color w:val="4F81BD"/>
          <w:sz w:val="24"/>
          <w:szCs w:val="24"/>
        </w:rPr>
        <w:t xml:space="preserve">must have a </w:t>
      </w:r>
      <w:r w:rsidR="00192523">
        <w:rPr>
          <w:b/>
          <w:color w:val="4F81BD"/>
          <w:sz w:val="24"/>
          <w:szCs w:val="24"/>
        </w:rPr>
        <w:t>laboratory</w:t>
      </w:r>
      <w:r>
        <w:rPr>
          <w:b/>
          <w:color w:val="4F81BD"/>
          <w:sz w:val="24"/>
          <w:szCs w:val="24"/>
        </w:rPr>
        <w:t xml:space="preserve"> phenotype </w:t>
      </w:r>
      <w:r w:rsidR="004831D0">
        <w:rPr>
          <w:b/>
          <w:color w:val="4F81BD"/>
          <w:sz w:val="24"/>
          <w:szCs w:val="24"/>
        </w:rPr>
        <w:t xml:space="preserve">consistent with antithrombin deficiency to apply either the PP4 or PS4 codes. A personal history of thrombosis is neither required nor considered when applying these rule codes. Additionally, </w:t>
      </w:r>
      <w:r w:rsidR="004831D0" w:rsidRPr="004831D0">
        <w:rPr>
          <w:b/>
          <w:color w:val="4472C4" w:themeColor="accent1"/>
          <w:sz w:val="24"/>
          <w:szCs w:val="24"/>
        </w:rPr>
        <w:t>individuals</w:t>
      </w:r>
      <w:r w:rsidR="004831D0" w:rsidRPr="004831D0">
        <w:rPr>
          <w:rFonts w:eastAsia="Times New Roman"/>
          <w:b/>
          <w:color w:val="4472C4" w:themeColor="accent1"/>
          <w:sz w:val="24"/>
          <w:szCs w:val="24"/>
        </w:rPr>
        <w:t xml:space="preserve"> must not be on an anticoagulant and an acquired antithrombin deficiency must be ruled out. Females must not be pregnant or taking oral contraceptives. </w:t>
      </w:r>
      <w:r w:rsidR="004831D0" w:rsidRPr="004831D0">
        <w:rPr>
          <w:b/>
          <w:color w:val="4472C4" w:themeColor="accent1"/>
          <w:sz w:val="24"/>
          <w:szCs w:val="24"/>
        </w:rPr>
        <w:t xml:space="preserve"> </w:t>
      </w:r>
    </w:p>
    <w:p w14:paraId="58AF7DC0" w14:textId="77777777" w:rsidR="00465103" w:rsidRPr="00465103" w:rsidRDefault="00465103" w:rsidP="004831D0">
      <w:pPr>
        <w:spacing w:after="80" w:line="240" w:lineRule="auto"/>
        <w:ind w:hanging="2"/>
        <w:rPr>
          <w:b/>
          <w:color w:val="4F81BD"/>
          <w:sz w:val="10"/>
          <w:szCs w:val="10"/>
          <w:u w:val="single"/>
        </w:rPr>
      </w:pPr>
    </w:p>
    <w:p w14:paraId="33B19083" w14:textId="289B2BF8" w:rsidR="004831D0" w:rsidRPr="004831D0" w:rsidRDefault="004831D0" w:rsidP="004831D0">
      <w:pPr>
        <w:spacing w:after="80" w:line="240" w:lineRule="auto"/>
        <w:ind w:hanging="2"/>
        <w:rPr>
          <w:rFonts w:asciiTheme="minorHAnsi" w:eastAsia="Times New Roman" w:hAnsiTheme="minorHAnsi" w:cstheme="minorHAnsi"/>
          <w:sz w:val="24"/>
          <w:szCs w:val="24"/>
        </w:rPr>
      </w:pPr>
      <w:r w:rsidRPr="004831D0">
        <w:rPr>
          <w:b/>
          <w:color w:val="4F81BD"/>
          <w:sz w:val="24"/>
          <w:szCs w:val="24"/>
          <w:u w:val="single"/>
        </w:rPr>
        <w:t>PP4:</w:t>
      </w:r>
      <w:r>
        <w:rPr>
          <w:b/>
          <w:color w:val="4F81BD"/>
          <w:sz w:val="24"/>
          <w:szCs w:val="24"/>
        </w:rPr>
        <w:t xml:space="preserve"> </w:t>
      </w:r>
      <w:r w:rsidR="00D679DE" w:rsidRPr="00D679DE">
        <w:rPr>
          <w:bCs/>
          <w:sz w:val="24"/>
          <w:szCs w:val="24"/>
        </w:rPr>
        <w:t xml:space="preserve">A </w:t>
      </w:r>
      <w:r w:rsidR="00D679DE">
        <w:rPr>
          <w:bCs/>
          <w:sz w:val="24"/>
          <w:szCs w:val="24"/>
        </w:rPr>
        <w:t xml:space="preserve">single </w:t>
      </w:r>
      <w:r w:rsidR="00D679DE" w:rsidRPr="00D679DE">
        <w:rPr>
          <w:bCs/>
          <w:sz w:val="24"/>
          <w:szCs w:val="24"/>
        </w:rPr>
        <w:t>p</w:t>
      </w:r>
      <w:r w:rsidRPr="004831D0">
        <w:rPr>
          <w:rFonts w:eastAsia="Times New Roman"/>
          <w:bCs/>
          <w:sz w:val="24"/>
          <w:szCs w:val="24"/>
        </w:rPr>
        <w:t>roband</w:t>
      </w:r>
      <w:r w:rsidRPr="004831D0">
        <w:rPr>
          <w:rFonts w:eastAsia="Times New Roman"/>
          <w:sz w:val="24"/>
          <w:szCs w:val="24"/>
        </w:rPr>
        <w:t xml:space="preserve"> </w:t>
      </w:r>
      <w:r w:rsidRPr="004831D0">
        <w:rPr>
          <w:rFonts w:eastAsia="Times New Roman"/>
          <w:color w:val="000000"/>
          <w:sz w:val="24"/>
          <w:szCs w:val="24"/>
        </w:rPr>
        <w:t>used for th</w:t>
      </w:r>
      <w:r w:rsidR="00D679DE">
        <w:rPr>
          <w:rFonts w:eastAsia="Times New Roman"/>
          <w:color w:val="000000"/>
          <w:sz w:val="24"/>
          <w:szCs w:val="24"/>
        </w:rPr>
        <w:t>is</w:t>
      </w:r>
      <w:r w:rsidRPr="004831D0">
        <w:rPr>
          <w:rFonts w:eastAsia="Times New Roman"/>
          <w:color w:val="000000"/>
          <w:sz w:val="24"/>
          <w:szCs w:val="24"/>
        </w:rPr>
        <w:t xml:space="preserve"> phenotype rule code must have an antithrombin activity level of &lt; 0.8 IU/mL (or below the lower limit of a laboratory’s assays reference range). Additionally,</w:t>
      </w:r>
      <w:r w:rsidR="00D679DE">
        <w:rPr>
          <w:rFonts w:eastAsia="Times New Roman"/>
          <w:color w:val="000000"/>
          <w:sz w:val="24"/>
          <w:szCs w:val="24"/>
        </w:rPr>
        <w:t xml:space="preserve"> the</w:t>
      </w:r>
      <w:r w:rsidRPr="004831D0">
        <w:rPr>
          <w:rFonts w:eastAsia="Times New Roman"/>
          <w:color w:val="000000"/>
          <w:sz w:val="24"/>
          <w:szCs w:val="24"/>
        </w:rPr>
        <w:t xml:space="preserve"> individual must have abnormal levels </w:t>
      </w:r>
      <w:r w:rsidR="00D679DE">
        <w:rPr>
          <w:rFonts w:eastAsia="Times New Roman"/>
          <w:color w:val="000000"/>
          <w:sz w:val="24"/>
          <w:szCs w:val="24"/>
        </w:rPr>
        <w:t xml:space="preserve">antithrombin activity levels </w:t>
      </w:r>
      <w:r w:rsidRPr="004831D0">
        <w:rPr>
          <w:rFonts w:eastAsia="Times New Roman"/>
          <w:color w:val="000000"/>
          <w:sz w:val="24"/>
          <w:szCs w:val="24"/>
        </w:rPr>
        <w:t>on repeated independent samples.</w:t>
      </w:r>
      <w:r w:rsidR="00465103">
        <w:rPr>
          <w:rFonts w:eastAsia="Times New Roman"/>
          <w:color w:val="000000"/>
          <w:sz w:val="24"/>
          <w:szCs w:val="24"/>
        </w:rPr>
        <w:t xml:space="preserve"> An abnormal</w:t>
      </w:r>
      <w:r w:rsidRPr="004831D0">
        <w:rPr>
          <w:rFonts w:eastAsia="Times New Roman"/>
          <w:color w:val="000000"/>
          <w:sz w:val="24"/>
          <w:szCs w:val="24"/>
        </w:rPr>
        <w:t> </w:t>
      </w:r>
      <w:r w:rsidR="00465103" w:rsidRP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 xml:space="preserve">crossed </w:t>
      </w:r>
      <w:proofErr w:type="spellStart"/>
      <w:r w:rsidR="00465103" w:rsidRP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>immunoelectrophoresis</w:t>
      </w:r>
      <w:proofErr w:type="spellEnd"/>
      <w:r w:rsidR="00465103" w:rsidRP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 xml:space="preserve"> assay </w:t>
      </w:r>
      <w:r w:rsidR="00427E69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>demonstrating decreased</w:t>
      </w:r>
      <w:r w:rsidR="00465103" w:rsidRP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 xml:space="preserve"> </w:t>
      </w:r>
      <w:r w:rsid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 xml:space="preserve">antithrombin </w:t>
      </w:r>
      <w:r w:rsidR="00427E69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>function may be used in lieu of low activity levels, which is typically caused by type II variants</w:t>
      </w:r>
      <w:r w:rsid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>.</w:t>
      </w:r>
    </w:p>
    <w:p w14:paraId="42B3A211" w14:textId="3E01C8F5" w:rsidR="004831D0" w:rsidRPr="00465103" w:rsidRDefault="004831D0" w:rsidP="000927C3">
      <w:pPr>
        <w:ind w:hanging="2"/>
        <w:rPr>
          <w:b/>
          <w:sz w:val="10"/>
          <w:szCs w:val="10"/>
        </w:rPr>
      </w:pPr>
    </w:p>
    <w:p w14:paraId="62F44CFF" w14:textId="1CB48619" w:rsidR="004831D0" w:rsidRPr="004831D0" w:rsidRDefault="004831D0" w:rsidP="000927C3">
      <w:pPr>
        <w:ind w:hanging="2"/>
        <w:rPr>
          <w:bCs/>
          <w:sz w:val="24"/>
          <w:szCs w:val="24"/>
        </w:rPr>
      </w:pPr>
      <w:r w:rsidRPr="004831D0">
        <w:rPr>
          <w:b/>
          <w:color w:val="4F81BD"/>
          <w:sz w:val="24"/>
          <w:szCs w:val="24"/>
          <w:u w:val="single"/>
        </w:rPr>
        <w:t>PS4</w:t>
      </w:r>
      <w:r>
        <w:rPr>
          <w:b/>
          <w:color w:val="4F81BD"/>
          <w:sz w:val="24"/>
          <w:szCs w:val="24"/>
        </w:rPr>
        <w:t xml:space="preserve">: </w:t>
      </w:r>
      <w:r>
        <w:rPr>
          <w:rFonts w:eastAsia="Times New Roman"/>
          <w:color w:val="000000"/>
          <w:sz w:val="24"/>
          <w:szCs w:val="24"/>
        </w:rPr>
        <w:t xml:space="preserve">Use the following point system to </w:t>
      </w:r>
      <w:r w:rsidR="00D679DE">
        <w:rPr>
          <w:rFonts w:eastAsia="Times New Roman"/>
          <w:color w:val="000000"/>
          <w:sz w:val="24"/>
          <w:szCs w:val="24"/>
        </w:rPr>
        <w:t>tally</w:t>
      </w:r>
      <w:r>
        <w:rPr>
          <w:rFonts w:eastAsia="Times New Roman"/>
          <w:color w:val="000000"/>
          <w:sz w:val="24"/>
          <w:szCs w:val="24"/>
        </w:rPr>
        <w:t xml:space="preserve"> up the number of proband points for each </w:t>
      </w:r>
      <w:r w:rsidRPr="00D679DE">
        <w:rPr>
          <w:rFonts w:eastAsia="Times New Roman"/>
          <w:i/>
          <w:iCs/>
          <w:color w:val="000000"/>
          <w:sz w:val="24"/>
          <w:szCs w:val="24"/>
        </w:rPr>
        <w:t xml:space="preserve">SERPINC1 </w:t>
      </w:r>
      <w:r>
        <w:rPr>
          <w:rFonts w:eastAsia="Times New Roman"/>
          <w:color w:val="000000"/>
          <w:sz w:val="24"/>
          <w:szCs w:val="24"/>
        </w:rPr>
        <w:t>variant</w:t>
      </w:r>
      <w:r w:rsidR="00D679DE">
        <w:rPr>
          <w:rFonts w:eastAsia="Times New Roman"/>
          <w:color w:val="000000"/>
          <w:sz w:val="24"/>
          <w:szCs w:val="24"/>
        </w:rPr>
        <w:t>:</w:t>
      </w:r>
    </w:p>
    <w:p w14:paraId="468B7FC8" w14:textId="51F3141F" w:rsidR="000927C3" w:rsidRDefault="00D679DE" w:rsidP="000927C3">
      <w:pPr>
        <w:ind w:hanging="2"/>
        <w:rPr>
          <w:sz w:val="24"/>
          <w:szCs w:val="24"/>
          <w:u w:val="single"/>
        </w:rPr>
      </w:pPr>
      <w:r w:rsidRPr="00D679DE">
        <w:rPr>
          <w:sz w:val="24"/>
          <w:szCs w:val="24"/>
          <w:u w:val="single"/>
        </w:rPr>
        <w:t>Proband Points</w:t>
      </w:r>
    </w:p>
    <w:p w14:paraId="4A168D26" w14:textId="36B6435E" w:rsidR="00D679DE" w:rsidRPr="00D679DE" w:rsidRDefault="00D679DE" w:rsidP="00D679DE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1 point each: </w:t>
      </w:r>
    </w:p>
    <w:p w14:paraId="7557C8B8" w14:textId="15639728" w:rsidR="00D679DE" w:rsidRPr="00D679DE" w:rsidRDefault="00D679DE" w:rsidP="00D679DE">
      <w:pPr>
        <w:pStyle w:val="ListParagraph"/>
        <w:numPr>
          <w:ilvl w:val="1"/>
          <w:numId w:val="1"/>
        </w:numPr>
        <w:rPr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A </w:t>
      </w:r>
      <w:r w:rsidRPr="00D679DE">
        <w:rPr>
          <w:bCs/>
          <w:sz w:val="24"/>
          <w:szCs w:val="24"/>
        </w:rPr>
        <w:t>p</w:t>
      </w:r>
      <w:r w:rsidRPr="004831D0">
        <w:rPr>
          <w:rFonts w:eastAsia="Times New Roman"/>
          <w:bCs/>
          <w:sz w:val="24"/>
          <w:szCs w:val="24"/>
        </w:rPr>
        <w:t>roband</w:t>
      </w:r>
      <w:r w:rsidRPr="004831D0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with</w:t>
      </w:r>
      <w:r w:rsidRPr="004831D0">
        <w:rPr>
          <w:rFonts w:eastAsia="Times New Roman"/>
          <w:color w:val="000000"/>
          <w:sz w:val="24"/>
          <w:szCs w:val="24"/>
        </w:rPr>
        <w:t xml:space="preserve"> an antithrombin activity level of &lt; 0.8 IU/mL (or below the lower limit of a laboratory’s assays reference range)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Pr="004831D0">
        <w:rPr>
          <w:rFonts w:eastAsia="Times New Roman"/>
          <w:color w:val="000000"/>
          <w:sz w:val="24"/>
          <w:szCs w:val="24"/>
        </w:rPr>
        <w:t>on repeated independent samples. </w:t>
      </w:r>
    </w:p>
    <w:p w14:paraId="7DE2305C" w14:textId="18024F70" w:rsidR="00D679DE" w:rsidRPr="00D679DE" w:rsidRDefault="00D679DE" w:rsidP="00D679DE">
      <w:pPr>
        <w:pStyle w:val="ListParagraph"/>
        <w:numPr>
          <w:ilvl w:val="1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A </w:t>
      </w:r>
      <w:r w:rsidRPr="00D679DE">
        <w:rPr>
          <w:bCs/>
          <w:sz w:val="24"/>
          <w:szCs w:val="24"/>
        </w:rPr>
        <w:t>p</w:t>
      </w:r>
      <w:r w:rsidRPr="004831D0">
        <w:rPr>
          <w:rFonts w:eastAsia="Times New Roman"/>
          <w:bCs/>
          <w:sz w:val="24"/>
          <w:szCs w:val="24"/>
        </w:rPr>
        <w:t>roband</w:t>
      </w:r>
      <w:r w:rsidRPr="004831D0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with</w:t>
      </w:r>
      <w:r w:rsidRPr="004831D0">
        <w:rPr>
          <w:rFonts w:eastAsia="Times New Roman"/>
          <w:color w:val="000000"/>
          <w:sz w:val="24"/>
          <w:szCs w:val="24"/>
        </w:rPr>
        <w:t xml:space="preserve"> an antithrombin activity level of &lt; 0.8 IU/mL (or below the lower limit of a laboratory’s assays reference range)</w:t>
      </w:r>
      <w:r>
        <w:rPr>
          <w:rFonts w:eastAsia="Times New Roman"/>
          <w:color w:val="000000"/>
          <w:sz w:val="24"/>
          <w:szCs w:val="24"/>
        </w:rPr>
        <w:t xml:space="preserve"> without confirmation of </w:t>
      </w:r>
      <w:r w:rsidRPr="004831D0">
        <w:rPr>
          <w:rFonts w:eastAsia="Times New Roman"/>
          <w:color w:val="000000"/>
          <w:sz w:val="24"/>
          <w:szCs w:val="24"/>
        </w:rPr>
        <w:t>repeated independent samples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="00465103">
        <w:rPr>
          <w:rFonts w:eastAsia="Times New Roman"/>
          <w:color w:val="000000"/>
          <w:sz w:val="24"/>
          <w:szCs w:val="24"/>
        </w:rPr>
        <w:t>tested but</w:t>
      </w:r>
      <w:r>
        <w:rPr>
          <w:rFonts w:eastAsia="Times New Roman"/>
          <w:color w:val="000000"/>
          <w:sz w:val="24"/>
          <w:szCs w:val="24"/>
        </w:rPr>
        <w:t xml:space="preserve"> has a family history of </w:t>
      </w:r>
      <w:r w:rsidR="00465103" w:rsidRPr="004831D0">
        <w:rPr>
          <w:rFonts w:eastAsia="Times New Roman"/>
          <w:color w:val="000000"/>
          <w:sz w:val="24"/>
          <w:szCs w:val="24"/>
        </w:rPr>
        <w:t>antithrombin activity level</w:t>
      </w:r>
      <w:r w:rsidR="00465103">
        <w:rPr>
          <w:rFonts w:eastAsia="Times New Roman"/>
          <w:color w:val="000000"/>
          <w:sz w:val="24"/>
          <w:szCs w:val="24"/>
        </w:rPr>
        <w:t>s</w:t>
      </w:r>
      <w:r w:rsidR="00465103" w:rsidRPr="004831D0">
        <w:rPr>
          <w:rFonts w:eastAsia="Times New Roman"/>
          <w:color w:val="000000"/>
          <w:sz w:val="24"/>
          <w:szCs w:val="24"/>
        </w:rPr>
        <w:t xml:space="preserve"> of &lt; 0.8 IU/mL (</w:t>
      </w:r>
      <w:r w:rsidR="00465103">
        <w:rPr>
          <w:rFonts w:eastAsia="Times New Roman"/>
          <w:color w:val="000000"/>
          <w:sz w:val="24"/>
          <w:szCs w:val="24"/>
        </w:rPr>
        <w:t>a family history of thrombosis but no antithrombin activity levels provided does not qualify</w:t>
      </w:r>
      <w:r w:rsidR="00465103" w:rsidRPr="004831D0">
        <w:rPr>
          <w:rFonts w:eastAsia="Times New Roman"/>
          <w:color w:val="000000"/>
          <w:sz w:val="24"/>
          <w:szCs w:val="24"/>
        </w:rPr>
        <w:t>)</w:t>
      </w:r>
      <w:r w:rsidRPr="004831D0">
        <w:rPr>
          <w:rFonts w:eastAsia="Times New Roman"/>
          <w:color w:val="000000"/>
          <w:sz w:val="24"/>
          <w:szCs w:val="24"/>
        </w:rPr>
        <w:t>. </w:t>
      </w:r>
    </w:p>
    <w:p w14:paraId="28AAA609" w14:textId="67F6034A" w:rsidR="00D679DE" w:rsidRPr="00D679DE" w:rsidRDefault="00427E69" w:rsidP="00D679DE">
      <w:pPr>
        <w:pStyle w:val="ListParagraph"/>
        <w:numPr>
          <w:ilvl w:val="1"/>
          <w:numId w:val="1"/>
        </w:numPr>
        <w:rPr>
          <w:sz w:val="24"/>
          <w:szCs w:val="24"/>
          <w:u w:val="single"/>
        </w:rPr>
      </w:pPr>
      <w:r>
        <w:rPr>
          <w:rFonts w:eastAsia="Times New Roman"/>
          <w:color w:val="000000"/>
          <w:sz w:val="24"/>
          <w:szCs w:val="24"/>
        </w:rPr>
        <w:t>A</w:t>
      </w:r>
      <w:r>
        <w:rPr>
          <w:rFonts w:eastAsia="Times New Roman"/>
          <w:color w:val="000000"/>
          <w:sz w:val="24"/>
          <w:szCs w:val="24"/>
        </w:rPr>
        <w:t xml:space="preserve"> proband with a</w:t>
      </w:r>
      <w:r>
        <w:rPr>
          <w:rFonts w:eastAsia="Times New Roman"/>
          <w:color w:val="000000"/>
          <w:sz w:val="24"/>
          <w:szCs w:val="24"/>
        </w:rPr>
        <w:t>n abnormal</w:t>
      </w:r>
      <w:r w:rsidRPr="004831D0">
        <w:rPr>
          <w:rFonts w:eastAsia="Times New Roman"/>
          <w:color w:val="000000"/>
          <w:sz w:val="24"/>
          <w:szCs w:val="24"/>
        </w:rPr>
        <w:t> </w:t>
      </w:r>
      <w:r w:rsidRP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 xml:space="preserve">crossed </w:t>
      </w:r>
      <w:proofErr w:type="spellStart"/>
      <w:r w:rsidRP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>immunoelectrophoresis</w:t>
      </w:r>
      <w:proofErr w:type="spellEnd"/>
      <w:r w:rsidRP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 xml:space="preserve"> assay </w:t>
      </w:r>
      <w:r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>demonstrating decreased</w:t>
      </w:r>
      <w:r w:rsidRPr="00465103"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 xml:space="preserve"> </w:t>
      </w:r>
      <w:r>
        <w:rPr>
          <w:rFonts w:asciiTheme="minorHAnsi" w:hAnsiTheme="minorHAnsi" w:cstheme="minorHAnsi"/>
          <w:color w:val="000000"/>
          <w:spacing w:val="3"/>
          <w:sz w:val="24"/>
          <w:szCs w:val="24"/>
          <w:shd w:val="clear" w:color="auto" w:fill="FFFFFF"/>
        </w:rPr>
        <w:t>antithrombin function.</w:t>
      </w:r>
    </w:p>
    <w:p w14:paraId="05D24458" w14:textId="77777777" w:rsidR="00D679DE" w:rsidRPr="00D679DE" w:rsidRDefault="00D679DE" w:rsidP="00D679DE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0.5 point each: </w:t>
      </w:r>
    </w:p>
    <w:p w14:paraId="76BCB461" w14:textId="23552B1C" w:rsidR="00D679DE" w:rsidRPr="00D679DE" w:rsidRDefault="00D679DE" w:rsidP="00D679DE">
      <w:pPr>
        <w:pStyle w:val="ListParagraph"/>
        <w:numPr>
          <w:ilvl w:val="1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A </w:t>
      </w:r>
      <w:r w:rsidRPr="00D679DE">
        <w:rPr>
          <w:bCs/>
          <w:sz w:val="24"/>
          <w:szCs w:val="24"/>
        </w:rPr>
        <w:t>p</w:t>
      </w:r>
      <w:r w:rsidRPr="004831D0">
        <w:rPr>
          <w:rFonts w:eastAsia="Times New Roman"/>
          <w:bCs/>
          <w:sz w:val="24"/>
          <w:szCs w:val="24"/>
        </w:rPr>
        <w:t>roband</w:t>
      </w:r>
      <w:r w:rsidRPr="004831D0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with</w:t>
      </w:r>
      <w:r w:rsidRPr="004831D0">
        <w:rPr>
          <w:rFonts w:eastAsia="Times New Roman"/>
          <w:color w:val="000000"/>
          <w:sz w:val="24"/>
          <w:szCs w:val="24"/>
        </w:rPr>
        <w:t xml:space="preserve"> an antithrombin activity level of &lt; 0.8 IU/mL (or below the lower limit of a laboratory’s assays reference range)</w:t>
      </w:r>
      <w:r>
        <w:rPr>
          <w:rFonts w:eastAsia="Times New Roman"/>
          <w:color w:val="000000"/>
          <w:sz w:val="24"/>
          <w:szCs w:val="24"/>
        </w:rPr>
        <w:t xml:space="preserve"> </w:t>
      </w:r>
      <w:r>
        <w:rPr>
          <w:rFonts w:eastAsia="Times New Roman"/>
          <w:color w:val="000000"/>
          <w:sz w:val="24"/>
          <w:szCs w:val="24"/>
        </w:rPr>
        <w:t xml:space="preserve">without confirmation of </w:t>
      </w:r>
      <w:r w:rsidRPr="004831D0">
        <w:rPr>
          <w:rFonts w:eastAsia="Times New Roman"/>
          <w:color w:val="000000"/>
          <w:sz w:val="24"/>
          <w:szCs w:val="24"/>
        </w:rPr>
        <w:t>repeated independent samples</w:t>
      </w:r>
      <w:r>
        <w:rPr>
          <w:rFonts w:eastAsia="Times New Roman"/>
          <w:color w:val="000000"/>
          <w:sz w:val="24"/>
          <w:szCs w:val="24"/>
        </w:rPr>
        <w:t xml:space="preserve"> tested</w:t>
      </w:r>
      <w:r w:rsidRPr="004831D0">
        <w:rPr>
          <w:rFonts w:eastAsia="Times New Roman"/>
          <w:color w:val="000000"/>
          <w:sz w:val="24"/>
          <w:szCs w:val="24"/>
        </w:rPr>
        <w:t>. </w:t>
      </w:r>
    </w:p>
    <w:p w14:paraId="6202923A" w14:textId="77777777" w:rsidR="00D679DE" w:rsidRPr="00427E69" w:rsidRDefault="004831D0" w:rsidP="00D679DE">
      <w:pPr>
        <w:spacing w:after="80" w:line="240" w:lineRule="auto"/>
        <w:ind w:hanging="720"/>
        <w:rPr>
          <w:rFonts w:eastAsia="Times New Roman"/>
          <w:color w:val="000000"/>
          <w:sz w:val="10"/>
          <w:szCs w:val="10"/>
        </w:rPr>
      </w:pPr>
      <w:r w:rsidRPr="004831D0">
        <w:rPr>
          <w:rFonts w:eastAsia="Times New Roman"/>
          <w:color w:val="000000"/>
          <w:sz w:val="20"/>
          <w:szCs w:val="20"/>
        </w:rPr>
        <w:tab/>
      </w:r>
    </w:p>
    <w:p w14:paraId="3182C55B" w14:textId="56F3CCBF" w:rsidR="004831D0" w:rsidRPr="004831D0" w:rsidRDefault="004831D0" w:rsidP="00D679DE">
      <w:pPr>
        <w:spacing w:after="80" w:line="240" w:lineRule="auto"/>
        <w:ind w:firstLine="0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831D0">
        <w:rPr>
          <w:rFonts w:eastAsia="Times New Roman"/>
          <w:b/>
          <w:bCs/>
          <w:color w:val="4472C4" w:themeColor="accent1"/>
          <w:sz w:val="24"/>
          <w:szCs w:val="24"/>
        </w:rPr>
        <w:t>Use the table below to determine the weight of this rule code: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250"/>
        <w:gridCol w:w="2160"/>
        <w:gridCol w:w="2520"/>
      </w:tblGrid>
      <w:tr w:rsidR="004831D0" w:rsidRPr="004831D0" w14:paraId="67DC572B" w14:textId="77777777" w:rsidTr="004831D0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A0FA0" w14:textId="77777777" w:rsidR="004831D0" w:rsidRPr="004831D0" w:rsidRDefault="004831D0" w:rsidP="004831D0">
            <w:pPr>
              <w:spacing w:after="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31D0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PS4_Supporting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61F40" w14:textId="77777777" w:rsidR="004831D0" w:rsidRPr="004831D0" w:rsidRDefault="004831D0" w:rsidP="004831D0">
            <w:pPr>
              <w:spacing w:after="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31D0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PS4_Moderate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9C7F2" w14:textId="77777777" w:rsidR="004831D0" w:rsidRPr="004831D0" w:rsidRDefault="004831D0" w:rsidP="004831D0">
            <w:pPr>
              <w:spacing w:after="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31D0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PS4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87138" w14:textId="77777777" w:rsidR="004831D0" w:rsidRPr="004831D0" w:rsidRDefault="004831D0" w:rsidP="004831D0">
            <w:pPr>
              <w:spacing w:after="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31D0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PS4_VeryStrong</w:t>
            </w:r>
          </w:p>
        </w:tc>
      </w:tr>
      <w:tr w:rsidR="004831D0" w:rsidRPr="004831D0" w14:paraId="145FE48D" w14:textId="77777777" w:rsidTr="004831D0"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9070F" w14:textId="77777777" w:rsidR="004831D0" w:rsidRPr="004831D0" w:rsidRDefault="004831D0" w:rsidP="004831D0">
            <w:pPr>
              <w:spacing w:after="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31D0">
              <w:rPr>
                <w:rFonts w:eastAsia="Times New Roman"/>
                <w:color w:val="000000"/>
                <w:sz w:val="28"/>
                <w:szCs w:val="28"/>
              </w:rPr>
              <w:t>1 point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07648" w14:textId="0F10FD14" w:rsidR="004831D0" w:rsidRPr="004831D0" w:rsidRDefault="004831D0" w:rsidP="004831D0">
            <w:pPr>
              <w:spacing w:after="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31D0">
              <w:rPr>
                <w:rFonts w:eastAsia="Times New Roman"/>
                <w:color w:val="000000"/>
                <w:sz w:val="28"/>
                <w:szCs w:val="28"/>
              </w:rPr>
              <w:t>2</w:t>
            </w:r>
            <w:r>
              <w:rPr>
                <w:rFonts w:eastAsia="Times New Roman"/>
                <w:color w:val="000000"/>
                <w:sz w:val="28"/>
                <w:szCs w:val="28"/>
              </w:rPr>
              <w:t>-3</w:t>
            </w:r>
            <w:r w:rsidRPr="004831D0">
              <w:rPr>
                <w:rFonts w:eastAsia="Times New Roman"/>
                <w:color w:val="000000"/>
                <w:sz w:val="28"/>
                <w:szCs w:val="28"/>
              </w:rPr>
              <w:t xml:space="preserve"> points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68BF6" w14:textId="699EB4B5" w:rsidR="004831D0" w:rsidRPr="004831D0" w:rsidRDefault="004831D0" w:rsidP="004831D0">
            <w:pPr>
              <w:spacing w:after="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31D0">
              <w:rPr>
                <w:rFonts w:eastAsia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/>
                <w:color w:val="000000"/>
                <w:sz w:val="28"/>
                <w:szCs w:val="28"/>
              </w:rPr>
              <w:t>-7</w:t>
            </w:r>
            <w:r w:rsidRPr="004831D0">
              <w:rPr>
                <w:rFonts w:eastAsia="Times New Roman"/>
                <w:color w:val="000000"/>
                <w:sz w:val="28"/>
                <w:szCs w:val="28"/>
              </w:rPr>
              <w:t xml:space="preserve"> points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4341C" w14:textId="52ACBCC9" w:rsidR="004831D0" w:rsidRPr="004831D0" w:rsidRDefault="004831D0" w:rsidP="004831D0">
            <w:pPr>
              <w:spacing w:after="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31D0">
              <w:rPr>
                <w:rFonts w:eastAsia="Times New Roman"/>
                <w:color w:val="000000"/>
                <w:sz w:val="28"/>
                <w:szCs w:val="28"/>
                <w:u w:val="single"/>
              </w:rPr>
              <w:t>&gt;</w:t>
            </w:r>
            <w:r w:rsidRPr="004831D0">
              <w:rPr>
                <w:rFonts w:eastAsia="Times New Roman"/>
                <w:color w:val="000000"/>
                <w:sz w:val="28"/>
                <w:szCs w:val="28"/>
              </w:rPr>
              <w:t>8 points</w:t>
            </w:r>
          </w:p>
        </w:tc>
      </w:tr>
    </w:tbl>
    <w:p w14:paraId="2177AB65" w14:textId="191415FD" w:rsidR="000927C3" w:rsidRPr="00915A81" w:rsidRDefault="00915A81">
      <w:pPr>
        <w:rPr>
          <w:sz w:val="24"/>
          <w:szCs w:val="24"/>
        </w:rPr>
      </w:pPr>
      <w:r w:rsidRPr="00915A81">
        <w:rPr>
          <w:sz w:val="24"/>
          <w:szCs w:val="24"/>
        </w:rPr>
        <w:t>*Do not include a proband used for the PP4 code in this proband count.</w:t>
      </w:r>
    </w:p>
    <w:sectPr w:rsidR="000927C3" w:rsidRPr="00915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C7C1E"/>
    <w:multiLevelType w:val="hybridMultilevel"/>
    <w:tmpl w:val="C39E344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13633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C3"/>
    <w:rsid w:val="000927C3"/>
    <w:rsid w:val="00192523"/>
    <w:rsid w:val="001D7267"/>
    <w:rsid w:val="003F0A0C"/>
    <w:rsid w:val="00427E69"/>
    <w:rsid w:val="00465103"/>
    <w:rsid w:val="004831D0"/>
    <w:rsid w:val="00915A81"/>
    <w:rsid w:val="00D679DE"/>
    <w:rsid w:val="00DD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7B37"/>
  <w15:chartTrackingRefBased/>
  <w15:docId w15:val="{1290A766-1EA4-4B10-9228-6A7D46E5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7C3"/>
    <w:pPr>
      <w:ind w:hanging="1"/>
    </w:pPr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7C3"/>
    <w:pPr>
      <w:keepNext/>
      <w:keepLines/>
      <w:pBdr>
        <w:top w:val="nil"/>
        <w:left w:val="nil"/>
        <w:bottom w:val="nil"/>
        <w:right w:val="nil"/>
        <w:between w:val="nil"/>
      </w:pBdr>
      <w:ind w:left="10" w:right="4" w:hanging="10"/>
      <w:outlineLvl w:val="1"/>
    </w:pPr>
    <w:rPr>
      <w:b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27C3"/>
    <w:rPr>
      <w:rFonts w:ascii="Calibri" w:eastAsia="Calibri" w:hAnsi="Calibri" w:cs="Calibri"/>
      <w:b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31D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831D0"/>
  </w:style>
  <w:style w:type="paragraph" w:styleId="ListParagraph">
    <w:name w:val="List Paragraph"/>
    <w:basedOn w:val="Normal"/>
    <w:uiPriority w:val="34"/>
    <w:qFormat/>
    <w:rsid w:val="00D67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6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1328">
          <w:marLeft w:val="6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4</cp:revision>
  <dcterms:created xsi:type="dcterms:W3CDTF">2022-10-27T12:56:00Z</dcterms:created>
  <dcterms:modified xsi:type="dcterms:W3CDTF">2022-10-27T13:45:00Z</dcterms:modified>
</cp:coreProperties>
</file>