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E048D8" w14:textId="498A5FD2" w:rsidR="00117FA4" w:rsidRPr="00117FA4" w:rsidRDefault="00117FA4" w:rsidP="00117FA4">
      <w:pPr>
        <w:spacing w:line="240" w:lineRule="auto"/>
        <w:ind w:left="-1" w:hanging="1"/>
        <w:jc w:val="center"/>
        <w:rPr>
          <w:rFonts w:ascii="Calibri" w:eastAsia="Times New Roman" w:hAnsi="Calibri" w:cs="Calibri"/>
          <w:color w:val="000000"/>
          <w:kern w:val="0"/>
          <w:u w:val="single"/>
          <w14:ligatures w14:val="none"/>
        </w:rPr>
      </w:pPr>
      <w:r w:rsidRPr="00117FA4">
        <w:rPr>
          <w:rFonts w:ascii="Calibri" w:eastAsia="Times New Roman" w:hAnsi="Calibri" w:cs="Calibri"/>
          <w:color w:val="000000"/>
          <w:kern w:val="0"/>
          <w:u w:val="single"/>
          <w14:ligatures w14:val="none"/>
        </w:rPr>
        <w:t>Rules for Combining Criteria</w:t>
      </w:r>
    </w:p>
    <w:p w14:paraId="2C80BFFE" w14:textId="77777777" w:rsidR="00117FA4" w:rsidRDefault="00117FA4" w:rsidP="00117FA4">
      <w:pPr>
        <w:spacing w:line="240" w:lineRule="auto"/>
        <w:ind w:left="-1" w:hanging="1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117FA4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The </w:t>
      </w:r>
      <w:proofErr w:type="spellStart"/>
      <w:r w:rsidRPr="00117FA4">
        <w:rPr>
          <w:rFonts w:ascii="Calibri" w:eastAsia="Times New Roman" w:hAnsi="Calibri" w:cs="Calibri"/>
          <w:color w:val="000000"/>
          <w:kern w:val="0"/>
          <w14:ligatures w14:val="none"/>
        </w:rPr>
        <w:t>Perox</w:t>
      </w:r>
      <w:proofErr w:type="spellEnd"/>
      <w:r w:rsidRPr="00117FA4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VCEP will adopt the Bayesian points scale for all criteria combinations. See </w:t>
      </w:r>
      <w:r w:rsidRPr="00117FA4">
        <w:rPr>
          <w:rFonts w:ascii="Calibri" w:eastAsia="Times New Roman" w:hAnsi="Calibri" w:cs="Calibri"/>
          <w:color w:val="212121"/>
          <w:kern w:val="0"/>
          <w:sz w:val="24"/>
          <w:szCs w:val="24"/>
          <w14:ligatures w14:val="none"/>
        </w:rPr>
        <w:t xml:space="preserve">PMID: </w:t>
      </w:r>
      <w:hyperlink r:id="rId4" w:history="1">
        <w:r w:rsidRPr="00117FA4">
          <w:rPr>
            <w:rFonts w:ascii="Calibri" w:eastAsia="Times New Roman" w:hAnsi="Calibri" w:cs="Calibri"/>
            <w:color w:val="1155CC"/>
            <w:kern w:val="0"/>
            <w:sz w:val="24"/>
            <w:szCs w:val="24"/>
            <w:u w:val="single"/>
            <w14:ligatures w14:val="none"/>
          </w:rPr>
          <w:t xml:space="preserve">29300386 </w:t>
        </w:r>
      </w:hyperlink>
      <w:r w:rsidRPr="00117FA4">
        <w:rPr>
          <w:rFonts w:ascii="Calibri" w:eastAsia="Times New Roman" w:hAnsi="Calibri" w:cs="Calibri"/>
          <w:color w:val="212121"/>
          <w:kern w:val="0"/>
          <w:sz w:val="24"/>
          <w:szCs w:val="24"/>
          <w14:ligatures w14:val="none"/>
        </w:rPr>
        <w:t xml:space="preserve">(use Supplementary Excel table for rule combinations) and </w:t>
      </w:r>
      <w:r w:rsidRPr="00117FA4">
        <w:rPr>
          <w:rFonts w:ascii="Calibri" w:eastAsia="Times New Roman" w:hAnsi="Calibri" w:cs="Calibri"/>
          <w:color w:val="212121"/>
          <w:kern w:val="0"/>
          <w:sz w:val="24"/>
          <w:szCs w:val="24"/>
          <w:shd w:val="clear" w:color="auto" w:fill="FFFFFF"/>
          <w14:ligatures w14:val="none"/>
        </w:rPr>
        <w:t xml:space="preserve">PMID: </w:t>
      </w:r>
      <w:hyperlink r:id="rId5" w:history="1">
        <w:r w:rsidRPr="00117FA4">
          <w:rPr>
            <w:rFonts w:ascii="Calibri" w:eastAsia="Times New Roman" w:hAnsi="Calibri" w:cs="Calibri"/>
            <w:color w:val="376FAA"/>
            <w:kern w:val="0"/>
            <w:sz w:val="24"/>
            <w:szCs w:val="24"/>
            <w:u w:val="single"/>
            <w:shd w:val="clear" w:color="auto" w:fill="FFFFFF"/>
            <w14:ligatures w14:val="none"/>
          </w:rPr>
          <w:t>32720330</w:t>
        </w:r>
      </w:hyperlink>
      <w:r w:rsidRPr="00117FA4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(use Table 2 for points scale). The VCI currently uses the 2015 ACMG/AMP criteria combinations for pathogenicity classifications. In curations where the VCI classification is different from the Bayesian interpretation, curators will have to manually modify the classification.</w:t>
      </w:r>
    </w:p>
    <w:p w14:paraId="44BD317F" w14:textId="1A182CF0" w:rsidR="00117FA4" w:rsidRPr="00117FA4" w:rsidRDefault="00117FA4" w:rsidP="00117FA4">
      <w:pPr>
        <w:spacing w:line="240" w:lineRule="auto"/>
        <w:ind w:left="-1" w:hang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17FA4">
        <w:rPr>
          <w:rFonts w:ascii="Times New Roman" w:eastAsia="Times New Roman" w:hAnsi="Times New Roman" w:cs="Times New Roman"/>
          <w:noProof/>
          <w:kern w:val="0"/>
          <w:sz w:val="24"/>
          <w:szCs w:val="24"/>
          <w:bdr w:val="none" w:sz="0" w:space="0" w:color="auto" w:frame="1"/>
          <w14:ligatures w14:val="none"/>
        </w:rPr>
        <w:drawing>
          <wp:inline distT="0" distB="0" distL="0" distR="0" wp14:anchorId="6313FEF3" wp14:editId="1128AE9C">
            <wp:extent cx="3977640" cy="2667000"/>
            <wp:effectExtent l="0" t="0" r="3810" b="0"/>
            <wp:docPr id="1806913446" name="Picture 2" descr="A table of tex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913446" name="Picture 2" descr="A table of text with black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64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09C2C" w14:textId="6FBBFE50" w:rsidR="00E64EB3" w:rsidRDefault="00117FA4" w:rsidP="00117FA4">
      <w:r w:rsidRPr="00117F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117FA4">
        <w:rPr>
          <w:rFonts w:ascii="Times New Roman" w:eastAsia="Times New Roman" w:hAnsi="Times New Roman" w:cs="Times New Roman"/>
          <w:noProof/>
          <w:kern w:val="0"/>
          <w:sz w:val="24"/>
          <w:szCs w:val="24"/>
          <w:bdr w:val="none" w:sz="0" w:space="0" w:color="auto" w:frame="1"/>
          <w14:ligatures w14:val="none"/>
        </w:rPr>
        <w:drawing>
          <wp:inline distT="0" distB="0" distL="0" distR="0" wp14:anchorId="60BF5396" wp14:editId="26F6952F">
            <wp:extent cx="3977640" cy="3352800"/>
            <wp:effectExtent l="0" t="0" r="3810" b="0"/>
            <wp:docPr id="1473701432" name="Picture 1" descr="A table with text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701432" name="Picture 1" descr="A table with text and numbe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64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17FA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sectPr w:rsidR="00E64E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FA4"/>
    <w:rsid w:val="00117FA4"/>
    <w:rsid w:val="00E64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79101"/>
  <w15:chartTrackingRefBased/>
  <w15:docId w15:val="{938918BA-D58D-45E2-ADAC-EFFDE8529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17F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117FA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0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www.ncbi.nlm.nih.gov/pubmed/32720330" TargetMode="External"/><Relationship Id="rId4" Type="http://schemas.openxmlformats.org/officeDocument/2006/relationships/hyperlink" Target="https://pubmed.ncbi.nlm.nih.gov/29300386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Meredith Weaver</dc:creator>
  <cp:keywords/>
  <dc:description/>
  <cp:lastModifiedBy>Meredith Weaver</cp:lastModifiedBy>
  <cp:revision>1</cp:revision>
  <dcterms:created xsi:type="dcterms:W3CDTF">2023-07-20T12:39:00Z</dcterms:created>
  <dcterms:modified xsi:type="dcterms:W3CDTF">2023-07-20T12:41:00Z</dcterms:modified>
</cp:coreProperties>
</file>