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4"/>
        <w:gridCol w:w="2235"/>
        <w:gridCol w:w="1928"/>
      </w:tblGrid>
      <w:tr w:rsidR="008A14EB" w:rsidRPr="008A14EB" w14:paraId="256737A0" w14:textId="77777777" w:rsidTr="0045475E">
        <w:trPr>
          <w:trHeight w:val="44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D88718" w14:textId="5E193D2A" w:rsidR="008A14EB" w:rsidRPr="008A14EB" w:rsidRDefault="008A14EB" w:rsidP="0045475E">
            <w:pPr>
              <w:jc w:val="center"/>
            </w:pPr>
            <w:r w:rsidRPr="008A14EB">
              <w:rPr>
                <w:b/>
                <w:bCs/>
              </w:rPr>
              <w:t xml:space="preserve">Classification/Zygosity of </w:t>
            </w:r>
            <w:proofErr w:type="gramStart"/>
            <w:r w:rsidRPr="008A14EB">
              <w:rPr>
                <w:b/>
                <w:bCs/>
              </w:rPr>
              <w:t>other</w:t>
            </w:r>
            <w:proofErr w:type="gramEnd"/>
            <w:r w:rsidRPr="008A14EB">
              <w:rPr>
                <w:b/>
                <w:bCs/>
              </w:rPr>
              <w:t xml:space="preserve"> variant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374DE" w14:textId="55BE249E" w:rsidR="008A14EB" w:rsidRPr="008A14EB" w:rsidRDefault="008A14EB" w:rsidP="008A14EB">
            <w:r w:rsidRPr="008A14EB">
              <w:rPr>
                <w:b/>
                <w:bCs/>
              </w:rPr>
              <w:t>Points per Proband</w:t>
            </w:r>
            <w:r w:rsidR="00B5675C">
              <w:rPr>
                <w:b/>
                <w:bCs/>
              </w:rPr>
              <w:t>-Family*</w:t>
            </w:r>
          </w:p>
        </w:tc>
      </w:tr>
      <w:tr w:rsidR="008A14EB" w:rsidRPr="008A14EB" w14:paraId="3A67E53F" w14:textId="77777777" w:rsidTr="008A14EB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CDB9D7" w14:textId="77777777" w:rsidR="008A14EB" w:rsidRPr="008A14EB" w:rsidRDefault="008A14EB" w:rsidP="008A14EB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F0FE0" w14:textId="77777777" w:rsidR="008A14EB" w:rsidRPr="008A14EB" w:rsidRDefault="008A14EB" w:rsidP="008A14EB">
            <w:r w:rsidRPr="008A14EB">
              <w:rPr>
                <w:b/>
                <w:bCs/>
              </w:rPr>
              <w:t xml:space="preserve">Confirmed </w:t>
            </w:r>
            <w:r w:rsidRPr="008A14EB">
              <w:rPr>
                <w:b/>
                <w:bCs/>
                <w:i/>
                <w:iCs/>
              </w:rPr>
              <w:t>in trans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0C2A5" w14:textId="77777777" w:rsidR="008A14EB" w:rsidRPr="008A14EB" w:rsidRDefault="008A14EB" w:rsidP="008A14EB">
            <w:r w:rsidRPr="008A14EB">
              <w:rPr>
                <w:b/>
                <w:bCs/>
              </w:rPr>
              <w:t>Phase unknown</w:t>
            </w:r>
          </w:p>
        </w:tc>
      </w:tr>
      <w:tr w:rsidR="008A14EB" w:rsidRPr="008A14EB" w14:paraId="7FA432C6" w14:textId="77777777" w:rsidTr="008A14E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2694B" w14:textId="77777777" w:rsidR="008A14EB" w:rsidRPr="008A14EB" w:rsidRDefault="008A14EB" w:rsidP="008A14EB">
            <w:r w:rsidRPr="008A14EB">
              <w:t>Pathogenic or Likely pathogenic variant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E400F" w14:textId="77777777" w:rsidR="008A14EB" w:rsidRPr="008A14EB" w:rsidRDefault="008A14EB" w:rsidP="008A14EB">
            <w:r w:rsidRPr="008A14EB">
              <w:t>1.0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C42D0" w14:textId="77777777" w:rsidR="008A14EB" w:rsidRPr="008A14EB" w:rsidRDefault="008A14EB" w:rsidP="008A14EB">
            <w:r w:rsidRPr="008A14EB">
              <w:t>0.5 (P)</w:t>
            </w:r>
          </w:p>
          <w:p w14:paraId="07EBE45B" w14:textId="77777777" w:rsidR="008A14EB" w:rsidRPr="008A14EB" w:rsidRDefault="008A14EB" w:rsidP="008A14EB">
            <w:r w:rsidRPr="008A14EB">
              <w:t>0.25 (LP)</w:t>
            </w:r>
          </w:p>
        </w:tc>
      </w:tr>
      <w:tr w:rsidR="008A14EB" w:rsidRPr="008A14EB" w14:paraId="253E253D" w14:textId="77777777" w:rsidTr="008A14E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CCD37" w14:textId="0D461C73" w:rsidR="008A14EB" w:rsidRPr="008A14EB" w:rsidRDefault="008A14EB" w:rsidP="008A14EB">
            <w:r w:rsidRPr="008A14EB">
              <w:t>Homozygous occurrence</w:t>
            </w:r>
          </w:p>
          <w:p w14:paraId="0C99976B" w14:textId="77777777" w:rsidR="008A14EB" w:rsidRPr="008A14EB" w:rsidRDefault="008A14EB" w:rsidP="008A14EB"/>
          <w:p w14:paraId="7B528E94" w14:textId="5AE628BA" w:rsidR="008A14EB" w:rsidRPr="008A14EB" w:rsidRDefault="008A14EB" w:rsidP="008A14EB">
            <w:r w:rsidRPr="008A14EB">
              <w:t>Non-consanguineous</w:t>
            </w:r>
            <w:r w:rsidR="00C161B3">
              <w:t>*</w:t>
            </w:r>
            <w:r w:rsidR="00B5675C">
              <w:t>*</w:t>
            </w:r>
            <w:r w:rsidRPr="008A14EB">
              <w:t xml:space="preserve"> </w:t>
            </w:r>
            <w:r w:rsidRPr="008A14EB">
              <w:rPr>
                <w:i/>
                <w:iCs/>
              </w:rPr>
              <w:t>(no 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4F07D" w14:textId="194BD960" w:rsidR="008A14EB" w:rsidRPr="008A14EB" w:rsidRDefault="008A14EB" w:rsidP="008A14EB">
            <w:r w:rsidRPr="008A14EB">
              <w:t>1.0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52A8D" w14:textId="77777777" w:rsidR="008A14EB" w:rsidRPr="008A14EB" w:rsidRDefault="008A14EB" w:rsidP="008A14EB">
            <w:r w:rsidRPr="008A14EB">
              <w:t>1.0</w:t>
            </w:r>
          </w:p>
        </w:tc>
      </w:tr>
      <w:tr w:rsidR="008A14EB" w:rsidRPr="008A14EB" w14:paraId="760D4DB0" w14:textId="77777777" w:rsidTr="008A14E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7499C" w14:textId="7A8FAE1E" w:rsidR="008A14EB" w:rsidRPr="008A14EB" w:rsidRDefault="008A14EB" w:rsidP="008A14EB">
            <w:r w:rsidRPr="008A14EB">
              <w:t>Homozygous occurrence</w:t>
            </w:r>
          </w:p>
          <w:p w14:paraId="6A3FC534" w14:textId="77777777" w:rsidR="008A14EB" w:rsidRPr="008A14EB" w:rsidRDefault="008A14EB" w:rsidP="008A14EB"/>
          <w:p w14:paraId="2B7D4C6F" w14:textId="4AB5412F" w:rsidR="008A14EB" w:rsidRPr="008A14EB" w:rsidRDefault="008A14EB" w:rsidP="008A14EB">
            <w:r w:rsidRPr="008A14EB">
              <w:t>Consanguineous</w:t>
            </w:r>
            <w:r w:rsidR="00C161B3">
              <w:t>*</w:t>
            </w:r>
            <w:r w:rsidR="00B5675C">
              <w:t>*</w:t>
            </w:r>
            <w:r w:rsidRPr="008A14EB">
              <w:t xml:space="preserve"> </w:t>
            </w:r>
            <w:r w:rsidRPr="008A14EB">
              <w:rPr>
                <w:i/>
                <w:iCs/>
              </w:rPr>
              <w:t>(no max)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A116D" w14:textId="77777777" w:rsidR="008A14EB" w:rsidRPr="008A14EB" w:rsidRDefault="008A14EB" w:rsidP="008A14EB">
            <w:r w:rsidRPr="008A14EB">
              <w:t>0.5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B2092" w14:textId="77777777" w:rsidR="008A14EB" w:rsidRPr="008A14EB" w:rsidRDefault="008A14EB" w:rsidP="008A14EB">
            <w:r w:rsidRPr="008A14EB">
              <w:t>0.5</w:t>
            </w:r>
          </w:p>
        </w:tc>
      </w:tr>
      <w:tr w:rsidR="008A14EB" w:rsidRPr="008A14EB" w14:paraId="3F7408E8" w14:textId="77777777" w:rsidTr="008A14E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A5DAB" w14:textId="77777777" w:rsidR="008A14EB" w:rsidRPr="008A14EB" w:rsidRDefault="008A14EB" w:rsidP="008A14EB">
            <w:r w:rsidRPr="008A14EB">
              <w:t>Uncertain significance variant</w:t>
            </w:r>
          </w:p>
          <w:p w14:paraId="469873F7" w14:textId="77777777" w:rsidR="008A14EB" w:rsidRPr="008A14EB" w:rsidRDefault="008A14EB" w:rsidP="008A14EB">
            <w:r w:rsidRPr="008A14EB">
              <w:rPr>
                <w:i/>
                <w:iCs/>
              </w:rPr>
              <w:t>(max point 0.5)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59488" w14:textId="77777777" w:rsidR="008A14EB" w:rsidRPr="008A14EB" w:rsidRDefault="008A14EB" w:rsidP="008A14EB">
            <w:r w:rsidRPr="008A14EB">
              <w:t>0.25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02263" w14:textId="77777777" w:rsidR="008A14EB" w:rsidRPr="008A14EB" w:rsidRDefault="008A14EB" w:rsidP="008A14EB">
            <w:r w:rsidRPr="008A14EB">
              <w:t>0</w:t>
            </w:r>
          </w:p>
        </w:tc>
      </w:tr>
    </w:tbl>
    <w:p w14:paraId="2D659507" w14:textId="31F33933" w:rsidR="00B5675C" w:rsidRDefault="00B5675C" w:rsidP="00B5675C">
      <w:r>
        <w:t>* M</w:t>
      </w:r>
      <w:r w:rsidR="008A14EB" w:rsidRPr="008A14EB">
        <w:t>ultiple probands from separate nuclear families that are later found to have identity-by-descent should only be counted once</w:t>
      </w:r>
      <w:r>
        <w:t>.</w:t>
      </w:r>
    </w:p>
    <w:p w14:paraId="5838E117" w14:textId="11EEB18E" w:rsidR="00606935" w:rsidRDefault="00B5675C">
      <w:r>
        <w:t>*</w:t>
      </w:r>
      <w:r w:rsidR="00C161B3">
        <w:t xml:space="preserve">* </w:t>
      </w:r>
      <w:r w:rsidR="003055FB">
        <w:t>When</w:t>
      </w:r>
      <w:r w:rsidR="00C161B3">
        <w:t xml:space="preserve"> consanguinity is not known or reported: </w:t>
      </w:r>
      <w:r w:rsidR="007E4E88">
        <w:t xml:space="preserve">if family IS NOT from a bottlenecked population (as defined by gnomAD), assume non-consanguinity; otherwise, assume consanguinity.  If </w:t>
      </w:r>
      <w:r w:rsidR="00EC230C">
        <w:t>genetic ancestry</w:t>
      </w:r>
      <w:r w:rsidR="007C0A88">
        <w:t xml:space="preserve"> </w:t>
      </w:r>
      <w:r w:rsidR="007E4E88">
        <w:t xml:space="preserve">of the family cannot be </w:t>
      </w:r>
      <w:r>
        <w:t>determined, assume consanguinity.</w:t>
      </w:r>
    </w:p>
    <w:p w14:paraId="29D64613" w14:textId="77777777" w:rsidR="00C161B3" w:rsidRDefault="00C161B3"/>
    <w:p w14:paraId="2535F16B" w14:textId="2B3CE930" w:rsidR="008A14EB" w:rsidRDefault="008A14EB">
      <w:r>
        <w:rPr>
          <w:rFonts w:ascii="Calibri" w:hAnsi="Calibri" w:cs="Calibri"/>
          <w:noProof/>
          <w:color w:val="0070C0"/>
          <w:bdr w:val="none" w:sz="0" w:space="0" w:color="auto" w:frame="1"/>
        </w:rPr>
        <w:drawing>
          <wp:inline distT="0" distB="0" distL="0" distR="0" wp14:anchorId="551D03E2" wp14:editId="5C9D1FD3">
            <wp:extent cx="4309745" cy="525145"/>
            <wp:effectExtent l="0" t="0" r="0" b="0"/>
            <wp:docPr id="98758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745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3F7AB" w14:textId="77777777" w:rsidR="008A14EB" w:rsidRDefault="008A14EB"/>
    <w:p w14:paraId="62D4EF1B" w14:textId="5DBA35B3" w:rsidR="008A14EB" w:rsidRDefault="008A14EB">
      <w:r>
        <w:t>SVI Comments:</w:t>
      </w:r>
    </w:p>
    <w:p w14:paraId="2B35594A" w14:textId="77777777" w:rsidR="008A14EB" w:rsidRDefault="008A14EB" w:rsidP="008A14EB">
      <w:pPr>
        <w:numPr>
          <w:ilvl w:val="0"/>
          <w:numId w:val="1"/>
        </w:numPr>
      </w:pPr>
      <w:r w:rsidRPr="008A14EB">
        <w:t>Prefer N/A to repeating the 1.0 and 0.5</w:t>
      </w:r>
    </w:p>
    <w:p w14:paraId="323E937D" w14:textId="77777777" w:rsidR="008A14EB" w:rsidRDefault="008A14EB" w:rsidP="008A14EB">
      <w:pPr>
        <w:ind w:left="720"/>
      </w:pPr>
    </w:p>
    <w:p w14:paraId="333B9B1A" w14:textId="14FDAA6B" w:rsidR="008A14EB" w:rsidRPr="008A14EB" w:rsidRDefault="008A14EB" w:rsidP="008A14EB">
      <w:pPr>
        <w:ind w:left="720"/>
        <w:rPr>
          <w:color w:val="0070C0"/>
        </w:rPr>
      </w:pPr>
      <w:r w:rsidRPr="008A14EB">
        <w:rPr>
          <w:color w:val="0070C0"/>
        </w:rPr>
        <w:t xml:space="preserve">The SCID VCEP deliberated this point.  Our geneticists pointed out that apparent homozygous variants could result from hemizygosity, which </w:t>
      </w:r>
      <w:r>
        <w:rPr>
          <w:color w:val="0070C0"/>
        </w:rPr>
        <w:t>may</w:t>
      </w:r>
      <w:r w:rsidRPr="008A14EB">
        <w:rPr>
          <w:color w:val="0070C0"/>
        </w:rPr>
        <w:t xml:space="preserve"> be undetected if the parents are not sequenced </w:t>
      </w:r>
      <w:r w:rsidRPr="008A14EB">
        <w:rPr>
          <w:i/>
          <w:iCs/>
          <w:color w:val="0070C0"/>
        </w:rPr>
        <w:t>(i.e.</w:t>
      </w:r>
      <w:r w:rsidRPr="008A14EB">
        <w:rPr>
          <w:color w:val="0070C0"/>
        </w:rPr>
        <w:t>, “Phase unknown”).  Because of the likelihood that authors may not bother to sequence the parents</w:t>
      </w:r>
      <w:r>
        <w:rPr>
          <w:color w:val="0070C0"/>
        </w:rPr>
        <w:t xml:space="preserve"> </w:t>
      </w:r>
      <w:proofErr w:type="gramStart"/>
      <w:r>
        <w:rPr>
          <w:color w:val="0070C0"/>
        </w:rPr>
        <w:t>in</w:t>
      </w:r>
      <w:proofErr w:type="gramEnd"/>
      <w:r>
        <w:rPr>
          <w:color w:val="0070C0"/>
        </w:rPr>
        <w:t xml:space="preserve"> homozygous situations</w:t>
      </w:r>
      <w:r w:rsidRPr="008A14EB">
        <w:rPr>
          <w:color w:val="0070C0"/>
        </w:rPr>
        <w:t>, especially in older publications, the VCEP experts preferred to leave the numbers in place.</w:t>
      </w:r>
    </w:p>
    <w:p w14:paraId="6E46F189" w14:textId="77777777" w:rsidR="008A14EB" w:rsidRPr="008A14EB" w:rsidRDefault="008A14EB" w:rsidP="008A14EB">
      <w:pPr>
        <w:ind w:left="720"/>
      </w:pPr>
    </w:p>
    <w:p w14:paraId="30893863" w14:textId="77777777" w:rsidR="008A14EB" w:rsidRPr="008A14EB" w:rsidRDefault="008A14EB" w:rsidP="008A14EB">
      <w:pPr>
        <w:numPr>
          <w:ilvl w:val="0"/>
          <w:numId w:val="1"/>
        </w:numPr>
      </w:pPr>
      <w:r w:rsidRPr="008A14EB">
        <w:t>Update “max point 0.5 per family” to “max point 0.5” as in original specs</w:t>
      </w:r>
    </w:p>
    <w:p w14:paraId="0BAFF28E" w14:textId="77777777" w:rsidR="008A14EB" w:rsidRPr="008A14EB" w:rsidRDefault="008A14EB" w:rsidP="008A14EB">
      <w:pPr>
        <w:numPr>
          <w:ilvl w:val="0"/>
          <w:numId w:val="1"/>
        </w:numPr>
      </w:pPr>
      <w:r w:rsidRPr="008A14EB">
        <w:t>Please replace “max point 0.5 per family” from the Homozygous Consanguineous and indicate “no max”. Rationale:</w:t>
      </w:r>
    </w:p>
    <w:p w14:paraId="77F8EE80" w14:textId="77777777" w:rsidR="008A14EB" w:rsidRPr="008A14EB" w:rsidRDefault="008A14EB" w:rsidP="008A14EB">
      <w:pPr>
        <w:numPr>
          <w:ilvl w:val="1"/>
          <w:numId w:val="1"/>
        </w:numPr>
      </w:pPr>
      <w:r w:rsidRPr="008A14EB">
        <w:t>“</w:t>
      </w:r>
      <w:proofErr w:type="gramStart"/>
      <w:r w:rsidRPr="008A14EB">
        <w:t>per</w:t>
      </w:r>
      <w:proofErr w:type="gramEnd"/>
      <w:r w:rsidRPr="008A14EB">
        <w:t xml:space="preserve"> proband” is a rule for the whole table in general (per the table title) </w:t>
      </w:r>
    </w:p>
    <w:p w14:paraId="6354FB4B" w14:textId="113990C0" w:rsidR="008A14EB" w:rsidRDefault="008A14EB" w:rsidP="008A14EB">
      <w:pPr>
        <w:numPr>
          <w:ilvl w:val="1"/>
          <w:numId w:val="1"/>
        </w:numPr>
      </w:pPr>
      <w:r w:rsidRPr="008A14EB">
        <w:lastRenderedPageBreak/>
        <w:t>Multiple cases per family will inherently be counted as PP1 instead of multiple PM3s</w:t>
      </w:r>
    </w:p>
    <w:p w14:paraId="41AEDADE" w14:textId="77777777" w:rsidR="008A14EB" w:rsidRDefault="008A14EB" w:rsidP="008A14EB">
      <w:pPr>
        <w:pStyle w:val="ListParagraph"/>
        <w:rPr>
          <w:color w:val="0070C0"/>
        </w:rPr>
      </w:pPr>
    </w:p>
    <w:p w14:paraId="79A95A56" w14:textId="742D1DF0" w:rsidR="008A14EB" w:rsidRPr="008A14EB" w:rsidRDefault="008A14EB" w:rsidP="008A14EB">
      <w:pPr>
        <w:pStyle w:val="ListParagraph"/>
        <w:rPr>
          <w:color w:val="0070C0"/>
        </w:rPr>
      </w:pPr>
      <w:proofErr w:type="gramStart"/>
      <w:r>
        <w:rPr>
          <w:color w:val="0070C0"/>
        </w:rPr>
        <w:t>The SCID</w:t>
      </w:r>
      <w:proofErr w:type="gramEnd"/>
      <w:r>
        <w:rPr>
          <w:color w:val="0070C0"/>
        </w:rPr>
        <w:t xml:space="preserve"> VCEP agreed and made </w:t>
      </w:r>
      <w:proofErr w:type="gramStart"/>
      <w:r>
        <w:rPr>
          <w:color w:val="0070C0"/>
        </w:rPr>
        <w:t>the changes</w:t>
      </w:r>
      <w:proofErr w:type="gramEnd"/>
      <w:r>
        <w:rPr>
          <w:color w:val="0070C0"/>
        </w:rPr>
        <w:t xml:space="preserve"> to the table.</w:t>
      </w:r>
      <w:r w:rsidR="00B5675C">
        <w:rPr>
          <w:color w:val="0070C0"/>
        </w:rPr>
        <w:t xml:space="preserve">  To minimize confusion </w:t>
      </w:r>
      <w:r w:rsidR="0044284E">
        <w:rPr>
          <w:color w:val="0070C0"/>
        </w:rPr>
        <w:t xml:space="preserve">for biocurators and experts </w:t>
      </w:r>
      <w:r w:rsidR="00B5675C">
        <w:rPr>
          <w:color w:val="0070C0"/>
        </w:rPr>
        <w:t>as much as possible</w:t>
      </w:r>
      <w:r w:rsidR="008D02F8">
        <w:rPr>
          <w:color w:val="0070C0"/>
        </w:rPr>
        <w:t xml:space="preserve"> between proper application of PM3 vs. PP1 (</w:t>
      </w:r>
      <w:r w:rsidR="0044284E">
        <w:rPr>
          <w:color w:val="0070C0"/>
        </w:rPr>
        <w:t xml:space="preserve">which we have </w:t>
      </w:r>
      <w:proofErr w:type="gramStart"/>
      <w:r w:rsidR="00E02156">
        <w:rPr>
          <w:color w:val="0070C0"/>
        </w:rPr>
        <w:t xml:space="preserve">definitely </w:t>
      </w:r>
      <w:r w:rsidR="0044284E">
        <w:rPr>
          <w:color w:val="0070C0"/>
        </w:rPr>
        <w:t>observed</w:t>
      </w:r>
      <w:proofErr w:type="gramEnd"/>
      <w:r w:rsidR="00E02156">
        <w:rPr>
          <w:color w:val="0070C0"/>
        </w:rPr>
        <w:t>,</w:t>
      </w:r>
      <w:r w:rsidR="0044284E">
        <w:rPr>
          <w:color w:val="0070C0"/>
        </w:rPr>
        <w:t xml:space="preserve"> even </w:t>
      </w:r>
      <w:r w:rsidR="00E02156">
        <w:rPr>
          <w:color w:val="0070C0"/>
        </w:rPr>
        <w:t>in</w:t>
      </w:r>
      <w:r w:rsidR="0044284E">
        <w:rPr>
          <w:color w:val="0070C0"/>
        </w:rPr>
        <w:t xml:space="preserve"> sustained curation</w:t>
      </w:r>
      <w:r w:rsidR="00E02156">
        <w:rPr>
          <w:color w:val="0070C0"/>
        </w:rPr>
        <w:t>s</w:t>
      </w:r>
      <w:r w:rsidR="008D02F8">
        <w:rPr>
          <w:color w:val="0070C0"/>
        </w:rPr>
        <w:t>)</w:t>
      </w:r>
      <w:r w:rsidR="0044284E">
        <w:rPr>
          <w:color w:val="0070C0"/>
        </w:rPr>
        <w:t xml:space="preserve">, </w:t>
      </w:r>
      <w:r w:rsidR="00B5675C">
        <w:rPr>
          <w:color w:val="0070C0"/>
        </w:rPr>
        <w:t>we changed “Proband” to “Proband-Family”</w:t>
      </w:r>
      <w:r w:rsidR="0044284E">
        <w:rPr>
          <w:color w:val="0070C0"/>
        </w:rPr>
        <w:t>.</w:t>
      </w:r>
    </w:p>
    <w:p w14:paraId="17733E2D" w14:textId="77777777" w:rsidR="008A14EB" w:rsidRPr="008A14EB" w:rsidRDefault="008A14EB" w:rsidP="008A14EB">
      <w:pPr>
        <w:ind w:left="1440"/>
      </w:pPr>
    </w:p>
    <w:p w14:paraId="77EDE306" w14:textId="77777777" w:rsidR="008A14EB" w:rsidRPr="008A14EB" w:rsidRDefault="008A14EB" w:rsidP="008A14EB">
      <w:pPr>
        <w:numPr>
          <w:ilvl w:val="0"/>
          <w:numId w:val="1"/>
        </w:numPr>
      </w:pPr>
      <w:r w:rsidRPr="008A14EB">
        <w:t>What to do if you don’t know about consanguinity</w:t>
      </w:r>
    </w:p>
    <w:p w14:paraId="7C98CE85" w14:textId="77777777" w:rsidR="008A14EB" w:rsidRDefault="008A14EB" w:rsidP="007E4E88">
      <w:pPr>
        <w:ind w:left="720"/>
      </w:pPr>
    </w:p>
    <w:p w14:paraId="2CF71109" w14:textId="663710C0" w:rsidR="008A14EB" w:rsidRPr="007E4E88" w:rsidRDefault="007E4E88" w:rsidP="007E4E88">
      <w:pPr>
        <w:ind w:left="720"/>
        <w:rPr>
          <w:color w:val="0070C0"/>
        </w:rPr>
      </w:pPr>
      <w:r w:rsidRPr="007E4E88">
        <w:rPr>
          <w:color w:val="0070C0"/>
        </w:rPr>
        <w:t xml:space="preserve">The VCEP decided to </w:t>
      </w:r>
      <w:r w:rsidR="00EC230C">
        <w:rPr>
          <w:color w:val="0070C0"/>
        </w:rPr>
        <w:t>use</w:t>
      </w:r>
      <w:r>
        <w:rPr>
          <w:color w:val="0070C0"/>
        </w:rPr>
        <w:t xml:space="preserve"> gnomAD </w:t>
      </w:r>
      <w:r w:rsidR="00EC230C">
        <w:rPr>
          <w:color w:val="0070C0"/>
        </w:rPr>
        <w:t xml:space="preserve">definitions </w:t>
      </w:r>
      <w:r>
        <w:rPr>
          <w:color w:val="0070C0"/>
        </w:rPr>
        <w:t xml:space="preserve">to </w:t>
      </w:r>
      <w:r w:rsidR="00E02156">
        <w:rPr>
          <w:color w:val="0070C0"/>
        </w:rPr>
        <w:t>specify</w:t>
      </w:r>
      <w:r>
        <w:rPr>
          <w:color w:val="0070C0"/>
        </w:rPr>
        <w:t xml:space="preserve"> assumption of non-consanguinity for families from non-bottlenecked populations</w:t>
      </w:r>
      <w:r w:rsidR="00E02156">
        <w:rPr>
          <w:color w:val="0070C0"/>
        </w:rPr>
        <w:t xml:space="preserve"> and assumption of consanguinity otherwise</w:t>
      </w:r>
      <w:r w:rsidR="00B5675C">
        <w:rPr>
          <w:color w:val="0070C0"/>
        </w:rPr>
        <w:t>.  A footnote was added to the Table.</w:t>
      </w:r>
    </w:p>
    <w:p w14:paraId="6AEB36AB" w14:textId="77777777" w:rsidR="008A14EB" w:rsidRDefault="008A14EB" w:rsidP="007E4E88">
      <w:pPr>
        <w:ind w:left="720"/>
      </w:pPr>
    </w:p>
    <w:p w14:paraId="46F554A9" w14:textId="1D5542AA" w:rsidR="008A14EB" w:rsidRDefault="008A14EB" w:rsidP="008A14EB">
      <w:pPr>
        <w:numPr>
          <w:ilvl w:val="0"/>
          <w:numId w:val="1"/>
        </w:numPr>
      </w:pPr>
      <w:r w:rsidRPr="008A14EB">
        <w:t>If the VCEP wishes, they can provide an asterisk footnote that supports the notion that “multiple probands from separate nuclear families that are later found to have identity-by-descent should only be counted once.”</w:t>
      </w:r>
    </w:p>
    <w:p w14:paraId="2535FD2A" w14:textId="77777777" w:rsidR="008A14EB" w:rsidRDefault="008A14EB" w:rsidP="00B5675C">
      <w:pPr>
        <w:ind w:left="720"/>
      </w:pPr>
    </w:p>
    <w:p w14:paraId="19D01EE2" w14:textId="1238D445" w:rsidR="008A14EB" w:rsidRPr="008A14EB" w:rsidRDefault="00B5675C" w:rsidP="00B5675C">
      <w:pPr>
        <w:ind w:left="720"/>
        <w:rPr>
          <w:color w:val="0070C0"/>
        </w:rPr>
      </w:pPr>
      <w:r>
        <w:rPr>
          <w:color w:val="0070C0"/>
        </w:rPr>
        <w:t>We added this footnote to the Table.</w:t>
      </w:r>
    </w:p>
    <w:p w14:paraId="03C357F7" w14:textId="77777777" w:rsidR="008A14EB" w:rsidRDefault="008A14EB"/>
    <w:sectPr w:rsidR="008A1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C7521"/>
    <w:multiLevelType w:val="hybridMultilevel"/>
    <w:tmpl w:val="658AD766"/>
    <w:lvl w:ilvl="0" w:tplc="E438BA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248D4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AEE1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5E3D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0072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EC57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1C6E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388A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7EBC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7B65867"/>
    <w:multiLevelType w:val="hybridMultilevel"/>
    <w:tmpl w:val="18886888"/>
    <w:lvl w:ilvl="0" w:tplc="779C15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934319">
    <w:abstractNumId w:val="0"/>
  </w:num>
  <w:num w:numId="2" w16cid:durableId="235360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4EB"/>
    <w:rsid w:val="00092051"/>
    <w:rsid w:val="00261D9B"/>
    <w:rsid w:val="002F0CE7"/>
    <w:rsid w:val="003055FB"/>
    <w:rsid w:val="0044284E"/>
    <w:rsid w:val="0045475E"/>
    <w:rsid w:val="00557FA4"/>
    <w:rsid w:val="00606935"/>
    <w:rsid w:val="006C1816"/>
    <w:rsid w:val="007C0A88"/>
    <w:rsid w:val="007E4E88"/>
    <w:rsid w:val="008A14EB"/>
    <w:rsid w:val="008D02F8"/>
    <w:rsid w:val="00960A38"/>
    <w:rsid w:val="00A42334"/>
    <w:rsid w:val="00A4343B"/>
    <w:rsid w:val="00B10ED7"/>
    <w:rsid w:val="00B5675C"/>
    <w:rsid w:val="00B77BD5"/>
    <w:rsid w:val="00B91768"/>
    <w:rsid w:val="00C161B3"/>
    <w:rsid w:val="00C75BC7"/>
    <w:rsid w:val="00DB3A44"/>
    <w:rsid w:val="00E02156"/>
    <w:rsid w:val="00EC230C"/>
    <w:rsid w:val="00EF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2C2DE"/>
  <w15:chartTrackingRefBased/>
  <w15:docId w15:val="{B401748E-16C5-4FE9-82B3-E6D91993F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4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4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4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4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4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4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4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4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21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443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309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134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10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68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641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350</Words>
  <Characters>1977</Characters>
  <Application>Microsoft Office Word</Application>
  <DocSecurity>0</DocSecurity>
  <Lines>65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Chinn, Ivan Kingyue</dc:creator>
  <cp:keywords/>
  <dc:description/>
  <cp:lastModifiedBy>Sulit, Monica Corpuz</cp:lastModifiedBy>
  <cp:revision>1</cp:revision>
  <dcterms:created xsi:type="dcterms:W3CDTF">2025-11-11T16:11:00Z</dcterms:created>
  <dcterms:modified xsi:type="dcterms:W3CDTF">2025-12-12T19:48:00Z</dcterms:modified>
</cp:coreProperties>
</file>