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D8E3B" w14:textId="77777777" w:rsidR="00CD5097" w:rsidRPr="001E701B" w:rsidRDefault="00CD5097" w:rsidP="00CD5097">
      <w:pPr>
        <w:rPr>
          <w:b/>
          <w:bCs/>
          <w:u w:val="single"/>
        </w:rPr>
      </w:pPr>
      <w:r w:rsidRPr="001E701B">
        <w:rPr>
          <w:b/>
          <w:bCs/>
          <w:u w:val="single"/>
        </w:rPr>
        <w:t xml:space="preserve">Data and citations related to </w:t>
      </w:r>
      <w:proofErr w:type="gramStart"/>
      <w:r w:rsidRPr="001E701B">
        <w:rPr>
          <w:b/>
          <w:bCs/>
          <w:u w:val="single"/>
        </w:rPr>
        <w:t>PM1</w:t>
      </w:r>
      <w:proofErr w:type="gramEnd"/>
    </w:p>
    <w:p w14:paraId="77D666D0" w14:textId="77777777" w:rsidR="00CD5097" w:rsidRPr="001E701B" w:rsidRDefault="00CD5097" w:rsidP="00CD5097">
      <w:r w:rsidRPr="001E701B">
        <w:t>Amino acid residues in BMPR2 indispensable to function</w:t>
      </w:r>
    </w:p>
    <w:p w14:paraId="773343A7" w14:textId="77777777" w:rsidR="00CD5097" w:rsidRPr="001E701B" w:rsidRDefault="00CD5097" w:rsidP="00CD5097">
      <w:pPr>
        <w:ind w:firstLine="0"/>
      </w:pPr>
      <w:r w:rsidRPr="001E701B">
        <w:t>Extracellular domain</w:t>
      </w:r>
    </w:p>
    <w:p w14:paraId="04B754E2" w14:textId="77777777" w:rsidR="00CD5097" w:rsidRDefault="00CD5097" w:rsidP="00CD5097">
      <w:r>
        <w:rPr>
          <w:noProof/>
        </w:rPr>
        <w:drawing>
          <wp:inline distT="0" distB="0" distL="0" distR="0" wp14:anchorId="2A55702F" wp14:editId="2ABD7AD7">
            <wp:extent cx="5731510" cy="3300730"/>
            <wp:effectExtent l="0" t="0" r="254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300730"/>
                    </a:xfrm>
                    <a:prstGeom prst="rect">
                      <a:avLst/>
                    </a:prstGeom>
                  </pic:spPr>
                </pic:pic>
              </a:graphicData>
            </a:graphic>
          </wp:inline>
        </w:drawing>
      </w:r>
    </w:p>
    <w:p w14:paraId="08401548" w14:textId="77777777" w:rsidR="00CD5097" w:rsidRDefault="00CD5097" w:rsidP="00CD5097"/>
    <w:p w14:paraId="1D7D20F5" w14:textId="77777777" w:rsidR="00CD5097" w:rsidRDefault="00CD5097" w:rsidP="00CD5097">
      <w:r>
        <w:t xml:space="preserve">These are the 10 invariant cysteine residues in the BMPR2 ECD required for correct folding. ‘In vitro mutagenesis and X-crystallography studies identified 10 cysteine residues conserved across the related type II BMP, MIS, and activin receptors, each of which is necessary for receptor ligand protein folding of the ligand domain’ [Greenwald et al., 1999, Machado et al., 2006]. FPAH-causing missense mutations </w:t>
      </w:r>
      <w:proofErr w:type="gramStart"/>
      <w:r>
        <w:t>have</w:t>
      </w:r>
      <w:proofErr w:type="gramEnd"/>
      <w:r>
        <w:t xml:space="preserve"> now been identified for all of the 10 cysteine residues, and of those studied by transient transfection of GFP- or </w:t>
      </w:r>
      <w:proofErr w:type="spellStart"/>
      <w:r>
        <w:t>myc</w:t>
      </w:r>
      <w:proofErr w:type="spellEnd"/>
      <w:r>
        <w:t>-tagged BMPR2 constructs, each appears to lead to significant protein misfolding and/or cytoplasmic retention [Nishihara et al. 2002,</w:t>
      </w:r>
      <w:r w:rsidRPr="00B95868">
        <w:t xml:space="preserve"> </w:t>
      </w:r>
      <w:proofErr w:type="spellStart"/>
      <w:r w:rsidRPr="00B95868">
        <w:t>Rudarakanchana</w:t>
      </w:r>
      <w:proofErr w:type="spellEnd"/>
      <w:r w:rsidRPr="00B95868">
        <w:t xml:space="preserve"> et al., 2002</w:t>
      </w:r>
      <w:r>
        <w:t>].</w:t>
      </w:r>
    </w:p>
    <w:p w14:paraId="64661A83" w14:textId="77777777" w:rsidR="00CD5097" w:rsidRDefault="00CD5097" w:rsidP="00CD5097"/>
    <w:p w14:paraId="3C1406AE" w14:textId="77777777" w:rsidR="00CD5097" w:rsidRDefault="00CD5097" w:rsidP="00CD5097">
      <w:pPr>
        <w:rPr>
          <w:u w:val="single"/>
        </w:rPr>
      </w:pPr>
      <w:r w:rsidRPr="00E641B5">
        <w:rPr>
          <w:u w:val="single"/>
        </w:rPr>
        <w:t>Kinase domain</w:t>
      </w:r>
    </w:p>
    <w:p w14:paraId="67511B0C" w14:textId="77777777" w:rsidR="00CD5097" w:rsidRDefault="00CD5097" w:rsidP="00CD5097">
      <w:r>
        <w:t>S</w:t>
      </w:r>
      <w:r w:rsidRPr="00E641B5">
        <w:t>tructural and functional data have</w:t>
      </w:r>
      <w:r>
        <w:t xml:space="preserve"> </w:t>
      </w:r>
      <w:r w:rsidRPr="00E641B5">
        <w:t>effectively demonstrated the critical role these amino acids play in</w:t>
      </w:r>
      <w:r>
        <w:t xml:space="preserve"> </w:t>
      </w:r>
      <w:r w:rsidRPr="00E641B5">
        <w:t>receptor activity. For example, the invariant arginine at position</w:t>
      </w:r>
      <w:r>
        <w:t xml:space="preserve"> </w:t>
      </w:r>
      <w:r w:rsidRPr="00E641B5">
        <w:t>491 in BMPR-II is indispensable for signaling, since it forms an ion</w:t>
      </w:r>
      <w:r>
        <w:t xml:space="preserve"> </w:t>
      </w:r>
      <w:r w:rsidRPr="00E641B5">
        <w:t>pair with a highly conserved glutamic acid at position 386 [Zhang</w:t>
      </w:r>
      <w:r>
        <w:t xml:space="preserve"> </w:t>
      </w:r>
      <w:proofErr w:type="gramStart"/>
      <w:r w:rsidRPr="00E641B5">
        <w:t xml:space="preserve">et </w:t>
      </w:r>
      <w:r>
        <w:t xml:space="preserve"> </w:t>
      </w:r>
      <w:r w:rsidRPr="00E641B5">
        <w:t>al.</w:t>
      </w:r>
      <w:proofErr w:type="gramEnd"/>
      <w:r w:rsidRPr="00E641B5">
        <w:t>, 1994</w:t>
      </w:r>
      <w:r>
        <w:t>; Hanks and hunter, 1995</w:t>
      </w:r>
      <w:r w:rsidRPr="00E641B5">
        <w:t>]. Substitution at this codon is the most frequently</w:t>
      </w:r>
      <w:r>
        <w:t xml:space="preserve"> </w:t>
      </w:r>
      <w:r w:rsidRPr="00E641B5">
        <w:t>observed missense mutation in FPAH.</w:t>
      </w:r>
      <w:r>
        <w:t xml:space="preserve"> The following sections provide additional critical residues of the kinase domain based on comparative evolutionary alignment and structural analyses.</w:t>
      </w:r>
    </w:p>
    <w:p w14:paraId="2D879365" w14:textId="77777777" w:rsidR="00CD5097" w:rsidRDefault="00CD5097" w:rsidP="00CD5097">
      <w:pPr>
        <w:rPr>
          <w:b/>
          <w:bCs/>
          <w:color w:val="222222"/>
          <w:u w:val="single"/>
          <w:shd w:val="clear" w:color="auto" w:fill="FFFFFF"/>
        </w:rPr>
      </w:pPr>
    </w:p>
    <w:p w14:paraId="452E6315" w14:textId="77777777" w:rsidR="00CD5097" w:rsidRPr="001220B5" w:rsidRDefault="00CD5097" w:rsidP="00CD5097">
      <w:pPr>
        <w:rPr>
          <w:color w:val="222222"/>
          <w:u w:val="single"/>
          <w:shd w:val="clear" w:color="auto" w:fill="FFFFFF"/>
        </w:rPr>
      </w:pPr>
      <w:r w:rsidRPr="001220B5">
        <w:rPr>
          <w:color w:val="222222"/>
          <w:u w:val="single"/>
          <w:shd w:val="clear" w:color="auto" w:fill="FFFFFF"/>
        </w:rPr>
        <w:t>Invariant and nearly invariant residues by comparative evolutionary EUK sequence alignment</w:t>
      </w:r>
    </w:p>
    <w:p w14:paraId="1F9BEADB" w14:textId="77777777" w:rsidR="00CD5097" w:rsidRPr="001220B5" w:rsidRDefault="00CD5097" w:rsidP="00CD5097">
      <w:pPr>
        <w:rPr>
          <w:color w:val="222222"/>
          <w:u w:val="single"/>
          <w:shd w:val="clear" w:color="auto" w:fill="FFFFFF"/>
        </w:rPr>
      </w:pPr>
      <w:r w:rsidRPr="001220B5">
        <w:rPr>
          <w:color w:val="222222"/>
          <w:u w:val="single"/>
          <w:shd w:val="clear" w:color="auto" w:fill="FFFFFF"/>
        </w:rPr>
        <w:lastRenderedPageBreak/>
        <w:t>Method:</w:t>
      </w:r>
    </w:p>
    <w:p w14:paraId="3B8D9F50" w14:textId="77777777" w:rsidR="00CD5097" w:rsidRDefault="00CD5097" w:rsidP="00CD5097">
      <w:pPr>
        <w:rPr>
          <w:color w:val="222222"/>
          <w:sz w:val="28"/>
          <w:szCs w:val="28"/>
          <w:shd w:val="clear" w:color="auto" w:fill="FFFFFF"/>
        </w:rPr>
      </w:pPr>
      <w:r w:rsidRPr="004A1C52">
        <w:rPr>
          <w:color w:val="222222"/>
          <w:shd w:val="clear" w:color="auto" w:fill="FFFFFF"/>
        </w:rPr>
        <w:t>Sequences from 60 aligned eukaryotic kinases (EUKs), [Hanks and Hunter] were assessed with reference to BMPR</w:t>
      </w:r>
      <w:r>
        <w:rPr>
          <w:color w:val="222222"/>
          <w:shd w:val="clear" w:color="auto" w:fill="FFFFFF"/>
        </w:rPr>
        <w:t>2</w:t>
      </w:r>
      <w:r w:rsidRPr="004A1C52">
        <w:rPr>
          <w:color w:val="222222"/>
          <w:shd w:val="clear" w:color="auto" w:fill="FFFFFF"/>
        </w:rPr>
        <w:t>. An example of KD subdomain I</w:t>
      </w:r>
      <w:r>
        <w:rPr>
          <w:color w:val="222222"/>
          <w:shd w:val="clear" w:color="auto" w:fill="FFFFFF"/>
        </w:rPr>
        <w:t>-V</w:t>
      </w:r>
      <w:r w:rsidRPr="004A1C52">
        <w:rPr>
          <w:color w:val="222222"/>
          <w:shd w:val="clear" w:color="auto" w:fill="FFFFFF"/>
        </w:rPr>
        <w:t xml:space="preserve"> is shown below where invariant residues are in capital letter above the sequence</w:t>
      </w:r>
      <w:r>
        <w:rPr>
          <w:color w:val="222222"/>
          <w:shd w:val="clear" w:color="auto" w:fill="FFFFFF"/>
        </w:rPr>
        <w:t xml:space="preserve">, </w:t>
      </w:r>
      <w:r w:rsidRPr="00A576D8">
        <w:rPr>
          <w:b/>
          <w:bCs/>
          <w:color w:val="222222"/>
          <w:shd w:val="clear" w:color="auto" w:fill="FFFFFF"/>
        </w:rPr>
        <w:t xml:space="preserve">the 12 </w:t>
      </w:r>
      <w:r>
        <w:rPr>
          <w:b/>
          <w:bCs/>
          <w:color w:val="222222"/>
          <w:shd w:val="clear" w:color="auto" w:fill="FFFFFF"/>
        </w:rPr>
        <w:t>in</w:t>
      </w:r>
      <w:r w:rsidRPr="00A576D8">
        <w:rPr>
          <w:b/>
          <w:bCs/>
          <w:color w:val="222222"/>
          <w:shd w:val="clear" w:color="auto" w:fill="FFFFFF"/>
        </w:rPr>
        <w:t>variant and near invariant residues are defined as being conserved in &gt;95% of 370 EUK species</w:t>
      </w:r>
      <w:r>
        <w:rPr>
          <w:color w:val="222222"/>
          <w:sz w:val="28"/>
          <w:szCs w:val="28"/>
          <w:shd w:val="clear" w:color="auto" w:fill="FFFFFF"/>
        </w:rPr>
        <w:t>:</w:t>
      </w:r>
    </w:p>
    <w:p w14:paraId="43258C0A" w14:textId="77777777" w:rsidR="00CD5097" w:rsidRDefault="00CD5097" w:rsidP="00CD5097">
      <w:pPr>
        <w:rPr>
          <w:color w:val="222222"/>
          <w:sz w:val="28"/>
          <w:szCs w:val="28"/>
          <w:shd w:val="clear" w:color="auto" w:fill="FFFFFF"/>
        </w:rPr>
      </w:pPr>
    </w:p>
    <w:p w14:paraId="127A3C85" w14:textId="77777777" w:rsidR="00CD5097" w:rsidRDefault="00CD5097" w:rsidP="00CD5097">
      <w:pPr>
        <w:rPr>
          <w:color w:val="222222"/>
          <w:sz w:val="28"/>
          <w:szCs w:val="28"/>
          <w:shd w:val="clear" w:color="auto" w:fill="FFFFFF"/>
        </w:rPr>
      </w:pPr>
    </w:p>
    <w:p w14:paraId="76706878" w14:textId="77777777" w:rsidR="00CD5097" w:rsidRPr="004A1C52" w:rsidRDefault="00CD5097" w:rsidP="00CD5097">
      <w:pPr>
        <w:rPr>
          <w:color w:val="222222"/>
          <w:sz w:val="28"/>
          <w:szCs w:val="28"/>
          <w:shd w:val="clear" w:color="auto" w:fill="FFFFFF"/>
        </w:rPr>
      </w:pPr>
      <w:r>
        <w:rPr>
          <w:noProof/>
        </w:rPr>
        <w:drawing>
          <wp:inline distT="0" distB="0" distL="0" distR="0" wp14:anchorId="421E53AF" wp14:editId="207D48A7">
            <wp:extent cx="6491605" cy="5840607"/>
            <wp:effectExtent l="0" t="0" r="4445" b="8255"/>
            <wp:docPr id="3" name="Picture 3"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10;&#10;Description automatically generated"/>
                    <pic:cNvPicPr/>
                  </pic:nvPicPr>
                  <pic:blipFill rotWithShape="1">
                    <a:blip r:embed="rId6"/>
                    <a:srcRect l="36458" t="17915" r="14923"/>
                    <a:stretch/>
                  </pic:blipFill>
                  <pic:spPr bwMode="auto">
                    <a:xfrm>
                      <a:off x="0" y="0"/>
                      <a:ext cx="6514232" cy="5860965"/>
                    </a:xfrm>
                    <a:prstGeom prst="rect">
                      <a:avLst/>
                    </a:prstGeom>
                    <a:ln>
                      <a:noFill/>
                    </a:ln>
                    <a:extLst>
                      <a:ext uri="{53640926-AAD7-44D8-BBD7-CCE9431645EC}">
                        <a14:shadowObscured xmlns:a14="http://schemas.microsoft.com/office/drawing/2010/main"/>
                      </a:ext>
                    </a:extLst>
                  </pic:spPr>
                </pic:pic>
              </a:graphicData>
            </a:graphic>
          </wp:inline>
        </w:drawing>
      </w:r>
    </w:p>
    <w:p w14:paraId="5164BF99" w14:textId="77777777" w:rsidR="00CD5097" w:rsidRDefault="00CD5097" w:rsidP="00CD5097">
      <w:pPr>
        <w:rPr>
          <w:b/>
          <w:bCs/>
          <w:color w:val="222222"/>
          <w:sz w:val="28"/>
          <w:szCs w:val="28"/>
          <w:u w:val="single"/>
          <w:shd w:val="clear" w:color="auto" w:fill="FFFFFF"/>
        </w:rPr>
      </w:pPr>
    </w:p>
    <w:p w14:paraId="2117421A" w14:textId="77777777" w:rsidR="00CD5097" w:rsidRDefault="00CD5097" w:rsidP="00CD5097">
      <w:pPr>
        <w:rPr>
          <w:color w:val="222222"/>
          <w:shd w:val="clear" w:color="auto" w:fill="FFFFFF"/>
        </w:rPr>
      </w:pPr>
    </w:p>
    <w:p w14:paraId="144F9A0B" w14:textId="77777777" w:rsidR="00CD5097" w:rsidRDefault="00CD5097" w:rsidP="00CD5097">
      <w:pPr>
        <w:rPr>
          <w:color w:val="222222"/>
          <w:shd w:val="clear" w:color="auto" w:fill="FFFFFF"/>
        </w:rPr>
      </w:pPr>
    </w:p>
    <w:p w14:paraId="4CD54D1F" w14:textId="77777777" w:rsidR="00CD5097" w:rsidRDefault="00CD5097" w:rsidP="00CD5097">
      <w:pPr>
        <w:rPr>
          <w:color w:val="222222"/>
          <w:shd w:val="clear" w:color="auto" w:fill="FFFFFF"/>
        </w:rPr>
      </w:pPr>
    </w:p>
    <w:p w14:paraId="2DFC6FC9" w14:textId="77777777" w:rsidR="00CD5097" w:rsidRDefault="00CD5097" w:rsidP="00CD5097">
      <w:pPr>
        <w:rPr>
          <w:color w:val="222222"/>
          <w:shd w:val="clear" w:color="auto" w:fill="FFFFFF"/>
        </w:rPr>
      </w:pPr>
    </w:p>
    <w:p w14:paraId="48593D79" w14:textId="77777777" w:rsidR="00CD5097" w:rsidRPr="004A1C52" w:rsidRDefault="00CD5097" w:rsidP="00CD5097">
      <w:pPr>
        <w:rPr>
          <w:color w:val="222222"/>
          <w:shd w:val="clear" w:color="auto" w:fill="FFFFFF"/>
        </w:rPr>
      </w:pPr>
      <w:r w:rsidRPr="004A1C52">
        <w:rPr>
          <w:color w:val="222222"/>
          <w:shd w:val="clear" w:color="auto" w:fill="FFFFFF"/>
        </w:rPr>
        <w:t>Next, the two closest evolutionary relatives to BMPR2, namely ACTR</w:t>
      </w:r>
      <w:r>
        <w:rPr>
          <w:color w:val="222222"/>
          <w:shd w:val="clear" w:color="auto" w:fill="FFFFFF"/>
        </w:rPr>
        <w:t>2</w:t>
      </w:r>
      <w:r w:rsidRPr="004A1C52">
        <w:rPr>
          <w:color w:val="222222"/>
          <w:shd w:val="clear" w:color="auto" w:fill="FFFFFF"/>
        </w:rPr>
        <w:t xml:space="preserve"> and TG</w:t>
      </w:r>
      <w:r>
        <w:rPr>
          <w:color w:val="222222"/>
          <w:shd w:val="clear" w:color="auto" w:fill="FFFFFF"/>
        </w:rPr>
        <w:t>F</w:t>
      </w:r>
      <w:r>
        <w:rPr>
          <w:rFonts w:cstheme="minorHAnsi"/>
          <w:color w:val="222222"/>
          <w:shd w:val="clear" w:color="auto" w:fill="FFFFFF"/>
        </w:rPr>
        <w:t>β</w:t>
      </w:r>
      <w:r w:rsidRPr="004A1C52">
        <w:rPr>
          <w:color w:val="222222"/>
          <w:shd w:val="clear" w:color="auto" w:fill="FFFFFF"/>
        </w:rPr>
        <w:t>R</w:t>
      </w:r>
      <w:r>
        <w:rPr>
          <w:color w:val="222222"/>
          <w:shd w:val="clear" w:color="auto" w:fill="FFFFFF"/>
        </w:rPr>
        <w:t>2</w:t>
      </w:r>
      <w:r w:rsidRPr="004A1C52">
        <w:rPr>
          <w:color w:val="222222"/>
          <w:shd w:val="clear" w:color="auto" w:fill="FFFFFF"/>
        </w:rPr>
        <w:t xml:space="preserve"> were aligned to BMPR</w:t>
      </w:r>
      <w:r>
        <w:rPr>
          <w:color w:val="222222"/>
          <w:shd w:val="clear" w:color="auto" w:fill="FFFFFF"/>
        </w:rPr>
        <w:t>2</w:t>
      </w:r>
      <w:r w:rsidRPr="004A1C52">
        <w:rPr>
          <w:color w:val="222222"/>
          <w:shd w:val="clear" w:color="auto" w:fill="FFFFFF"/>
        </w:rPr>
        <w:t xml:space="preserve"> to determine the corresponding residue position (red arrows indicate invariant residues, blue indicate nearly invariant).</w:t>
      </w:r>
    </w:p>
    <w:p w14:paraId="2298216D" w14:textId="77777777" w:rsidR="00CD5097" w:rsidRDefault="00CD5097" w:rsidP="00CD5097">
      <w:pPr>
        <w:rPr>
          <w:color w:val="222222"/>
          <w:sz w:val="28"/>
          <w:szCs w:val="28"/>
          <w:shd w:val="clear" w:color="auto" w:fill="FFFFFF"/>
        </w:rPr>
      </w:pPr>
    </w:p>
    <w:p w14:paraId="41471D9A" w14:textId="77777777" w:rsidR="00CD5097" w:rsidRPr="00B2223F" w:rsidRDefault="00CD5097" w:rsidP="00CD5097">
      <w:pPr>
        <w:rPr>
          <w:color w:val="222222"/>
          <w:sz w:val="28"/>
          <w:szCs w:val="28"/>
          <w:shd w:val="clear" w:color="auto" w:fill="FFFFFF"/>
        </w:rPr>
      </w:pPr>
      <w:r>
        <w:rPr>
          <w:noProof/>
          <w:color w:val="222222"/>
          <w:sz w:val="28"/>
          <w:szCs w:val="28"/>
          <w:shd w:val="clear" w:color="auto" w:fill="FFFFFF"/>
        </w:rPr>
        <w:drawing>
          <wp:inline distT="0" distB="0" distL="0" distR="0" wp14:anchorId="0158ED9D" wp14:editId="4BA04353">
            <wp:extent cx="6328410" cy="3511550"/>
            <wp:effectExtent l="0" t="0" r="0" b="0"/>
            <wp:docPr id="10" name="Picture 10"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alenda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28410" cy="3511550"/>
                    </a:xfrm>
                    <a:prstGeom prst="rect">
                      <a:avLst/>
                    </a:prstGeom>
                    <a:noFill/>
                  </pic:spPr>
                </pic:pic>
              </a:graphicData>
            </a:graphic>
          </wp:inline>
        </w:drawing>
      </w:r>
    </w:p>
    <w:p w14:paraId="60476FF7" w14:textId="77777777" w:rsidR="00CD5097" w:rsidRDefault="00CD5097" w:rsidP="00CD5097">
      <w:pPr>
        <w:rPr>
          <w:b/>
          <w:bCs/>
          <w:color w:val="222222"/>
          <w:sz w:val="28"/>
          <w:szCs w:val="28"/>
          <w:u w:val="single"/>
          <w:shd w:val="clear" w:color="auto" w:fill="FFFFFF"/>
        </w:rPr>
      </w:pPr>
    </w:p>
    <w:p w14:paraId="2F9F3A76" w14:textId="77777777" w:rsidR="00CD5097" w:rsidRDefault="00CD5097" w:rsidP="00CD5097">
      <w:pPr>
        <w:rPr>
          <w:b/>
          <w:bCs/>
          <w:color w:val="222222"/>
          <w:sz w:val="28"/>
          <w:szCs w:val="28"/>
          <w:u w:val="single"/>
          <w:shd w:val="clear" w:color="auto" w:fill="FFFFFF"/>
        </w:rPr>
      </w:pPr>
      <w:r>
        <w:rPr>
          <w:b/>
          <w:bCs/>
          <w:color w:val="222222"/>
          <w:sz w:val="28"/>
          <w:szCs w:val="28"/>
          <w:u w:val="single"/>
          <w:shd w:val="clear" w:color="auto" w:fill="FFFFFF"/>
        </w:rPr>
        <w:t>Results:</w:t>
      </w:r>
    </w:p>
    <w:p w14:paraId="0A9291A5" w14:textId="77777777" w:rsidR="00CD5097" w:rsidRPr="004A1C52" w:rsidRDefault="00CD5097" w:rsidP="00CD5097">
      <w:pPr>
        <w:rPr>
          <w:color w:val="222222"/>
          <w:shd w:val="clear" w:color="auto" w:fill="FFFFFF"/>
        </w:rPr>
      </w:pPr>
      <w:r w:rsidRPr="004A1C52">
        <w:rPr>
          <w:color w:val="222222"/>
          <w:shd w:val="clear" w:color="auto" w:fill="FFFFFF"/>
        </w:rPr>
        <w:t>Invariant residues in BMPR</w:t>
      </w:r>
      <w:r>
        <w:rPr>
          <w:color w:val="222222"/>
          <w:shd w:val="clear" w:color="auto" w:fill="FFFFFF"/>
        </w:rPr>
        <w:t>2</w:t>
      </w:r>
      <w:r w:rsidRPr="004A1C52">
        <w:rPr>
          <w:color w:val="222222"/>
          <w:shd w:val="clear" w:color="auto" w:fill="FFFFFF"/>
        </w:rPr>
        <w:t>: G212, K230, D333, N338, D351, E386, D405, R491.</w:t>
      </w:r>
    </w:p>
    <w:p w14:paraId="33EA1313" w14:textId="77777777" w:rsidR="00CD5097" w:rsidRPr="004A1C52" w:rsidRDefault="00CD5097" w:rsidP="00CD5097">
      <w:pPr>
        <w:rPr>
          <w:color w:val="222222"/>
          <w:shd w:val="clear" w:color="auto" w:fill="FFFFFF"/>
        </w:rPr>
      </w:pPr>
      <w:r w:rsidRPr="004A1C52">
        <w:rPr>
          <w:color w:val="222222"/>
          <w:shd w:val="clear" w:color="auto" w:fill="FFFFFF"/>
        </w:rPr>
        <w:t>Nearly invariant residues: G210, E/N245, G353, G410</w:t>
      </w:r>
    </w:p>
    <w:p w14:paraId="35EA9938" w14:textId="77777777" w:rsidR="00CD5097" w:rsidRDefault="00CD5097" w:rsidP="00CD5097">
      <w:pPr>
        <w:rPr>
          <w:color w:val="222222"/>
          <w:sz w:val="28"/>
          <w:szCs w:val="28"/>
          <w:shd w:val="clear" w:color="auto" w:fill="FFFFFF"/>
        </w:rPr>
      </w:pPr>
    </w:p>
    <w:p w14:paraId="0404C09B" w14:textId="77777777" w:rsidR="00CD5097" w:rsidRPr="004A1C52" w:rsidRDefault="00CD5097" w:rsidP="00CD5097">
      <w:pPr>
        <w:rPr>
          <w:b/>
          <w:bCs/>
          <w:color w:val="222222"/>
          <w:sz w:val="28"/>
          <w:szCs w:val="28"/>
          <w:shd w:val="clear" w:color="auto" w:fill="FFFFFF"/>
        </w:rPr>
      </w:pPr>
      <w:r w:rsidRPr="004A1C52">
        <w:rPr>
          <w:b/>
          <w:bCs/>
          <w:color w:val="222222"/>
          <w:sz w:val="28"/>
          <w:szCs w:val="28"/>
          <w:shd w:val="clear" w:color="auto" w:fill="FFFFFF"/>
        </w:rPr>
        <w:t>Reference:</w:t>
      </w:r>
      <w:r>
        <w:rPr>
          <w:b/>
          <w:bCs/>
          <w:color w:val="222222"/>
          <w:sz w:val="28"/>
          <w:szCs w:val="28"/>
          <w:shd w:val="clear" w:color="auto" w:fill="FFFFFF"/>
        </w:rPr>
        <w:t xml:space="preserve"> </w:t>
      </w:r>
      <w:r>
        <w:rPr>
          <w:rFonts w:ascii="Segoe UI" w:hAnsi="Segoe UI" w:cs="Segoe UI"/>
          <w:color w:val="212121"/>
          <w:shd w:val="clear" w:color="auto" w:fill="FFFFFF"/>
        </w:rPr>
        <w:t>Hanks SK, Hunter T. Protein kinases 6. The eukaryotic protein kinase superfamily: kinase (catalytic) domain structure and classification. FASEB J. 1995 May;9(8):576-96. PMID: 7768349.</w:t>
      </w:r>
    </w:p>
    <w:p w14:paraId="455DA3D2" w14:textId="77777777" w:rsidR="00CD5097" w:rsidRDefault="00CD5097" w:rsidP="00CD5097">
      <w:pPr>
        <w:rPr>
          <w:color w:val="222222"/>
          <w:sz w:val="28"/>
          <w:szCs w:val="28"/>
          <w:shd w:val="clear" w:color="auto" w:fill="FFFFFF"/>
        </w:rPr>
      </w:pPr>
    </w:p>
    <w:p w14:paraId="34627AE5" w14:textId="77777777" w:rsidR="00CD5097" w:rsidRDefault="00CD5097" w:rsidP="00CD5097">
      <w:pPr>
        <w:rPr>
          <w:color w:val="222222"/>
          <w:sz w:val="28"/>
          <w:szCs w:val="28"/>
          <w:shd w:val="clear" w:color="auto" w:fill="FFFFFF"/>
        </w:rPr>
      </w:pPr>
    </w:p>
    <w:p w14:paraId="4111613B" w14:textId="77777777" w:rsidR="00CD5097" w:rsidRDefault="00CD5097" w:rsidP="00CD5097">
      <w:pPr>
        <w:rPr>
          <w:color w:val="222222"/>
          <w:sz w:val="28"/>
          <w:szCs w:val="28"/>
          <w:shd w:val="clear" w:color="auto" w:fill="FFFFFF"/>
        </w:rPr>
      </w:pPr>
    </w:p>
    <w:p w14:paraId="52CBFD8F" w14:textId="77777777" w:rsidR="00CD5097" w:rsidRPr="001220B5" w:rsidRDefault="00CD5097" w:rsidP="00CD5097">
      <w:pPr>
        <w:rPr>
          <w:color w:val="222222"/>
          <w:u w:val="single"/>
          <w:shd w:val="clear" w:color="auto" w:fill="FFFFFF"/>
        </w:rPr>
      </w:pPr>
      <w:r w:rsidRPr="001220B5">
        <w:rPr>
          <w:color w:val="222222"/>
          <w:u w:val="single"/>
          <w:shd w:val="clear" w:color="auto" w:fill="FFFFFF"/>
        </w:rPr>
        <w:t xml:space="preserve">Indispensable residues in the KD for </w:t>
      </w:r>
      <w:proofErr w:type="spellStart"/>
      <w:r w:rsidRPr="001220B5">
        <w:rPr>
          <w:color w:val="222222"/>
          <w:u w:val="single"/>
          <w:shd w:val="clear" w:color="auto" w:fill="FFFFFF"/>
        </w:rPr>
        <w:t>heterodimerisation</w:t>
      </w:r>
      <w:proofErr w:type="spellEnd"/>
      <w:r w:rsidRPr="001220B5">
        <w:rPr>
          <w:color w:val="222222"/>
          <w:u w:val="single"/>
          <w:shd w:val="clear" w:color="auto" w:fill="FFFFFF"/>
        </w:rPr>
        <w:t xml:space="preserve"> – structural analysis</w:t>
      </w:r>
    </w:p>
    <w:p w14:paraId="76CB2AB7" w14:textId="77777777" w:rsidR="00CD5097" w:rsidRPr="00A576D8" w:rsidRDefault="00CD5097" w:rsidP="00CD5097">
      <w:pPr>
        <w:pStyle w:val="ListParagraph"/>
        <w:numPr>
          <w:ilvl w:val="0"/>
          <w:numId w:val="2"/>
        </w:numPr>
        <w:rPr>
          <w:i/>
          <w:iCs/>
          <w:color w:val="222222"/>
          <w:shd w:val="clear" w:color="auto" w:fill="FFFFFF"/>
        </w:rPr>
      </w:pPr>
      <w:r>
        <w:rPr>
          <w:i/>
          <w:iCs/>
          <w:color w:val="222222"/>
          <w:shd w:val="clear" w:color="auto" w:fill="FFFFFF"/>
        </w:rPr>
        <w:t>H</w:t>
      </w:r>
      <w:r w:rsidRPr="00A576D8">
        <w:rPr>
          <w:i/>
          <w:iCs/>
          <w:color w:val="222222"/>
          <w:shd w:val="clear" w:color="auto" w:fill="FFFFFF"/>
        </w:rPr>
        <w:t>ydrogen deuterium exchange mass spectrometry (HDX-MS), small angle X-ray scattering (SAXS) and molecular dynamics (MD) simulations</w:t>
      </w:r>
    </w:p>
    <w:p w14:paraId="6B32B187" w14:textId="77777777" w:rsidR="00CD5097" w:rsidRDefault="00CD5097" w:rsidP="00CD5097">
      <w:pPr>
        <w:rPr>
          <w:b/>
          <w:bCs/>
          <w:color w:val="222222"/>
          <w:sz w:val="27"/>
          <w:szCs w:val="27"/>
          <w:shd w:val="clear" w:color="auto" w:fill="FFFFFF"/>
        </w:rPr>
      </w:pPr>
    </w:p>
    <w:p w14:paraId="12D17C69" w14:textId="77777777" w:rsidR="00CD5097" w:rsidRDefault="00CD5097" w:rsidP="00CD5097">
      <w:r w:rsidRPr="002907E8">
        <w:rPr>
          <w:b/>
          <w:bCs/>
          <w:noProof/>
          <w:color w:val="222222"/>
        </w:rPr>
        <mc:AlternateContent>
          <mc:Choice Requires="wps">
            <w:drawing>
              <wp:anchor distT="0" distB="0" distL="114300" distR="114300" simplePos="0" relativeHeight="251661312" behindDoc="0" locked="0" layoutInCell="1" allowOverlap="1" wp14:anchorId="5E43B632" wp14:editId="66B188CF">
                <wp:simplePos x="0" y="0"/>
                <wp:positionH relativeFrom="column">
                  <wp:posOffset>4400550</wp:posOffset>
                </wp:positionH>
                <wp:positionV relativeFrom="paragraph">
                  <wp:posOffset>241300</wp:posOffset>
                </wp:positionV>
                <wp:extent cx="2124075" cy="1714500"/>
                <wp:effectExtent l="0" t="0" r="28575" b="19050"/>
                <wp:wrapNone/>
                <wp:docPr id="8" name="Rectangle 8"/>
                <wp:cNvGraphicFramePr/>
                <a:graphic xmlns:a="http://schemas.openxmlformats.org/drawingml/2006/main">
                  <a:graphicData uri="http://schemas.microsoft.com/office/word/2010/wordprocessingShape">
                    <wps:wsp>
                      <wps:cNvSpPr/>
                      <wps:spPr>
                        <a:xfrm>
                          <a:off x="0" y="0"/>
                          <a:ext cx="2124075" cy="17145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6A7C6DA3" id="Rectangle 8" o:spid="_x0000_s1026" style="position:absolute;margin-left:346.5pt;margin-top:19pt;width:167.25pt;height:1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" filled="f" strokecolor="red" strokeweight="1pt"/>
            </w:pict>
          </mc:Fallback>
        </mc:AlternateContent>
      </w:r>
      <w:r w:rsidRPr="002907E8">
        <w:rPr>
          <w:b/>
          <w:bCs/>
          <w:color w:val="222222"/>
          <w:shd w:val="clear" w:color="auto" w:fill="FFFFFF"/>
        </w:rPr>
        <w:t>Fig. 3: The ALK2</w:t>
      </w:r>
      <w:r w:rsidRPr="002907E8">
        <w:rPr>
          <w:b/>
          <w:bCs/>
          <w:color w:val="222222"/>
          <w:shd w:val="clear" w:color="auto" w:fill="FFFFFF"/>
          <w:vertAlign w:val="superscript"/>
        </w:rPr>
        <w:t>KD</w:t>
      </w:r>
      <w:r w:rsidRPr="002907E8">
        <w:rPr>
          <w:b/>
          <w:bCs/>
          <w:color w:val="222222"/>
          <w:shd w:val="clear" w:color="auto" w:fill="FFFFFF"/>
        </w:rPr>
        <w:t>/BMPR2</w:t>
      </w:r>
      <w:r w:rsidRPr="002907E8">
        <w:rPr>
          <w:b/>
          <w:bCs/>
          <w:color w:val="222222"/>
          <w:shd w:val="clear" w:color="auto" w:fill="FFFFFF"/>
          <w:vertAlign w:val="superscript"/>
        </w:rPr>
        <w:t>KD</w:t>
      </w:r>
      <w:r w:rsidRPr="002907E8">
        <w:rPr>
          <w:b/>
          <w:bCs/>
          <w:color w:val="222222"/>
          <w:shd w:val="clear" w:color="auto" w:fill="FFFFFF"/>
        </w:rPr>
        <w:t> heterodimer interface localizes to the kinase C-lobes.</w:t>
      </w:r>
      <w:r>
        <w:rPr>
          <w:noProof/>
        </w:rPr>
        <w:drawing>
          <wp:inline distT="0" distB="0" distL="0" distR="0" wp14:anchorId="43DA5593" wp14:editId="2A11C338">
            <wp:extent cx="6419840" cy="3514725"/>
            <wp:effectExtent l="0" t="0" r="635" b="0"/>
            <wp:docPr id="6" name="Picture 6" descr="Map&#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p&#10;&#10;Description automatically generated with low confidence"/>
                    <pic:cNvPicPr/>
                  </pic:nvPicPr>
                  <pic:blipFill rotWithShape="1">
                    <a:blip r:embed="rId8"/>
                    <a:srcRect l="7644" t="13098" r="7766"/>
                    <a:stretch/>
                  </pic:blipFill>
                  <pic:spPr bwMode="auto">
                    <a:xfrm>
                      <a:off x="0" y="0"/>
                      <a:ext cx="6425543" cy="3517847"/>
                    </a:xfrm>
                    <a:prstGeom prst="rect">
                      <a:avLst/>
                    </a:prstGeom>
                    <a:ln>
                      <a:noFill/>
                    </a:ln>
                    <a:extLst>
                      <a:ext uri="{53640926-AAD7-44D8-BBD7-CCE9431645EC}">
                        <a14:shadowObscured xmlns:a14="http://schemas.microsoft.com/office/drawing/2010/main"/>
                      </a:ext>
                    </a:extLst>
                  </pic:spPr>
                </pic:pic>
              </a:graphicData>
            </a:graphic>
          </wp:inline>
        </w:drawing>
      </w:r>
    </w:p>
    <w:p w14:paraId="099E7F12" w14:textId="77777777" w:rsidR="00CD5097" w:rsidRDefault="00CD5097" w:rsidP="00CD5097"/>
    <w:p w14:paraId="207D8E7D" w14:textId="1BD6C1A8" w:rsidR="00CD5097" w:rsidRPr="00A923C1" w:rsidRDefault="00CD5097" w:rsidP="00CD5097">
      <w:r w:rsidRPr="003C44C2">
        <w:t xml:space="preserve">The structure of the C-lobe of BMPR2KD also undergoes stabilization upon dimerization with the ALK2KD (Fig. 3a, b, Supplementary Fig. 4). </w:t>
      </w:r>
      <w:r w:rsidRPr="0084678A">
        <w:t xml:space="preserve">One of the protected regions encompasses the αH-αI linker (residues 485–492), a surface displaying and bordering acidic residues, including E481, D482, D485, D487, and E489. This region is in direct contact with helix I on ALK2 in the C1 dimer model (Fig. 3b). </w:t>
      </w:r>
      <w:r w:rsidRPr="0084678A">
        <w:rPr>
          <w:b/>
          <w:bCs/>
          <w:color w:val="FF0000"/>
        </w:rPr>
        <w:t>Boxed in red.</w:t>
      </w:r>
      <w:r w:rsidRPr="0084678A">
        <w:rPr>
          <w:color w:val="FF0000"/>
        </w:rPr>
        <w:t xml:space="preserve"> </w:t>
      </w:r>
      <w:r w:rsidRPr="0084678A">
        <w:t>In the crystal structure of the BMPR2 kinase domain</w:t>
      </w:r>
      <w:r w:rsidRPr="003C44C2">
        <w:t>, the αH-αI linker forms a partial helix and is mostly surface accessible, except for the highly conserved R491 that packs into the C-lobe core where it forms an electrostatic interaction with the sidechain of E386 and with the backbone carbonyl oxygens of Q403 and Q486 (Fig. 3c).</w:t>
      </w:r>
    </w:p>
    <w:p w14:paraId="0BD006B0" w14:textId="77777777" w:rsidR="00CD5097" w:rsidRPr="003C44C2" w:rsidRDefault="00CD5097" w:rsidP="00CD5097">
      <w:pPr>
        <w:rPr>
          <w:b/>
          <w:bCs/>
          <w:u w:val="single"/>
        </w:rPr>
      </w:pPr>
      <w:r w:rsidRPr="003C44C2">
        <w:rPr>
          <w:b/>
          <w:bCs/>
          <w:u w:val="single"/>
        </w:rPr>
        <w:t xml:space="preserve">The BMPR2 C-lobe dimer interface is disrupted in </w:t>
      </w:r>
      <w:proofErr w:type="gramStart"/>
      <w:r w:rsidRPr="003C44C2">
        <w:rPr>
          <w:b/>
          <w:bCs/>
          <w:u w:val="single"/>
        </w:rPr>
        <w:t>PAH</w:t>
      </w:r>
      <w:proofErr w:type="gramEnd"/>
    </w:p>
    <w:p w14:paraId="469D4708" w14:textId="77777777" w:rsidR="00CD5097" w:rsidRDefault="00CD5097" w:rsidP="00CD5097">
      <w:r>
        <w:lastRenderedPageBreak/>
        <w:t>Heterozygous loss-of-function or expression mutations in BMPR2 account for ~80% of familial and ~20% of idiopathic PAH27. Some of these mutations introduce insertions, cause deletions or frameshifts in the BMPR2 kinase domain, likely compromising its structure and hence enzymatic activity. The mechanisms of action of missense mutations commonly found on the surface of the BMPR2 kinase are more difficult to rationalize28,29,30,31</w:t>
      </w:r>
      <w:r w:rsidRPr="0084678A">
        <w:t xml:space="preserve">. Remarkably, several of these mutations (C483R, D485G, D487V, A490D/V, and R491W/Q) cluster to the C1 dimer interface in the BMPR2 kinase domain, specifically at the αH-αI linker (Fig. 6a). </w:t>
      </w:r>
      <w:r w:rsidRPr="0084678A">
        <w:rPr>
          <w:b/>
          <w:bCs/>
          <w:color w:val="FF0000"/>
        </w:rPr>
        <w:t>Boxed in red.</w:t>
      </w:r>
      <w:r w:rsidRPr="0084678A">
        <w:rPr>
          <w:color w:val="FF0000"/>
        </w:rPr>
        <w:t xml:space="preserve"> </w:t>
      </w:r>
      <w:r w:rsidRPr="0084678A">
        <w:t>As shown in Figs. 4c and 5c, mutations of the residues within the αH-αI linker disrupt ALK2/BMPR2 kinase dimerization and downstream SMAD signaling by the full-length ALK2/BMPR2 receptor complex (Figs. 4c and 5c). Two sites of PAH mutations—D487 and D485—stand out because they make direct interactions with residues in ALK2 in the C1 dimer model (Fig. 6b). D487 was included in the BMPR2KD-EDE mutant which failed to dimerize with ALK2KD</w:t>
      </w:r>
      <w:r>
        <w:t xml:space="preserve"> (Fig. 4c). D485 was not included in our initial mutagenesis and was of particular interest. The D485G mutation is highly penetrant in PAH, and previous studies have shown its dominant-negative effect on BMPR2 signaling in complex with other type I receptors (ALK3 and ALK6) in cells30,32,33.</w:t>
      </w:r>
    </w:p>
    <w:p w14:paraId="1ABAE77C" w14:textId="77777777" w:rsidR="00CD5097" w:rsidRDefault="00CD5097" w:rsidP="00CD5097">
      <w:r>
        <w:rPr>
          <w:noProof/>
        </w:rPr>
        <mc:AlternateContent>
          <mc:Choice Requires="wps">
            <w:drawing>
              <wp:anchor distT="0" distB="0" distL="114300" distR="114300" simplePos="0" relativeHeight="251662336" behindDoc="0" locked="0" layoutInCell="1" allowOverlap="1" wp14:anchorId="067AF485" wp14:editId="36033622">
                <wp:simplePos x="0" y="0"/>
                <wp:positionH relativeFrom="column">
                  <wp:posOffset>-133350</wp:posOffset>
                </wp:positionH>
                <wp:positionV relativeFrom="paragraph">
                  <wp:posOffset>661035</wp:posOffset>
                </wp:positionV>
                <wp:extent cx="3629025" cy="1962150"/>
                <wp:effectExtent l="0" t="0" r="28575" b="19050"/>
                <wp:wrapNone/>
                <wp:docPr id="9" name="Rectangle 9"/>
                <wp:cNvGraphicFramePr/>
                <a:graphic xmlns:a="http://schemas.openxmlformats.org/drawingml/2006/main">
                  <a:graphicData uri="http://schemas.microsoft.com/office/word/2010/wordprocessingShape">
                    <wps:wsp>
                      <wps:cNvSpPr/>
                      <wps:spPr>
                        <a:xfrm>
                          <a:off x="0" y="0"/>
                          <a:ext cx="3629025" cy="19621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71AD38E7" id="Rectangle 9" o:spid="_x0000_s1026" style="position:absolute;margin-left:-10.5pt;margin-top:52.05pt;width:285.75pt;height:15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" filled="f" strokecolor="red" strokeweight="1pt"/>
            </w:pict>
          </mc:Fallback>
        </mc:AlternateContent>
      </w:r>
      <w:r>
        <w:rPr>
          <w:noProof/>
        </w:rPr>
        <w:drawing>
          <wp:inline distT="0" distB="0" distL="0" distR="0" wp14:anchorId="34408973" wp14:editId="2AE5C51D">
            <wp:extent cx="5731510" cy="2679544"/>
            <wp:effectExtent l="0" t="0" r="2540" b="6985"/>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rotWithShape="1">
                    <a:blip r:embed="rId9"/>
                    <a:srcRect l="7183" t="8108" r="6436" b="16112"/>
                    <a:stretch/>
                  </pic:blipFill>
                  <pic:spPr bwMode="auto">
                    <a:xfrm>
                      <a:off x="0" y="0"/>
                      <a:ext cx="5731510" cy="2679544"/>
                    </a:xfrm>
                    <a:prstGeom prst="rect">
                      <a:avLst/>
                    </a:prstGeom>
                    <a:ln>
                      <a:noFill/>
                    </a:ln>
                    <a:extLst>
                      <a:ext uri="{53640926-AAD7-44D8-BBD7-CCE9431645EC}">
                        <a14:shadowObscured xmlns:a14="http://schemas.microsoft.com/office/drawing/2010/main"/>
                      </a:ext>
                    </a:extLst>
                  </pic:spPr>
                </pic:pic>
              </a:graphicData>
            </a:graphic>
          </wp:inline>
        </w:drawing>
      </w:r>
    </w:p>
    <w:p w14:paraId="0F4F30E7" w14:textId="77777777" w:rsidR="00CD5097" w:rsidRDefault="00CD5097" w:rsidP="00CD5097"/>
    <w:p w14:paraId="6C13D1E0" w14:textId="77777777" w:rsidR="00CD5097" w:rsidRDefault="00CD5097" w:rsidP="00CD5097">
      <w:pPr>
        <w:rPr>
          <w:b/>
          <w:bCs/>
          <w:color w:val="222222"/>
          <w:sz w:val="28"/>
          <w:szCs w:val="28"/>
          <w:u w:val="single"/>
          <w:shd w:val="clear" w:color="auto" w:fill="FFFFFF"/>
        </w:rPr>
      </w:pPr>
      <w:r>
        <w:rPr>
          <w:b/>
          <w:bCs/>
          <w:color w:val="222222"/>
          <w:sz w:val="28"/>
          <w:szCs w:val="28"/>
          <w:u w:val="single"/>
          <w:shd w:val="clear" w:color="auto" w:fill="FFFFFF"/>
        </w:rPr>
        <w:t>Results:</w:t>
      </w:r>
    </w:p>
    <w:p w14:paraId="4F6774E9" w14:textId="77777777" w:rsidR="00CD5097" w:rsidRPr="00B55EC1" w:rsidRDefault="00CD5097" w:rsidP="00CD5097">
      <w:pPr>
        <w:rPr>
          <w:color w:val="222222"/>
          <w:shd w:val="clear" w:color="auto" w:fill="FFFFFF"/>
        </w:rPr>
      </w:pPr>
      <w:r>
        <w:rPr>
          <w:color w:val="222222"/>
          <w:shd w:val="clear" w:color="auto" w:fill="FFFFFF"/>
        </w:rPr>
        <w:t>Residues need for type I dimerization: 485 -492</w:t>
      </w:r>
    </w:p>
    <w:p w14:paraId="4EFCF645" w14:textId="77777777" w:rsidR="00CD5097" w:rsidRPr="00A923C1" w:rsidRDefault="00CD5097" w:rsidP="00CD5097">
      <w:pPr>
        <w:rPr>
          <w:noProof/>
          <w:sz w:val="18"/>
          <w:szCs w:val="18"/>
        </w:rPr>
      </w:pPr>
      <w:r w:rsidRPr="00A923C1">
        <w:rPr>
          <w:b/>
          <w:bCs/>
          <w:noProof/>
          <w:sz w:val="18"/>
          <w:szCs w:val="18"/>
        </w:rPr>
        <w:t>Reference</w:t>
      </w:r>
      <w:r w:rsidRPr="00A923C1">
        <w:rPr>
          <w:noProof/>
          <w:sz w:val="18"/>
          <w:szCs w:val="18"/>
        </w:rPr>
        <w:t>: Structural basis for ALK2/BMPR2 receptor complex signaling through kinase domain oligomerization. Christopher Agnew, Pelin Ayaz, Risa Kashima, Hanna S. Loving, Prajakta Ghatpande, Jennifer E. Kung, Eric S. Underbakke, Yibing Shan, David E. Shaw, Akiko Hata &amp; Natalia Jura  Nature Communications volume 12, Article number: 4950 (2021).</w:t>
      </w:r>
    </w:p>
    <w:p w14:paraId="598096EC" w14:textId="77777777" w:rsidR="00CD5097" w:rsidRDefault="00CD5097" w:rsidP="00CD5097">
      <w:pPr>
        <w:rPr>
          <w:b/>
          <w:bCs/>
          <w:noProof/>
          <w:u w:val="single"/>
        </w:rPr>
      </w:pPr>
    </w:p>
    <w:p w14:paraId="352ABE1E" w14:textId="77777777" w:rsidR="00CD5097" w:rsidRDefault="00CD5097" w:rsidP="00CD5097">
      <w:pPr>
        <w:rPr>
          <w:b/>
          <w:bCs/>
          <w:noProof/>
          <w:u w:val="single"/>
        </w:rPr>
      </w:pPr>
    </w:p>
    <w:p w14:paraId="43CC4B55" w14:textId="77777777" w:rsidR="00CD5097" w:rsidRDefault="00CD5097" w:rsidP="00CD5097">
      <w:pPr>
        <w:rPr>
          <w:b/>
          <w:bCs/>
          <w:noProof/>
          <w:u w:val="single"/>
        </w:rPr>
      </w:pPr>
    </w:p>
    <w:p w14:paraId="0F72CBD5" w14:textId="77777777" w:rsidR="00CD5097" w:rsidRDefault="00CD5097" w:rsidP="00CD5097">
      <w:pPr>
        <w:rPr>
          <w:b/>
          <w:bCs/>
          <w:noProof/>
          <w:u w:val="single"/>
        </w:rPr>
      </w:pPr>
    </w:p>
    <w:p w14:paraId="42025696" w14:textId="77777777" w:rsidR="00CD5097" w:rsidRDefault="00CD5097" w:rsidP="00CD5097">
      <w:pPr>
        <w:rPr>
          <w:b/>
          <w:bCs/>
          <w:noProof/>
          <w:u w:val="single"/>
        </w:rPr>
      </w:pPr>
    </w:p>
    <w:p w14:paraId="6EC098C6" w14:textId="77777777" w:rsidR="00CD5097" w:rsidRPr="001220B5" w:rsidRDefault="00CD5097" w:rsidP="00CD5097">
      <w:pPr>
        <w:rPr>
          <w:b/>
          <w:bCs/>
          <w:noProof/>
          <w:u w:val="single"/>
        </w:rPr>
      </w:pPr>
      <w:r w:rsidRPr="001220B5">
        <w:rPr>
          <w:b/>
          <w:bCs/>
          <w:noProof/>
          <w:u w:val="single"/>
        </w:rPr>
        <w:t>Example of a kinase variant that retains kinase activity</w:t>
      </w:r>
    </w:p>
    <w:p w14:paraId="6DB1CD6D" w14:textId="77777777" w:rsidR="00CD5097" w:rsidRPr="0092562D" w:rsidRDefault="00CD5097" w:rsidP="00CD5097">
      <w:pPr>
        <w:pStyle w:val="ListParagraph"/>
        <w:numPr>
          <w:ilvl w:val="0"/>
          <w:numId w:val="2"/>
        </w:numPr>
        <w:rPr>
          <w:i/>
          <w:iCs/>
          <w:noProof/>
        </w:rPr>
      </w:pPr>
      <w:r w:rsidRPr="0092562D">
        <w:rPr>
          <w:i/>
          <w:iCs/>
          <w:noProof/>
        </w:rPr>
        <w:t>Luciferase assays</w:t>
      </w:r>
    </w:p>
    <w:p w14:paraId="5922C535" w14:textId="77777777" w:rsidR="00CD5097" w:rsidRDefault="00CD5097" w:rsidP="00CD5097">
      <w:pPr>
        <w:rPr>
          <w:noProof/>
        </w:rPr>
      </w:pPr>
      <w:r>
        <w:rPr>
          <w:noProof/>
        </w:rPr>
        <w:t>Not all kinase reisidue variants are functionally equal (red arrow indicates KD variant p.E503D}. Equivalent to WT when co-transfected with type I receptors (panel F) in marked contrast to p.D485G.</w:t>
      </w:r>
    </w:p>
    <w:p w14:paraId="25F470C6" w14:textId="77777777" w:rsidR="00CD5097" w:rsidRDefault="00CD5097" w:rsidP="00CD5097">
      <w:pPr>
        <w:rPr>
          <w:noProof/>
        </w:rPr>
      </w:pPr>
      <w:r>
        <w:rPr>
          <w:noProof/>
        </w:rPr>
        <mc:AlternateContent>
          <mc:Choice Requires="wps">
            <w:drawing>
              <wp:anchor distT="0" distB="0" distL="114300" distR="114300" simplePos="0" relativeHeight="251660288" behindDoc="0" locked="0" layoutInCell="1" allowOverlap="1" wp14:anchorId="4BC7B630" wp14:editId="47A5224F">
                <wp:simplePos x="0" y="0"/>
                <wp:positionH relativeFrom="column">
                  <wp:posOffset>3000375</wp:posOffset>
                </wp:positionH>
                <wp:positionV relativeFrom="paragraph">
                  <wp:posOffset>1404620</wp:posOffset>
                </wp:positionV>
                <wp:extent cx="161925" cy="390525"/>
                <wp:effectExtent l="19050" t="0" r="47625" b="47625"/>
                <wp:wrapNone/>
                <wp:docPr id="7" name="Arrow: Down 7"/>
                <wp:cNvGraphicFramePr/>
                <a:graphic xmlns:a="http://schemas.openxmlformats.org/drawingml/2006/main">
                  <a:graphicData uri="http://schemas.microsoft.com/office/word/2010/wordprocessingShape">
                    <wps:wsp>
                      <wps:cNvSpPr/>
                      <wps:spPr>
                        <a:xfrm>
                          <a:off x="0" y="0"/>
                          <a:ext cx="161925" cy="390525"/>
                        </a:xfrm>
                        <a:prstGeom prst="downArrow">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24D6FE8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 o:spid="_x0000_s1026" type="#_x0000_t67" style="position:absolute;margin-left:236.25pt;margin-top:110.6pt;width:12.75pt;height:30.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" adj="17122" fillcolor="#ed7d31 [3205]" strokecolor="#1f3763 [1604]" strokeweight="1pt"/>
            </w:pict>
          </mc:Fallback>
        </mc:AlternateContent>
      </w:r>
      <w:r>
        <w:rPr>
          <w:noProof/>
        </w:rPr>
        <mc:AlternateContent>
          <mc:Choice Requires="wps">
            <w:drawing>
              <wp:anchor distT="0" distB="0" distL="114300" distR="114300" simplePos="0" relativeHeight="251659264" behindDoc="0" locked="0" layoutInCell="1" allowOverlap="1" wp14:anchorId="2522067E" wp14:editId="255FE8CA">
                <wp:simplePos x="0" y="0"/>
                <wp:positionH relativeFrom="column">
                  <wp:posOffset>2571750</wp:posOffset>
                </wp:positionH>
                <wp:positionV relativeFrom="paragraph">
                  <wp:posOffset>280670</wp:posOffset>
                </wp:positionV>
                <wp:extent cx="161925" cy="390525"/>
                <wp:effectExtent l="19050" t="0" r="47625" b="47625"/>
                <wp:wrapNone/>
                <wp:docPr id="5" name="Arrow: Down 5"/>
                <wp:cNvGraphicFramePr/>
                <a:graphic xmlns:a="http://schemas.openxmlformats.org/drawingml/2006/main">
                  <a:graphicData uri="http://schemas.microsoft.com/office/word/2010/wordprocessingShape">
                    <wps:wsp>
                      <wps:cNvSpPr/>
                      <wps:spPr>
                        <a:xfrm>
                          <a:off x="0" y="0"/>
                          <a:ext cx="161925" cy="390525"/>
                        </a:xfrm>
                        <a:prstGeom prst="downArrow">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436AAAD" id="Arrow: Down 5" o:spid="_x0000_s1026" type="#_x0000_t67" style="position:absolute;margin-left:202.5pt;margin-top:22.1pt;width:12.75pt;height:3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" adj="17122" fillcolor="#ed7d31 [3205]" strokecolor="#1f3763 [1604]" strokeweight="1pt"/>
            </w:pict>
          </mc:Fallback>
        </mc:AlternateContent>
      </w:r>
      <w:r>
        <w:rPr>
          <w:noProof/>
        </w:rPr>
        <w:drawing>
          <wp:inline distT="0" distB="0" distL="0" distR="0" wp14:anchorId="6B725F21" wp14:editId="1DB85559">
            <wp:extent cx="3829050" cy="3025140"/>
            <wp:effectExtent l="0" t="0" r="0" b="381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rotWithShape="1">
                    <a:blip r:embed="rId10"/>
                    <a:srcRect l="60160" t="19959" r="1230" b="6756"/>
                    <a:stretch/>
                  </pic:blipFill>
                  <pic:spPr bwMode="auto">
                    <a:xfrm>
                      <a:off x="0" y="0"/>
                      <a:ext cx="3851512" cy="3042886"/>
                    </a:xfrm>
                    <a:prstGeom prst="rect">
                      <a:avLst/>
                    </a:prstGeom>
                    <a:ln>
                      <a:noFill/>
                    </a:ln>
                    <a:extLst>
                      <a:ext uri="{53640926-AAD7-44D8-BBD7-CCE9431645EC}">
                        <a14:shadowObscured xmlns:a14="http://schemas.microsoft.com/office/drawing/2010/main"/>
                      </a:ext>
                    </a:extLst>
                  </pic:spPr>
                </pic:pic>
              </a:graphicData>
            </a:graphic>
          </wp:inline>
        </w:drawing>
      </w:r>
    </w:p>
    <w:p w14:paraId="2D9732B3" w14:textId="77777777" w:rsidR="00CD5097" w:rsidRDefault="00CD5097" w:rsidP="00CD5097">
      <w:pPr>
        <w:rPr>
          <w:sz w:val="18"/>
          <w:szCs w:val="18"/>
        </w:rPr>
      </w:pPr>
      <w:r w:rsidRPr="00A923C1">
        <w:rPr>
          <w:sz w:val="18"/>
          <w:szCs w:val="18"/>
        </w:rPr>
        <w:t>Cells were stimulated with BMP-4. Plasmids encoding wild-type and mutant BMPR2 activated reporter activity but mutation at position p.D485G had severely abolished the activity. BMP-4 and BMPR-II stimulated normalized value was set as 100.</w:t>
      </w:r>
    </w:p>
    <w:p w14:paraId="1C80BD8B" w14:textId="77777777" w:rsidR="00CD5097" w:rsidRDefault="00CD5097" w:rsidP="00CD5097">
      <w:pPr>
        <w:rPr>
          <w:rFonts w:ascii="Segoe UI" w:hAnsi="Segoe UI" w:cs="Segoe UI"/>
          <w:b/>
          <w:bCs/>
          <w:color w:val="212121"/>
          <w:sz w:val="18"/>
          <w:szCs w:val="18"/>
          <w:shd w:val="clear" w:color="auto" w:fill="FFFFFF"/>
        </w:rPr>
      </w:pPr>
    </w:p>
    <w:p w14:paraId="11F44009" w14:textId="77777777" w:rsidR="00CD5097" w:rsidRDefault="00CD5097" w:rsidP="00CD5097">
      <w:pPr>
        <w:rPr>
          <w:b/>
          <w:bCs/>
          <w:color w:val="222222"/>
          <w:sz w:val="28"/>
          <w:szCs w:val="28"/>
          <w:u w:val="single"/>
          <w:shd w:val="clear" w:color="auto" w:fill="FFFFFF"/>
        </w:rPr>
      </w:pPr>
      <w:r>
        <w:rPr>
          <w:b/>
          <w:bCs/>
          <w:color w:val="222222"/>
          <w:sz w:val="28"/>
          <w:szCs w:val="28"/>
          <w:u w:val="single"/>
          <w:shd w:val="clear" w:color="auto" w:fill="FFFFFF"/>
        </w:rPr>
        <w:t>Results:</w:t>
      </w:r>
    </w:p>
    <w:p w14:paraId="62495822" w14:textId="77777777" w:rsidR="00CD5097" w:rsidRPr="00B55EC1" w:rsidRDefault="00CD5097" w:rsidP="00CD5097">
      <w:pPr>
        <w:rPr>
          <w:color w:val="222222"/>
          <w:shd w:val="clear" w:color="auto" w:fill="FFFFFF"/>
        </w:rPr>
      </w:pPr>
      <w:r>
        <w:rPr>
          <w:color w:val="222222"/>
          <w:shd w:val="clear" w:color="auto" w:fill="FFFFFF"/>
        </w:rPr>
        <w:t>Not all residues in the kinase domain are critical.</w:t>
      </w:r>
    </w:p>
    <w:p w14:paraId="32C6F967" w14:textId="77777777" w:rsidR="00CD5097" w:rsidRPr="002907E8" w:rsidRDefault="00CD5097" w:rsidP="00CD5097">
      <w:pPr>
        <w:rPr>
          <w:sz w:val="18"/>
          <w:szCs w:val="18"/>
        </w:rPr>
      </w:pPr>
      <w:r w:rsidRPr="00A923C1">
        <w:rPr>
          <w:rFonts w:ascii="Segoe UI" w:hAnsi="Segoe UI" w:cs="Segoe UI"/>
          <w:b/>
          <w:bCs/>
          <w:color w:val="212121"/>
          <w:sz w:val="18"/>
          <w:szCs w:val="18"/>
          <w:shd w:val="clear" w:color="auto" w:fill="FFFFFF"/>
        </w:rPr>
        <w:t>Reference:</w:t>
      </w:r>
      <w:r>
        <w:rPr>
          <w:rFonts w:ascii="Segoe UI" w:hAnsi="Segoe UI" w:cs="Segoe UI"/>
          <w:color w:val="212121"/>
          <w:sz w:val="18"/>
          <w:szCs w:val="18"/>
          <w:shd w:val="clear" w:color="auto" w:fill="FFFFFF"/>
        </w:rPr>
        <w:t xml:space="preserve"> </w:t>
      </w:r>
      <w:r w:rsidRPr="00A923C1">
        <w:rPr>
          <w:rFonts w:ascii="Segoe UI" w:hAnsi="Segoe UI" w:cs="Segoe UI"/>
          <w:color w:val="212121"/>
          <w:sz w:val="18"/>
          <w:szCs w:val="18"/>
          <w:shd w:val="clear" w:color="auto" w:fill="FFFFFF"/>
        </w:rPr>
        <w:t xml:space="preserve">Nasim MT, </w:t>
      </w:r>
      <w:proofErr w:type="spellStart"/>
      <w:r w:rsidRPr="00A923C1">
        <w:rPr>
          <w:rFonts w:ascii="Segoe UI" w:hAnsi="Segoe UI" w:cs="Segoe UI"/>
          <w:color w:val="212121"/>
          <w:sz w:val="18"/>
          <w:szCs w:val="18"/>
          <w:shd w:val="clear" w:color="auto" w:fill="FFFFFF"/>
        </w:rPr>
        <w:t>Ghouri</w:t>
      </w:r>
      <w:proofErr w:type="spellEnd"/>
      <w:r w:rsidRPr="00A923C1">
        <w:rPr>
          <w:rFonts w:ascii="Segoe UI" w:hAnsi="Segoe UI" w:cs="Segoe UI"/>
          <w:color w:val="212121"/>
          <w:sz w:val="18"/>
          <w:szCs w:val="18"/>
          <w:shd w:val="clear" w:color="auto" w:fill="FFFFFF"/>
        </w:rPr>
        <w:t xml:space="preserve"> A, Patel B, James V, et al. Stoichiometric imbalance in the receptor complex contributes to dysfunctional BMPR-II mediated </w:t>
      </w:r>
      <w:proofErr w:type="spellStart"/>
      <w:r w:rsidRPr="00A923C1">
        <w:rPr>
          <w:rFonts w:ascii="Segoe UI" w:hAnsi="Segoe UI" w:cs="Segoe UI"/>
          <w:color w:val="212121"/>
          <w:sz w:val="18"/>
          <w:szCs w:val="18"/>
          <w:shd w:val="clear" w:color="auto" w:fill="FFFFFF"/>
        </w:rPr>
        <w:t>signalling</w:t>
      </w:r>
      <w:proofErr w:type="spellEnd"/>
      <w:r w:rsidRPr="00A923C1">
        <w:rPr>
          <w:rFonts w:ascii="Segoe UI" w:hAnsi="Segoe UI" w:cs="Segoe UI"/>
          <w:color w:val="212121"/>
          <w:sz w:val="18"/>
          <w:szCs w:val="18"/>
          <w:shd w:val="clear" w:color="auto" w:fill="FFFFFF"/>
        </w:rPr>
        <w:t xml:space="preserve"> in pulmonary arterial hypertension. Hum Mol Genet. 2008 Jun 1;17(11):1683-94. </w:t>
      </w:r>
    </w:p>
    <w:p w14:paraId="165AB139" w14:textId="77777777" w:rsidR="00CD5097" w:rsidRDefault="00CD5097" w:rsidP="00CD5097"/>
    <w:p w14:paraId="304D9227" w14:textId="77777777" w:rsidR="00CD5097" w:rsidRDefault="00CD5097" w:rsidP="00CD5097">
      <w:pPr>
        <w:keepNext/>
        <w:ind w:firstLine="0"/>
      </w:pPr>
      <w:r>
        <w:t>References:</w:t>
      </w:r>
    </w:p>
    <w:p w14:paraId="2AECAFB8" w14:textId="77777777" w:rsidR="00CD5097" w:rsidRPr="0084678A" w:rsidRDefault="00CD5097" w:rsidP="00CD5097">
      <w:pPr>
        <w:pStyle w:val="ListParagraph"/>
        <w:numPr>
          <w:ilvl w:val="0"/>
          <w:numId w:val="1"/>
        </w:numPr>
        <w:rPr>
          <w:color w:val="000000" w:themeColor="text1"/>
        </w:rPr>
      </w:pPr>
      <w:r>
        <w:t xml:space="preserve">Greenwald J, Fischer WH, Vale WW, Choe S. 1999. Three-finger toxin fold for the extracellular ligand-binding domain of the type II activin receptor serine kinase. Nat Struct </w:t>
      </w:r>
      <w:proofErr w:type="spellStart"/>
      <w:r>
        <w:t>Biol</w:t>
      </w:r>
      <w:proofErr w:type="spellEnd"/>
      <w:r>
        <w:t xml:space="preserve"> 6:18–22. </w:t>
      </w:r>
      <w:r w:rsidRPr="0084678A">
        <w:rPr>
          <w:color w:val="000000" w:themeColor="text1"/>
        </w:rPr>
        <w:t>PMID: 9886286</w:t>
      </w:r>
    </w:p>
    <w:p w14:paraId="551DFF9B" w14:textId="77777777" w:rsidR="00CD5097" w:rsidRPr="0084678A" w:rsidRDefault="00CD5097" w:rsidP="00CD5097">
      <w:pPr>
        <w:pStyle w:val="ListParagraph"/>
        <w:numPr>
          <w:ilvl w:val="0"/>
          <w:numId w:val="1"/>
        </w:numPr>
        <w:rPr>
          <w:color w:val="000000" w:themeColor="text1"/>
        </w:rPr>
      </w:pPr>
      <w:r w:rsidRPr="0084678A">
        <w:rPr>
          <w:color w:val="000000" w:themeColor="text1"/>
        </w:rPr>
        <w:t xml:space="preserve">Nishihara A, </w:t>
      </w:r>
      <w:proofErr w:type="spellStart"/>
      <w:r w:rsidRPr="0084678A">
        <w:rPr>
          <w:color w:val="000000" w:themeColor="text1"/>
        </w:rPr>
        <w:t>Watabe</w:t>
      </w:r>
      <w:proofErr w:type="spellEnd"/>
      <w:r w:rsidRPr="0084678A">
        <w:rPr>
          <w:color w:val="000000" w:themeColor="text1"/>
        </w:rPr>
        <w:t xml:space="preserve"> T, Imamura T, Miyazono K. 2002. Functional heterogeneity of bone morphogenetic protein receptor-II mutants found in patients with primary pulmonary hypertension. Mol </w:t>
      </w:r>
      <w:proofErr w:type="spellStart"/>
      <w:r w:rsidRPr="0084678A">
        <w:rPr>
          <w:color w:val="000000" w:themeColor="text1"/>
        </w:rPr>
        <w:t>Biol</w:t>
      </w:r>
      <w:proofErr w:type="spellEnd"/>
      <w:r w:rsidRPr="0084678A">
        <w:rPr>
          <w:color w:val="000000" w:themeColor="text1"/>
        </w:rPr>
        <w:t xml:space="preserve"> Cell 13:3055–3063. PMID: 12221115</w:t>
      </w:r>
    </w:p>
    <w:p w14:paraId="7AE3CE5F" w14:textId="77777777" w:rsidR="00CD5097" w:rsidRPr="0084678A" w:rsidRDefault="00CD5097" w:rsidP="00CD5097">
      <w:pPr>
        <w:pStyle w:val="ListParagraph"/>
        <w:numPr>
          <w:ilvl w:val="0"/>
          <w:numId w:val="1"/>
        </w:numPr>
        <w:rPr>
          <w:color w:val="000000" w:themeColor="text1"/>
        </w:rPr>
      </w:pPr>
      <w:proofErr w:type="spellStart"/>
      <w:r>
        <w:lastRenderedPageBreak/>
        <w:t>Rudarakanchana</w:t>
      </w:r>
      <w:proofErr w:type="spellEnd"/>
      <w:r>
        <w:t xml:space="preserve"> N, Flanagan JA, Chen H, Upton PD, Machado R, Patel D, </w:t>
      </w:r>
      <w:proofErr w:type="spellStart"/>
      <w:r>
        <w:t>Trembath</w:t>
      </w:r>
      <w:proofErr w:type="spellEnd"/>
      <w:r>
        <w:t xml:space="preserve"> RC, Morrell NW. 2002. Functional analysis of bone morphogenetic protein type II receptor mutations underlying primary pulmonary hypertension. Hum Mol Genet 11:1517–1525. </w:t>
      </w:r>
      <w:r w:rsidRPr="0084678A">
        <w:rPr>
          <w:color w:val="000000" w:themeColor="text1"/>
        </w:rPr>
        <w:t>PMID: 12045205</w:t>
      </w:r>
    </w:p>
    <w:p w14:paraId="10711664" w14:textId="77777777" w:rsidR="00CD5097" w:rsidRPr="0084678A" w:rsidRDefault="00CD5097" w:rsidP="00CD5097">
      <w:pPr>
        <w:pStyle w:val="ListParagraph"/>
        <w:numPr>
          <w:ilvl w:val="0"/>
          <w:numId w:val="1"/>
        </w:numPr>
        <w:rPr>
          <w:color w:val="000000" w:themeColor="text1"/>
        </w:rPr>
      </w:pPr>
      <w:r w:rsidRPr="0084678A">
        <w:rPr>
          <w:color w:val="000000" w:themeColor="text1"/>
        </w:rPr>
        <w:t>Hanks SK, Hunter T. 1995. The eukaryotic protein kinase superfamily: kinase (catalytic) domain structure and classification. FASEB J 9:576–596. PMID: 7768349</w:t>
      </w:r>
    </w:p>
    <w:p w14:paraId="5D74A1D0" w14:textId="77777777" w:rsidR="00CD5097" w:rsidRPr="0084678A" w:rsidRDefault="00CD5097" w:rsidP="00CD5097">
      <w:pPr>
        <w:pStyle w:val="ListParagraph"/>
        <w:numPr>
          <w:ilvl w:val="0"/>
          <w:numId w:val="1"/>
        </w:numPr>
        <w:rPr>
          <w:rFonts w:cstheme="minorHAnsi"/>
          <w:color w:val="000000" w:themeColor="text1"/>
        </w:rPr>
      </w:pPr>
      <w:r w:rsidRPr="0084678A">
        <w:rPr>
          <w:rFonts w:cstheme="minorHAnsi"/>
          <w:color w:val="000000" w:themeColor="text1"/>
          <w:shd w:val="clear" w:color="auto" w:fill="FFFFFF"/>
        </w:rPr>
        <w:t xml:space="preserve">Southgate L, Machado RD, </w:t>
      </w:r>
      <w:proofErr w:type="spellStart"/>
      <w:r w:rsidRPr="0084678A">
        <w:rPr>
          <w:rFonts w:cstheme="minorHAnsi"/>
          <w:color w:val="000000" w:themeColor="text1"/>
          <w:shd w:val="clear" w:color="auto" w:fill="FFFFFF"/>
        </w:rPr>
        <w:t>Gräf</w:t>
      </w:r>
      <w:proofErr w:type="spellEnd"/>
      <w:r w:rsidRPr="0084678A">
        <w:rPr>
          <w:rFonts w:cstheme="minorHAnsi"/>
          <w:color w:val="000000" w:themeColor="text1"/>
          <w:shd w:val="clear" w:color="auto" w:fill="FFFFFF"/>
        </w:rPr>
        <w:t xml:space="preserve"> S, Morrell NW. Molecular genetic framework underlying pulmonary arterial hypertension. Nat Rev </w:t>
      </w:r>
      <w:proofErr w:type="spellStart"/>
      <w:r w:rsidRPr="0084678A">
        <w:rPr>
          <w:rFonts w:cstheme="minorHAnsi"/>
          <w:color w:val="000000" w:themeColor="text1"/>
          <w:shd w:val="clear" w:color="auto" w:fill="FFFFFF"/>
        </w:rPr>
        <w:t>Cardiol</w:t>
      </w:r>
      <w:proofErr w:type="spellEnd"/>
      <w:r w:rsidRPr="0084678A">
        <w:rPr>
          <w:rFonts w:cstheme="minorHAnsi"/>
          <w:color w:val="000000" w:themeColor="text1"/>
          <w:shd w:val="clear" w:color="auto" w:fill="FFFFFF"/>
        </w:rPr>
        <w:t xml:space="preserve">. 2020 Feb;17(2):85-95. </w:t>
      </w:r>
      <w:proofErr w:type="spellStart"/>
      <w:r w:rsidRPr="0084678A">
        <w:rPr>
          <w:rFonts w:cstheme="minorHAnsi"/>
          <w:color w:val="000000" w:themeColor="text1"/>
          <w:shd w:val="clear" w:color="auto" w:fill="FFFFFF"/>
        </w:rPr>
        <w:t>doi</w:t>
      </w:r>
      <w:proofErr w:type="spellEnd"/>
      <w:r w:rsidRPr="0084678A">
        <w:rPr>
          <w:rFonts w:cstheme="minorHAnsi"/>
          <w:color w:val="000000" w:themeColor="text1"/>
          <w:shd w:val="clear" w:color="auto" w:fill="FFFFFF"/>
        </w:rPr>
        <w:t xml:space="preserve">: 10.1038/s41569-019-0242-x. </w:t>
      </w:r>
      <w:proofErr w:type="spellStart"/>
      <w:r w:rsidRPr="0084678A">
        <w:rPr>
          <w:rFonts w:cstheme="minorHAnsi"/>
          <w:color w:val="000000" w:themeColor="text1"/>
          <w:shd w:val="clear" w:color="auto" w:fill="FFFFFF"/>
        </w:rPr>
        <w:t>Epub</w:t>
      </w:r>
      <w:proofErr w:type="spellEnd"/>
      <w:r w:rsidRPr="0084678A">
        <w:rPr>
          <w:rFonts w:cstheme="minorHAnsi"/>
          <w:color w:val="000000" w:themeColor="text1"/>
          <w:shd w:val="clear" w:color="auto" w:fill="FFFFFF"/>
        </w:rPr>
        <w:t xml:space="preserve"> 2019 Aug 12. PMID: 31406341</w:t>
      </w:r>
    </w:p>
    <w:p w14:paraId="5E709E33" w14:textId="77777777" w:rsidR="00CD5097" w:rsidRPr="0084678A" w:rsidRDefault="00CD5097" w:rsidP="00CD5097">
      <w:pPr>
        <w:pStyle w:val="ListParagraph"/>
        <w:numPr>
          <w:ilvl w:val="0"/>
          <w:numId w:val="1"/>
        </w:numPr>
        <w:rPr>
          <w:rFonts w:cstheme="minorHAnsi"/>
          <w:color w:val="000000" w:themeColor="text1"/>
        </w:rPr>
      </w:pPr>
      <w:r w:rsidRPr="0084678A">
        <w:rPr>
          <w:rFonts w:cstheme="minorHAnsi"/>
          <w:color w:val="000000" w:themeColor="text1"/>
          <w:shd w:val="clear" w:color="auto" w:fill="FFFFFF"/>
        </w:rPr>
        <w:t xml:space="preserve">Machado RD, Southgate L, Eichstaedt CA, </w:t>
      </w:r>
      <w:proofErr w:type="spellStart"/>
      <w:r w:rsidRPr="0084678A">
        <w:rPr>
          <w:rFonts w:cstheme="minorHAnsi"/>
          <w:color w:val="000000" w:themeColor="text1"/>
          <w:shd w:val="clear" w:color="auto" w:fill="FFFFFF"/>
        </w:rPr>
        <w:t>Aldred</w:t>
      </w:r>
      <w:proofErr w:type="spellEnd"/>
      <w:r w:rsidRPr="0084678A">
        <w:rPr>
          <w:rFonts w:cstheme="minorHAnsi"/>
          <w:color w:val="000000" w:themeColor="text1"/>
          <w:shd w:val="clear" w:color="auto" w:fill="FFFFFF"/>
        </w:rPr>
        <w:t xml:space="preserve"> MA, Austin ED, Best DH, Chung WK, Benjamin N, Elliott CG, Eyries M, Fischer C, </w:t>
      </w:r>
      <w:proofErr w:type="spellStart"/>
      <w:r w:rsidRPr="0084678A">
        <w:rPr>
          <w:rFonts w:cstheme="minorHAnsi"/>
          <w:color w:val="000000" w:themeColor="text1"/>
          <w:shd w:val="clear" w:color="auto" w:fill="FFFFFF"/>
        </w:rPr>
        <w:t>Gräf</w:t>
      </w:r>
      <w:proofErr w:type="spellEnd"/>
      <w:r w:rsidRPr="0084678A">
        <w:rPr>
          <w:rFonts w:cstheme="minorHAnsi"/>
          <w:color w:val="000000" w:themeColor="text1"/>
          <w:shd w:val="clear" w:color="auto" w:fill="FFFFFF"/>
        </w:rPr>
        <w:t xml:space="preserve"> S, </w:t>
      </w:r>
      <w:proofErr w:type="spellStart"/>
      <w:r w:rsidRPr="0084678A">
        <w:rPr>
          <w:rFonts w:cstheme="minorHAnsi"/>
          <w:color w:val="000000" w:themeColor="text1"/>
          <w:shd w:val="clear" w:color="auto" w:fill="FFFFFF"/>
        </w:rPr>
        <w:t>Hinderhofer</w:t>
      </w:r>
      <w:proofErr w:type="spellEnd"/>
      <w:r w:rsidRPr="0084678A">
        <w:rPr>
          <w:rFonts w:cstheme="minorHAnsi"/>
          <w:color w:val="000000" w:themeColor="text1"/>
          <w:shd w:val="clear" w:color="auto" w:fill="FFFFFF"/>
        </w:rPr>
        <w:t xml:space="preserve"> K, Humbert M, </w:t>
      </w:r>
      <w:proofErr w:type="spellStart"/>
      <w:r w:rsidRPr="0084678A">
        <w:rPr>
          <w:rFonts w:cstheme="minorHAnsi"/>
          <w:color w:val="000000" w:themeColor="text1"/>
          <w:shd w:val="clear" w:color="auto" w:fill="FFFFFF"/>
        </w:rPr>
        <w:t>Keiles</w:t>
      </w:r>
      <w:proofErr w:type="spellEnd"/>
      <w:r w:rsidRPr="0084678A">
        <w:rPr>
          <w:rFonts w:cstheme="minorHAnsi"/>
          <w:color w:val="000000" w:themeColor="text1"/>
          <w:shd w:val="clear" w:color="auto" w:fill="FFFFFF"/>
        </w:rPr>
        <w:t xml:space="preserve"> SB, </w:t>
      </w:r>
      <w:proofErr w:type="spellStart"/>
      <w:r w:rsidRPr="0084678A">
        <w:rPr>
          <w:rFonts w:cstheme="minorHAnsi"/>
          <w:color w:val="000000" w:themeColor="text1"/>
          <w:shd w:val="clear" w:color="auto" w:fill="FFFFFF"/>
        </w:rPr>
        <w:t>Loyd</w:t>
      </w:r>
      <w:proofErr w:type="spellEnd"/>
      <w:r w:rsidRPr="0084678A">
        <w:rPr>
          <w:rFonts w:cstheme="minorHAnsi"/>
          <w:color w:val="000000" w:themeColor="text1"/>
          <w:shd w:val="clear" w:color="auto" w:fill="FFFFFF"/>
        </w:rPr>
        <w:t xml:space="preserve"> JE, Morrell NW, Newman JH, </w:t>
      </w:r>
      <w:proofErr w:type="spellStart"/>
      <w:r w:rsidRPr="0084678A">
        <w:rPr>
          <w:rFonts w:cstheme="minorHAnsi"/>
          <w:color w:val="000000" w:themeColor="text1"/>
          <w:shd w:val="clear" w:color="auto" w:fill="FFFFFF"/>
        </w:rPr>
        <w:t>Soubrier</w:t>
      </w:r>
      <w:proofErr w:type="spellEnd"/>
      <w:r w:rsidRPr="0084678A">
        <w:rPr>
          <w:rFonts w:cstheme="minorHAnsi"/>
          <w:color w:val="000000" w:themeColor="text1"/>
          <w:shd w:val="clear" w:color="auto" w:fill="FFFFFF"/>
        </w:rPr>
        <w:t xml:space="preserve"> F, </w:t>
      </w:r>
      <w:proofErr w:type="spellStart"/>
      <w:r w:rsidRPr="0084678A">
        <w:rPr>
          <w:rFonts w:cstheme="minorHAnsi"/>
          <w:color w:val="000000" w:themeColor="text1"/>
          <w:shd w:val="clear" w:color="auto" w:fill="FFFFFF"/>
        </w:rPr>
        <w:t>Trembath</w:t>
      </w:r>
      <w:proofErr w:type="spellEnd"/>
      <w:r w:rsidRPr="0084678A">
        <w:rPr>
          <w:rFonts w:cstheme="minorHAnsi"/>
          <w:color w:val="000000" w:themeColor="text1"/>
          <w:shd w:val="clear" w:color="auto" w:fill="FFFFFF"/>
        </w:rPr>
        <w:t xml:space="preserve"> RC, </w:t>
      </w:r>
      <w:proofErr w:type="spellStart"/>
      <w:r w:rsidRPr="0084678A">
        <w:rPr>
          <w:rFonts w:cstheme="minorHAnsi"/>
          <w:color w:val="000000" w:themeColor="text1"/>
          <w:shd w:val="clear" w:color="auto" w:fill="FFFFFF"/>
        </w:rPr>
        <w:t>Viales</w:t>
      </w:r>
      <w:proofErr w:type="spellEnd"/>
      <w:r w:rsidRPr="0084678A">
        <w:rPr>
          <w:rFonts w:cstheme="minorHAnsi"/>
          <w:color w:val="000000" w:themeColor="text1"/>
          <w:shd w:val="clear" w:color="auto" w:fill="FFFFFF"/>
        </w:rPr>
        <w:t xml:space="preserve"> RR, </w:t>
      </w:r>
      <w:proofErr w:type="spellStart"/>
      <w:r w:rsidRPr="0084678A">
        <w:rPr>
          <w:rFonts w:cstheme="minorHAnsi"/>
          <w:color w:val="000000" w:themeColor="text1"/>
          <w:shd w:val="clear" w:color="auto" w:fill="FFFFFF"/>
        </w:rPr>
        <w:t>Grünig</w:t>
      </w:r>
      <w:proofErr w:type="spellEnd"/>
      <w:r w:rsidRPr="0084678A">
        <w:rPr>
          <w:rFonts w:cstheme="minorHAnsi"/>
          <w:color w:val="000000" w:themeColor="text1"/>
          <w:shd w:val="clear" w:color="auto" w:fill="FFFFFF"/>
        </w:rPr>
        <w:t xml:space="preserve"> E. Pulmonary Arterial Hypertension: A Current Perspective on Established and Emerging Molecular Genetic Defects. Hum </w:t>
      </w:r>
      <w:proofErr w:type="spellStart"/>
      <w:r w:rsidRPr="0084678A">
        <w:rPr>
          <w:rFonts w:cstheme="minorHAnsi"/>
          <w:color w:val="000000" w:themeColor="text1"/>
          <w:shd w:val="clear" w:color="auto" w:fill="FFFFFF"/>
        </w:rPr>
        <w:t>Mutat</w:t>
      </w:r>
      <w:proofErr w:type="spellEnd"/>
      <w:r w:rsidRPr="0084678A">
        <w:rPr>
          <w:rFonts w:cstheme="minorHAnsi"/>
          <w:color w:val="000000" w:themeColor="text1"/>
          <w:shd w:val="clear" w:color="auto" w:fill="FFFFFF"/>
        </w:rPr>
        <w:t xml:space="preserve">. 2015 Dec;36(12):1113-27. </w:t>
      </w:r>
      <w:proofErr w:type="spellStart"/>
      <w:r w:rsidRPr="0084678A">
        <w:rPr>
          <w:rFonts w:cstheme="minorHAnsi"/>
          <w:color w:val="000000" w:themeColor="text1"/>
          <w:shd w:val="clear" w:color="auto" w:fill="FFFFFF"/>
        </w:rPr>
        <w:t>doi</w:t>
      </w:r>
      <w:proofErr w:type="spellEnd"/>
      <w:r w:rsidRPr="0084678A">
        <w:rPr>
          <w:rFonts w:cstheme="minorHAnsi"/>
          <w:color w:val="000000" w:themeColor="text1"/>
          <w:shd w:val="clear" w:color="auto" w:fill="FFFFFF"/>
        </w:rPr>
        <w:t xml:space="preserve">: 10.1002/humu.22904. </w:t>
      </w:r>
      <w:proofErr w:type="spellStart"/>
      <w:r w:rsidRPr="0084678A">
        <w:rPr>
          <w:rFonts w:cstheme="minorHAnsi"/>
          <w:color w:val="000000" w:themeColor="text1"/>
          <w:shd w:val="clear" w:color="auto" w:fill="FFFFFF"/>
        </w:rPr>
        <w:t>Epub</w:t>
      </w:r>
      <w:proofErr w:type="spellEnd"/>
      <w:r w:rsidRPr="0084678A">
        <w:rPr>
          <w:rFonts w:cstheme="minorHAnsi"/>
          <w:color w:val="000000" w:themeColor="text1"/>
          <w:shd w:val="clear" w:color="auto" w:fill="FFFFFF"/>
        </w:rPr>
        <w:t xml:space="preserve"> 2015 Oct 12. PMID: 26387786</w:t>
      </w:r>
    </w:p>
    <w:p w14:paraId="2171EB1D" w14:textId="77777777" w:rsidR="00CD5097" w:rsidRPr="0084678A" w:rsidRDefault="00CD5097" w:rsidP="00CD5097">
      <w:pPr>
        <w:pStyle w:val="ListParagraph"/>
        <w:numPr>
          <w:ilvl w:val="0"/>
          <w:numId w:val="1"/>
        </w:numPr>
        <w:rPr>
          <w:rFonts w:cstheme="minorHAnsi"/>
          <w:color w:val="000000" w:themeColor="text1"/>
        </w:rPr>
      </w:pPr>
      <w:r w:rsidRPr="0084678A">
        <w:rPr>
          <w:rFonts w:cstheme="minorHAnsi"/>
          <w:color w:val="000000" w:themeColor="text1"/>
          <w:shd w:val="clear" w:color="auto" w:fill="FFFFFF"/>
        </w:rPr>
        <w:t xml:space="preserve">Machado RD, </w:t>
      </w:r>
      <w:proofErr w:type="spellStart"/>
      <w:r w:rsidRPr="0084678A">
        <w:rPr>
          <w:rFonts w:cstheme="minorHAnsi"/>
          <w:color w:val="000000" w:themeColor="text1"/>
          <w:shd w:val="clear" w:color="auto" w:fill="FFFFFF"/>
        </w:rPr>
        <w:t>Aldred</w:t>
      </w:r>
      <w:proofErr w:type="spellEnd"/>
      <w:r w:rsidRPr="0084678A">
        <w:rPr>
          <w:rFonts w:cstheme="minorHAnsi"/>
          <w:color w:val="000000" w:themeColor="text1"/>
          <w:shd w:val="clear" w:color="auto" w:fill="FFFFFF"/>
        </w:rPr>
        <w:t xml:space="preserve"> MA, James V, Harrison RE, Patel B, Schwalbe EC, </w:t>
      </w:r>
      <w:proofErr w:type="spellStart"/>
      <w:r w:rsidRPr="0084678A">
        <w:rPr>
          <w:rFonts w:cstheme="minorHAnsi"/>
          <w:color w:val="000000" w:themeColor="text1"/>
          <w:shd w:val="clear" w:color="auto" w:fill="FFFFFF"/>
        </w:rPr>
        <w:t>Gruenig</w:t>
      </w:r>
      <w:proofErr w:type="spellEnd"/>
      <w:r w:rsidRPr="0084678A">
        <w:rPr>
          <w:rFonts w:cstheme="minorHAnsi"/>
          <w:color w:val="000000" w:themeColor="text1"/>
          <w:shd w:val="clear" w:color="auto" w:fill="FFFFFF"/>
        </w:rPr>
        <w:t xml:space="preserve"> E, Janssen B, Koehler R, Seeger W, </w:t>
      </w:r>
      <w:proofErr w:type="spellStart"/>
      <w:r w:rsidRPr="0084678A">
        <w:rPr>
          <w:rFonts w:cstheme="minorHAnsi"/>
          <w:color w:val="000000" w:themeColor="text1"/>
          <w:shd w:val="clear" w:color="auto" w:fill="FFFFFF"/>
        </w:rPr>
        <w:t>Eickelberg</w:t>
      </w:r>
      <w:proofErr w:type="spellEnd"/>
      <w:r w:rsidRPr="0084678A">
        <w:rPr>
          <w:rFonts w:cstheme="minorHAnsi"/>
          <w:color w:val="000000" w:themeColor="text1"/>
          <w:shd w:val="clear" w:color="auto" w:fill="FFFFFF"/>
        </w:rPr>
        <w:t xml:space="preserve"> O, </w:t>
      </w:r>
      <w:proofErr w:type="spellStart"/>
      <w:r w:rsidRPr="0084678A">
        <w:rPr>
          <w:rFonts w:cstheme="minorHAnsi"/>
          <w:color w:val="000000" w:themeColor="text1"/>
          <w:shd w:val="clear" w:color="auto" w:fill="FFFFFF"/>
        </w:rPr>
        <w:t>Olschewski</w:t>
      </w:r>
      <w:proofErr w:type="spellEnd"/>
      <w:r w:rsidRPr="0084678A">
        <w:rPr>
          <w:rFonts w:cstheme="minorHAnsi"/>
          <w:color w:val="000000" w:themeColor="text1"/>
          <w:shd w:val="clear" w:color="auto" w:fill="FFFFFF"/>
        </w:rPr>
        <w:t xml:space="preserve"> H, Elliott CG, </w:t>
      </w:r>
      <w:proofErr w:type="spellStart"/>
      <w:r w:rsidRPr="0084678A">
        <w:rPr>
          <w:rFonts w:cstheme="minorHAnsi"/>
          <w:color w:val="000000" w:themeColor="text1"/>
          <w:shd w:val="clear" w:color="auto" w:fill="FFFFFF"/>
        </w:rPr>
        <w:t>Glissmeyer</w:t>
      </w:r>
      <w:proofErr w:type="spellEnd"/>
      <w:r w:rsidRPr="0084678A">
        <w:rPr>
          <w:rFonts w:cstheme="minorHAnsi"/>
          <w:color w:val="000000" w:themeColor="text1"/>
          <w:shd w:val="clear" w:color="auto" w:fill="FFFFFF"/>
        </w:rPr>
        <w:t xml:space="preserve"> E, </w:t>
      </w:r>
      <w:proofErr w:type="spellStart"/>
      <w:r w:rsidRPr="0084678A">
        <w:rPr>
          <w:rFonts w:cstheme="minorHAnsi"/>
          <w:color w:val="000000" w:themeColor="text1"/>
          <w:shd w:val="clear" w:color="auto" w:fill="FFFFFF"/>
        </w:rPr>
        <w:t>Carlquist</w:t>
      </w:r>
      <w:proofErr w:type="spellEnd"/>
      <w:r w:rsidRPr="0084678A">
        <w:rPr>
          <w:rFonts w:cstheme="minorHAnsi"/>
          <w:color w:val="000000" w:themeColor="text1"/>
          <w:shd w:val="clear" w:color="auto" w:fill="FFFFFF"/>
        </w:rPr>
        <w:t xml:space="preserve"> J, Kim M, </w:t>
      </w:r>
      <w:proofErr w:type="spellStart"/>
      <w:r w:rsidRPr="0084678A">
        <w:rPr>
          <w:rFonts w:cstheme="minorHAnsi"/>
          <w:color w:val="000000" w:themeColor="text1"/>
          <w:shd w:val="clear" w:color="auto" w:fill="FFFFFF"/>
        </w:rPr>
        <w:t>Torbicki</w:t>
      </w:r>
      <w:proofErr w:type="spellEnd"/>
      <w:r w:rsidRPr="0084678A">
        <w:rPr>
          <w:rFonts w:cstheme="minorHAnsi"/>
          <w:color w:val="000000" w:themeColor="text1"/>
          <w:shd w:val="clear" w:color="auto" w:fill="FFFFFF"/>
        </w:rPr>
        <w:t xml:space="preserve"> A, </w:t>
      </w:r>
      <w:proofErr w:type="spellStart"/>
      <w:r w:rsidRPr="0084678A">
        <w:rPr>
          <w:rFonts w:cstheme="minorHAnsi"/>
          <w:color w:val="000000" w:themeColor="text1"/>
          <w:shd w:val="clear" w:color="auto" w:fill="FFFFFF"/>
        </w:rPr>
        <w:t>Fijalkowska</w:t>
      </w:r>
      <w:proofErr w:type="spellEnd"/>
      <w:r w:rsidRPr="0084678A">
        <w:rPr>
          <w:rFonts w:cstheme="minorHAnsi"/>
          <w:color w:val="000000" w:themeColor="text1"/>
          <w:shd w:val="clear" w:color="auto" w:fill="FFFFFF"/>
        </w:rPr>
        <w:t xml:space="preserve"> A, </w:t>
      </w:r>
      <w:proofErr w:type="spellStart"/>
      <w:r w:rsidRPr="0084678A">
        <w:rPr>
          <w:rFonts w:cstheme="minorHAnsi"/>
          <w:color w:val="000000" w:themeColor="text1"/>
          <w:shd w:val="clear" w:color="auto" w:fill="FFFFFF"/>
        </w:rPr>
        <w:t>Szewczyk</w:t>
      </w:r>
      <w:proofErr w:type="spellEnd"/>
      <w:r w:rsidRPr="0084678A">
        <w:rPr>
          <w:rFonts w:cstheme="minorHAnsi"/>
          <w:color w:val="000000" w:themeColor="text1"/>
          <w:shd w:val="clear" w:color="auto" w:fill="FFFFFF"/>
        </w:rPr>
        <w:t xml:space="preserve"> G, Parma J, </w:t>
      </w:r>
      <w:proofErr w:type="spellStart"/>
      <w:r w:rsidRPr="0084678A">
        <w:rPr>
          <w:rFonts w:cstheme="minorHAnsi"/>
          <w:color w:val="000000" w:themeColor="text1"/>
          <w:shd w:val="clear" w:color="auto" w:fill="FFFFFF"/>
        </w:rPr>
        <w:t>Abramowicz</w:t>
      </w:r>
      <w:proofErr w:type="spellEnd"/>
      <w:r w:rsidRPr="0084678A">
        <w:rPr>
          <w:rFonts w:cstheme="minorHAnsi"/>
          <w:color w:val="000000" w:themeColor="text1"/>
          <w:shd w:val="clear" w:color="auto" w:fill="FFFFFF"/>
        </w:rPr>
        <w:t xml:space="preserve"> MJ, </w:t>
      </w:r>
      <w:proofErr w:type="spellStart"/>
      <w:r w:rsidRPr="0084678A">
        <w:rPr>
          <w:rFonts w:cstheme="minorHAnsi"/>
          <w:color w:val="000000" w:themeColor="text1"/>
          <w:shd w:val="clear" w:color="auto" w:fill="FFFFFF"/>
        </w:rPr>
        <w:t>Galie</w:t>
      </w:r>
      <w:proofErr w:type="spellEnd"/>
      <w:r w:rsidRPr="0084678A">
        <w:rPr>
          <w:rFonts w:cstheme="minorHAnsi"/>
          <w:color w:val="000000" w:themeColor="text1"/>
          <w:shd w:val="clear" w:color="auto" w:fill="FFFFFF"/>
        </w:rPr>
        <w:t xml:space="preserve"> N, </w:t>
      </w:r>
      <w:proofErr w:type="spellStart"/>
      <w:r w:rsidRPr="0084678A">
        <w:rPr>
          <w:rFonts w:cstheme="minorHAnsi"/>
          <w:color w:val="000000" w:themeColor="text1"/>
          <w:shd w:val="clear" w:color="auto" w:fill="FFFFFF"/>
        </w:rPr>
        <w:t>Morisaki</w:t>
      </w:r>
      <w:proofErr w:type="spellEnd"/>
      <w:r w:rsidRPr="0084678A">
        <w:rPr>
          <w:rFonts w:cstheme="minorHAnsi"/>
          <w:color w:val="000000" w:themeColor="text1"/>
          <w:shd w:val="clear" w:color="auto" w:fill="FFFFFF"/>
        </w:rPr>
        <w:t xml:space="preserve"> H, </w:t>
      </w:r>
      <w:proofErr w:type="spellStart"/>
      <w:r w:rsidRPr="0084678A">
        <w:rPr>
          <w:rFonts w:cstheme="minorHAnsi"/>
          <w:color w:val="000000" w:themeColor="text1"/>
          <w:shd w:val="clear" w:color="auto" w:fill="FFFFFF"/>
        </w:rPr>
        <w:t>Kyotani</w:t>
      </w:r>
      <w:proofErr w:type="spellEnd"/>
      <w:r w:rsidRPr="0084678A">
        <w:rPr>
          <w:rFonts w:cstheme="minorHAnsi"/>
          <w:color w:val="000000" w:themeColor="text1"/>
          <w:shd w:val="clear" w:color="auto" w:fill="FFFFFF"/>
        </w:rPr>
        <w:t xml:space="preserve"> S, Nakanishi N, </w:t>
      </w:r>
      <w:proofErr w:type="spellStart"/>
      <w:r w:rsidRPr="0084678A">
        <w:rPr>
          <w:rFonts w:cstheme="minorHAnsi"/>
          <w:color w:val="000000" w:themeColor="text1"/>
          <w:shd w:val="clear" w:color="auto" w:fill="FFFFFF"/>
        </w:rPr>
        <w:t>Morisaki</w:t>
      </w:r>
      <w:proofErr w:type="spellEnd"/>
      <w:r w:rsidRPr="0084678A">
        <w:rPr>
          <w:rFonts w:cstheme="minorHAnsi"/>
          <w:color w:val="000000" w:themeColor="text1"/>
          <w:shd w:val="clear" w:color="auto" w:fill="FFFFFF"/>
        </w:rPr>
        <w:t xml:space="preserve"> T, Humbert M, </w:t>
      </w:r>
      <w:proofErr w:type="spellStart"/>
      <w:r w:rsidRPr="0084678A">
        <w:rPr>
          <w:rFonts w:cstheme="minorHAnsi"/>
          <w:color w:val="000000" w:themeColor="text1"/>
          <w:shd w:val="clear" w:color="auto" w:fill="FFFFFF"/>
        </w:rPr>
        <w:t>Simonneau</w:t>
      </w:r>
      <w:proofErr w:type="spellEnd"/>
      <w:r w:rsidRPr="0084678A">
        <w:rPr>
          <w:rFonts w:cstheme="minorHAnsi"/>
          <w:color w:val="000000" w:themeColor="text1"/>
          <w:shd w:val="clear" w:color="auto" w:fill="FFFFFF"/>
        </w:rPr>
        <w:t xml:space="preserve"> G, </w:t>
      </w:r>
      <w:proofErr w:type="spellStart"/>
      <w:r w:rsidRPr="0084678A">
        <w:rPr>
          <w:rFonts w:cstheme="minorHAnsi"/>
          <w:color w:val="000000" w:themeColor="text1"/>
          <w:shd w:val="clear" w:color="auto" w:fill="FFFFFF"/>
        </w:rPr>
        <w:t>Sitbon</w:t>
      </w:r>
      <w:proofErr w:type="spellEnd"/>
      <w:r w:rsidRPr="0084678A">
        <w:rPr>
          <w:rFonts w:cstheme="minorHAnsi"/>
          <w:color w:val="000000" w:themeColor="text1"/>
          <w:shd w:val="clear" w:color="auto" w:fill="FFFFFF"/>
        </w:rPr>
        <w:t xml:space="preserve"> O, </w:t>
      </w:r>
      <w:proofErr w:type="spellStart"/>
      <w:r w:rsidRPr="0084678A">
        <w:rPr>
          <w:rFonts w:cstheme="minorHAnsi"/>
          <w:color w:val="000000" w:themeColor="text1"/>
          <w:shd w:val="clear" w:color="auto" w:fill="FFFFFF"/>
        </w:rPr>
        <w:t>Soubrier</w:t>
      </w:r>
      <w:proofErr w:type="spellEnd"/>
      <w:r w:rsidRPr="0084678A">
        <w:rPr>
          <w:rFonts w:cstheme="minorHAnsi"/>
          <w:color w:val="000000" w:themeColor="text1"/>
          <w:shd w:val="clear" w:color="auto" w:fill="FFFFFF"/>
        </w:rPr>
        <w:t xml:space="preserve"> F, </w:t>
      </w:r>
      <w:proofErr w:type="spellStart"/>
      <w:r w:rsidRPr="0084678A">
        <w:rPr>
          <w:rFonts w:cstheme="minorHAnsi"/>
          <w:color w:val="000000" w:themeColor="text1"/>
          <w:shd w:val="clear" w:color="auto" w:fill="FFFFFF"/>
        </w:rPr>
        <w:t>Coulet</w:t>
      </w:r>
      <w:proofErr w:type="spellEnd"/>
      <w:r w:rsidRPr="0084678A">
        <w:rPr>
          <w:rFonts w:cstheme="minorHAnsi"/>
          <w:color w:val="000000" w:themeColor="text1"/>
          <w:shd w:val="clear" w:color="auto" w:fill="FFFFFF"/>
        </w:rPr>
        <w:t xml:space="preserve"> F, Morrell NW, </w:t>
      </w:r>
      <w:proofErr w:type="spellStart"/>
      <w:r w:rsidRPr="0084678A">
        <w:rPr>
          <w:rFonts w:cstheme="minorHAnsi"/>
          <w:color w:val="000000" w:themeColor="text1"/>
          <w:shd w:val="clear" w:color="auto" w:fill="FFFFFF"/>
        </w:rPr>
        <w:t>Trembath</w:t>
      </w:r>
      <w:proofErr w:type="spellEnd"/>
      <w:r w:rsidRPr="0084678A">
        <w:rPr>
          <w:rFonts w:cstheme="minorHAnsi"/>
          <w:color w:val="000000" w:themeColor="text1"/>
          <w:shd w:val="clear" w:color="auto" w:fill="FFFFFF"/>
        </w:rPr>
        <w:t xml:space="preserve"> RC. Mutations of the TGF-beta type II receptor BMPR2 in pulmonary arterial hypertension. Hum </w:t>
      </w:r>
      <w:proofErr w:type="spellStart"/>
      <w:r w:rsidRPr="0084678A">
        <w:rPr>
          <w:rFonts w:cstheme="minorHAnsi"/>
          <w:color w:val="000000" w:themeColor="text1"/>
          <w:shd w:val="clear" w:color="auto" w:fill="FFFFFF"/>
        </w:rPr>
        <w:t>Mutat</w:t>
      </w:r>
      <w:proofErr w:type="spellEnd"/>
      <w:r w:rsidRPr="0084678A">
        <w:rPr>
          <w:rFonts w:cstheme="minorHAnsi"/>
          <w:color w:val="000000" w:themeColor="text1"/>
          <w:shd w:val="clear" w:color="auto" w:fill="FFFFFF"/>
        </w:rPr>
        <w:t xml:space="preserve">. 2006 Feb;27(2):121-32. </w:t>
      </w:r>
      <w:proofErr w:type="spellStart"/>
      <w:r w:rsidRPr="0084678A">
        <w:rPr>
          <w:rFonts w:cstheme="minorHAnsi"/>
          <w:color w:val="000000" w:themeColor="text1"/>
          <w:shd w:val="clear" w:color="auto" w:fill="FFFFFF"/>
        </w:rPr>
        <w:t>doi</w:t>
      </w:r>
      <w:proofErr w:type="spellEnd"/>
      <w:r w:rsidRPr="0084678A">
        <w:rPr>
          <w:rFonts w:cstheme="minorHAnsi"/>
          <w:color w:val="000000" w:themeColor="text1"/>
          <w:shd w:val="clear" w:color="auto" w:fill="FFFFFF"/>
        </w:rPr>
        <w:t>: 10.1002/humu.20285. PMID: 16429395.</w:t>
      </w:r>
    </w:p>
    <w:p w14:paraId="3752E0B7" w14:textId="77777777" w:rsidR="001D01E8" w:rsidRDefault="001D01E8"/>
    <w:sectPr w:rsidR="001D01E8" w:rsidSect="006731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16067"/>
    <w:multiLevelType w:val="hybridMultilevel"/>
    <w:tmpl w:val="2CE6E6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51A7D0A"/>
    <w:multiLevelType w:val="hybridMultilevel"/>
    <w:tmpl w:val="97E48FF8"/>
    <w:lvl w:ilvl="0" w:tplc="2E723370">
      <w:numFmt w:val="bullet"/>
      <w:lvlText w:val="-"/>
      <w:lvlJc w:val="left"/>
      <w:pPr>
        <w:ind w:left="720" w:hanging="360"/>
      </w:pPr>
      <w:rPr>
        <w:rFonts w:ascii="Calibri" w:eastAsiaTheme="minorHAnsi" w:hAnsi="Calibri" w:cs="Calibri" w:hint="default"/>
        <w:i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5487964">
    <w:abstractNumId w:val="0"/>
  </w:num>
  <w:num w:numId="2" w16cid:durableId="12847327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097"/>
    <w:rsid w:val="00022872"/>
    <w:rsid w:val="000241FD"/>
    <w:rsid w:val="00035565"/>
    <w:rsid w:val="0004484E"/>
    <w:rsid w:val="00050F20"/>
    <w:rsid w:val="00051079"/>
    <w:rsid w:val="00060409"/>
    <w:rsid w:val="000B02CB"/>
    <w:rsid w:val="000D631F"/>
    <w:rsid w:val="000F5631"/>
    <w:rsid w:val="00100552"/>
    <w:rsid w:val="00142903"/>
    <w:rsid w:val="0016358C"/>
    <w:rsid w:val="001826C9"/>
    <w:rsid w:val="001C3A11"/>
    <w:rsid w:val="001D01E8"/>
    <w:rsid w:val="001E1731"/>
    <w:rsid w:val="001E530A"/>
    <w:rsid w:val="00201E69"/>
    <w:rsid w:val="002058C2"/>
    <w:rsid w:val="00207846"/>
    <w:rsid w:val="00214F43"/>
    <w:rsid w:val="002203F3"/>
    <w:rsid w:val="00252AD8"/>
    <w:rsid w:val="00266D4D"/>
    <w:rsid w:val="002677DE"/>
    <w:rsid w:val="0027228B"/>
    <w:rsid w:val="00291477"/>
    <w:rsid w:val="002A5B77"/>
    <w:rsid w:val="002C4A8A"/>
    <w:rsid w:val="002D0408"/>
    <w:rsid w:val="002D124F"/>
    <w:rsid w:val="002F2197"/>
    <w:rsid w:val="00322CBF"/>
    <w:rsid w:val="00331B1A"/>
    <w:rsid w:val="003418C9"/>
    <w:rsid w:val="00390511"/>
    <w:rsid w:val="003A51F9"/>
    <w:rsid w:val="003A6B80"/>
    <w:rsid w:val="003C2296"/>
    <w:rsid w:val="003C3EE7"/>
    <w:rsid w:val="003C60B6"/>
    <w:rsid w:val="003E0064"/>
    <w:rsid w:val="003E3AE3"/>
    <w:rsid w:val="00415594"/>
    <w:rsid w:val="004202E7"/>
    <w:rsid w:val="00431C9C"/>
    <w:rsid w:val="00442661"/>
    <w:rsid w:val="00443F64"/>
    <w:rsid w:val="004530D2"/>
    <w:rsid w:val="004560CC"/>
    <w:rsid w:val="00466B3C"/>
    <w:rsid w:val="00481F22"/>
    <w:rsid w:val="00482632"/>
    <w:rsid w:val="00482D75"/>
    <w:rsid w:val="00485BD4"/>
    <w:rsid w:val="004B6FEA"/>
    <w:rsid w:val="004D2AD4"/>
    <w:rsid w:val="0050333C"/>
    <w:rsid w:val="0051096A"/>
    <w:rsid w:val="005215DC"/>
    <w:rsid w:val="00527F3C"/>
    <w:rsid w:val="00532642"/>
    <w:rsid w:val="005445D5"/>
    <w:rsid w:val="00563E24"/>
    <w:rsid w:val="005663B8"/>
    <w:rsid w:val="00584D71"/>
    <w:rsid w:val="005A72D1"/>
    <w:rsid w:val="005B2F10"/>
    <w:rsid w:val="005D2577"/>
    <w:rsid w:val="005F09F4"/>
    <w:rsid w:val="00625316"/>
    <w:rsid w:val="00643ADB"/>
    <w:rsid w:val="00651770"/>
    <w:rsid w:val="00651A97"/>
    <w:rsid w:val="006620AD"/>
    <w:rsid w:val="00665FC8"/>
    <w:rsid w:val="0067310E"/>
    <w:rsid w:val="00681FAB"/>
    <w:rsid w:val="00691785"/>
    <w:rsid w:val="00695CF8"/>
    <w:rsid w:val="0069784E"/>
    <w:rsid w:val="006B4E48"/>
    <w:rsid w:val="006D26B8"/>
    <w:rsid w:val="006D5D03"/>
    <w:rsid w:val="006E6090"/>
    <w:rsid w:val="006F4331"/>
    <w:rsid w:val="006F7E5B"/>
    <w:rsid w:val="00703913"/>
    <w:rsid w:val="00731987"/>
    <w:rsid w:val="00735637"/>
    <w:rsid w:val="00780B94"/>
    <w:rsid w:val="007C00D1"/>
    <w:rsid w:val="007C5B89"/>
    <w:rsid w:val="007D4387"/>
    <w:rsid w:val="007E582C"/>
    <w:rsid w:val="007F07EF"/>
    <w:rsid w:val="007F6BB6"/>
    <w:rsid w:val="007F6DC0"/>
    <w:rsid w:val="00800436"/>
    <w:rsid w:val="00806DA0"/>
    <w:rsid w:val="008220A1"/>
    <w:rsid w:val="00825BD6"/>
    <w:rsid w:val="00827617"/>
    <w:rsid w:val="00843B0A"/>
    <w:rsid w:val="00845921"/>
    <w:rsid w:val="0084678A"/>
    <w:rsid w:val="00873CA4"/>
    <w:rsid w:val="00882C14"/>
    <w:rsid w:val="00885962"/>
    <w:rsid w:val="00892704"/>
    <w:rsid w:val="008971F0"/>
    <w:rsid w:val="008B16B6"/>
    <w:rsid w:val="008C266E"/>
    <w:rsid w:val="008F3F24"/>
    <w:rsid w:val="00902910"/>
    <w:rsid w:val="00915FC5"/>
    <w:rsid w:val="00924AB9"/>
    <w:rsid w:val="00931303"/>
    <w:rsid w:val="009317D4"/>
    <w:rsid w:val="00931DCC"/>
    <w:rsid w:val="00937876"/>
    <w:rsid w:val="00960E8D"/>
    <w:rsid w:val="00962100"/>
    <w:rsid w:val="009658C5"/>
    <w:rsid w:val="00974460"/>
    <w:rsid w:val="00980A9F"/>
    <w:rsid w:val="009A10BE"/>
    <w:rsid w:val="009A5016"/>
    <w:rsid w:val="009A63A3"/>
    <w:rsid w:val="009A7E7E"/>
    <w:rsid w:val="009C6990"/>
    <w:rsid w:val="009E3331"/>
    <w:rsid w:val="009E5B00"/>
    <w:rsid w:val="00A0271C"/>
    <w:rsid w:val="00A06A2F"/>
    <w:rsid w:val="00A10424"/>
    <w:rsid w:val="00A25D52"/>
    <w:rsid w:val="00A3224B"/>
    <w:rsid w:val="00A37349"/>
    <w:rsid w:val="00A55382"/>
    <w:rsid w:val="00A80C7D"/>
    <w:rsid w:val="00A91605"/>
    <w:rsid w:val="00A95B3A"/>
    <w:rsid w:val="00AA41F3"/>
    <w:rsid w:val="00AD2069"/>
    <w:rsid w:val="00AF32A1"/>
    <w:rsid w:val="00B22E1B"/>
    <w:rsid w:val="00B2606C"/>
    <w:rsid w:val="00B34D4F"/>
    <w:rsid w:val="00B37122"/>
    <w:rsid w:val="00B434BB"/>
    <w:rsid w:val="00B510B9"/>
    <w:rsid w:val="00B51A8F"/>
    <w:rsid w:val="00B5678D"/>
    <w:rsid w:val="00B57B54"/>
    <w:rsid w:val="00BA06E1"/>
    <w:rsid w:val="00BB385A"/>
    <w:rsid w:val="00BB4F04"/>
    <w:rsid w:val="00BB59B7"/>
    <w:rsid w:val="00BC7D57"/>
    <w:rsid w:val="00C03D92"/>
    <w:rsid w:val="00C04E94"/>
    <w:rsid w:val="00C07B4B"/>
    <w:rsid w:val="00C21E6A"/>
    <w:rsid w:val="00C272FF"/>
    <w:rsid w:val="00C537CB"/>
    <w:rsid w:val="00C73A3B"/>
    <w:rsid w:val="00CC51B5"/>
    <w:rsid w:val="00CC5649"/>
    <w:rsid w:val="00CD5097"/>
    <w:rsid w:val="00CE065B"/>
    <w:rsid w:val="00CE17CB"/>
    <w:rsid w:val="00D31D42"/>
    <w:rsid w:val="00D43C4C"/>
    <w:rsid w:val="00D516AF"/>
    <w:rsid w:val="00D5603B"/>
    <w:rsid w:val="00D7588F"/>
    <w:rsid w:val="00D91A95"/>
    <w:rsid w:val="00DA2FA4"/>
    <w:rsid w:val="00DA4284"/>
    <w:rsid w:val="00DB7DF7"/>
    <w:rsid w:val="00DC6748"/>
    <w:rsid w:val="00DD21F1"/>
    <w:rsid w:val="00DE3E01"/>
    <w:rsid w:val="00DF6D6D"/>
    <w:rsid w:val="00DF7E4D"/>
    <w:rsid w:val="00E07F45"/>
    <w:rsid w:val="00E16603"/>
    <w:rsid w:val="00E80204"/>
    <w:rsid w:val="00E81095"/>
    <w:rsid w:val="00E9362B"/>
    <w:rsid w:val="00EA28FF"/>
    <w:rsid w:val="00EB30CB"/>
    <w:rsid w:val="00EB4F8B"/>
    <w:rsid w:val="00EC36D9"/>
    <w:rsid w:val="00EC77A1"/>
    <w:rsid w:val="00EC7AE4"/>
    <w:rsid w:val="00ED416A"/>
    <w:rsid w:val="00EE47B0"/>
    <w:rsid w:val="00EF59D4"/>
    <w:rsid w:val="00F01FBF"/>
    <w:rsid w:val="00F162D8"/>
    <w:rsid w:val="00F1657C"/>
    <w:rsid w:val="00F50F07"/>
    <w:rsid w:val="00F67725"/>
    <w:rsid w:val="00F67937"/>
    <w:rsid w:val="00FA3E1F"/>
    <w:rsid w:val="00FC2D0C"/>
    <w:rsid w:val="00FC4BC4"/>
    <w:rsid w:val="00FC4F30"/>
    <w:rsid w:val="00FD0F12"/>
    <w:rsid w:val="00FD7BA3"/>
    <w:rsid w:val="00FE1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75E06"/>
  <w15:chartTrackingRefBased/>
  <w15:docId w15:val="{1FF6A994-D016-3D40-BCE1-DF8CA64D9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097"/>
    <w:pPr>
      <w:spacing w:after="160" w:line="259" w:lineRule="auto"/>
      <w:ind w:hanging="1"/>
    </w:pPr>
    <w:rPr>
      <w:rFonts w:ascii="Calibri" w:eastAsia="Calibri" w:hAnsi="Calibri" w:cs="Calibri"/>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5097"/>
    <w:pPr>
      <w:ind w:left="720" w:firstLine="0"/>
      <w:contextualSpacing/>
    </w:pPr>
    <w:rPr>
      <w:rFonts w:asciiTheme="minorHAnsi" w:eastAsiaTheme="minorHAnsi" w:hAnsiTheme="minorHAnsi" w:cstheme="minorBid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1221</Words>
  <Characters>6964</Characters>
  <Application>Microsoft Office Word</Application>
  <DocSecurity>0</DocSecurity>
  <Lines>58</Lines>
  <Paragraphs>16</Paragraphs>
  <ScaleCrop>false</ScaleCrop>
  <Company/>
  <LinksUpToDate>false</LinksUpToDate>
  <CharactersWithSpaces>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Welch, Carrie L.</dc:creator>
  <cp:keywords/>
  <dc:description/>
  <cp:lastModifiedBy>Welch, Carrie L.</cp:lastModifiedBy>
  <cp:revision>2</cp:revision>
  <dcterms:created xsi:type="dcterms:W3CDTF">2023-04-21T17:51:00Z</dcterms:created>
  <dcterms:modified xsi:type="dcterms:W3CDTF">2023-08-23T19:59:00Z</dcterms:modified>
</cp:coreProperties>
</file>