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C8E2F" w14:textId="77777777" w:rsidR="00486956" w:rsidRPr="001E701B" w:rsidRDefault="00486956" w:rsidP="00486956">
      <w:pPr>
        <w:rPr>
          <w:rFonts w:asciiTheme="majorHAnsi" w:hAnsiTheme="majorHAnsi" w:cstheme="majorHAnsi"/>
          <w:b/>
          <w:bCs/>
          <w:sz w:val="24"/>
          <w:szCs w:val="24"/>
          <w:u w:val="single"/>
        </w:rPr>
      </w:pPr>
      <w:bookmarkStart w:id="0" w:name="_GoBack"/>
      <w:bookmarkEnd w:id="0"/>
      <w:r w:rsidRPr="001E701B">
        <w:rPr>
          <w:rFonts w:asciiTheme="majorHAnsi" w:hAnsiTheme="majorHAnsi" w:cstheme="majorHAnsi"/>
          <w:b/>
          <w:bCs/>
          <w:sz w:val="24"/>
          <w:szCs w:val="24"/>
          <w:u w:val="single"/>
        </w:rPr>
        <w:t xml:space="preserve">Data and citations related to </w:t>
      </w:r>
      <w:proofErr w:type="gramStart"/>
      <w:r w:rsidRPr="001E701B">
        <w:rPr>
          <w:rFonts w:asciiTheme="majorHAnsi" w:hAnsiTheme="majorHAnsi" w:cstheme="majorHAnsi"/>
          <w:b/>
          <w:bCs/>
          <w:sz w:val="24"/>
          <w:szCs w:val="24"/>
          <w:u w:val="single"/>
        </w:rPr>
        <w:t>PS4</w:t>
      </w:r>
      <w:proofErr w:type="gramEnd"/>
    </w:p>
    <w:p w14:paraId="79C74184" w14:textId="77777777" w:rsidR="00486956" w:rsidRPr="008F5445" w:rsidRDefault="00486956" w:rsidP="00486956">
      <w:pPr>
        <w:spacing w:after="0" w:line="240" w:lineRule="auto"/>
        <w:ind w:firstLine="0"/>
        <w:rPr>
          <w:rFonts w:asciiTheme="majorHAnsi" w:eastAsia="Times New Roman" w:hAnsiTheme="majorHAnsi" w:cstheme="majorHAnsi"/>
          <w:sz w:val="24"/>
          <w:szCs w:val="24"/>
        </w:rPr>
      </w:pPr>
      <w:r w:rsidRPr="009E70AF">
        <w:rPr>
          <w:rFonts w:asciiTheme="majorHAnsi" w:eastAsia="Times New Roman" w:hAnsiTheme="majorHAnsi" w:cstheme="majorHAnsi"/>
          <w:sz w:val="24"/>
          <w:szCs w:val="24"/>
        </w:rPr>
        <w:t xml:space="preserve">Frequency of non-recurrent and recurrent pathogenic or likely pathogenic </w:t>
      </w:r>
      <w:r w:rsidRPr="009E70AF">
        <w:rPr>
          <w:rFonts w:asciiTheme="majorHAnsi" w:eastAsia="Times New Roman" w:hAnsiTheme="majorHAnsi" w:cstheme="majorHAnsi"/>
          <w:i/>
          <w:iCs/>
          <w:sz w:val="24"/>
          <w:szCs w:val="24"/>
        </w:rPr>
        <w:t>BMPR2</w:t>
      </w:r>
      <w:r w:rsidRPr="009E70AF">
        <w:rPr>
          <w:rFonts w:asciiTheme="majorHAnsi" w:eastAsia="Times New Roman" w:hAnsiTheme="majorHAnsi" w:cstheme="majorHAnsi"/>
          <w:sz w:val="24"/>
          <w:szCs w:val="24"/>
        </w:rPr>
        <w:t xml:space="preserve"> variants in PAH cases reported in two peer-reviewed manuscripts (overlapping case data). </w:t>
      </w:r>
    </w:p>
    <w:tbl>
      <w:tblPr>
        <w:tblW w:w="6562" w:type="dxa"/>
        <w:tblCellMar>
          <w:top w:w="15" w:type="dxa"/>
          <w:left w:w="15" w:type="dxa"/>
          <w:bottom w:w="15" w:type="dxa"/>
          <w:right w:w="15" w:type="dxa"/>
        </w:tblCellMar>
        <w:tblLook w:val="04A0" w:firstRow="1" w:lastRow="0" w:firstColumn="1" w:lastColumn="0" w:noHBand="0" w:noVBand="1"/>
      </w:tblPr>
      <w:tblGrid>
        <w:gridCol w:w="2062"/>
        <w:gridCol w:w="2070"/>
        <w:gridCol w:w="2430"/>
      </w:tblGrid>
      <w:tr w:rsidR="00486956" w:rsidRPr="008F5445" w14:paraId="2B9AC9A7" w14:textId="77777777" w:rsidTr="008408A7">
        <w:trPr>
          <w:trHeight w:val="288"/>
        </w:trPr>
        <w:tc>
          <w:tcPr>
            <w:tcW w:w="2062" w:type="dxa"/>
            <w:tcBorders>
              <w:top w:val="single" w:sz="6" w:space="0" w:color="D4D4D4"/>
              <w:left w:val="single" w:sz="6" w:space="0" w:color="D4D4D4"/>
              <w:bottom w:val="single" w:sz="6" w:space="0" w:color="D4D4D4"/>
              <w:right w:val="single" w:sz="6" w:space="0" w:color="D4D4D4"/>
            </w:tcBorders>
            <w:vAlign w:val="bottom"/>
            <w:hideMark/>
          </w:tcPr>
          <w:p w14:paraId="6C2957BE" w14:textId="77777777" w:rsidR="00486956" w:rsidRPr="008F5445" w:rsidRDefault="00486956" w:rsidP="008408A7">
            <w:pPr>
              <w:spacing w:after="0" w:line="240" w:lineRule="auto"/>
              <w:ind w:firstLine="0"/>
              <w:rPr>
                <w:rFonts w:asciiTheme="majorHAnsi" w:eastAsia="Times New Roman" w:hAnsiTheme="majorHAnsi" w:cstheme="majorHAnsi"/>
                <w:b/>
                <w:bCs/>
                <w:color w:val="000000"/>
                <w:sz w:val="24"/>
                <w:szCs w:val="24"/>
              </w:rPr>
            </w:pPr>
            <w:r w:rsidRPr="009E70AF">
              <w:rPr>
                <w:rFonts w:asciiTheme="majorHAnsi" w:eastAsia="Times New Roman" w:hAnsiTheme="majorHAnsi" w:cstheme="majorHAnsi"/>
                <w:b/>
                <w:bCs/>
                <w:color w:val="000000"/>
                <w:sz w:val="24"/>
                <w:szCs w:val="24"/>
              </w:rPr>
              <w:t xml:space="preserve"># </w:t>
            </w:r>
            <w:r>
              <w:rPr>
                <w:rFonts w:asciiTheme="majorHAnsi" w:eastAsia="Times New Roman" w:hAnsiTheme="majorHAnsi" w:cstheme="majorHAnsi"/>
                <w:b/>
                <w:bCs/>
                <w:color w:val="000000"/>
                <w:sz w:val="24"/>
                <w:szCs w:val="24"/>
              </w:rPr>
              <w:t>P</w:t>
            </w:r>
            <w:r w:rsidRPr="009E70AF">
              <w:rPr>
                <w:rFonts w:asciiTheme="majorHAnsi" w:eastAsia="Times New Roman" w:hAnsiTheme="majorHAnsi" w:cstheme="majorHAnsi"/>
                <w:b/>
                <w:bCs/>
                <w:color w:val="000000"/>
                <w:sz w:val="24"/>
                <w:szCs w:val="24"/>
              </w:rPr>
              <w:t xml:space="preserve">atients with the same </w:t>
            </w:r>
            <w:r w:rsidRPr="009E70AF">
              <w:rPr>
                <w:rFonts w:asciiTheme="majorHAnsi" w:eastAsia="Times New Roman" w:hAnsiTheme="majorHAnsi" w:cstheme="majorHAnsi"/>
                <w:b/>
                <w:bCs/>
                <w:i/>
                <w:iCs/>
                <w:color w:val="000000"/>
                <w:sz w:val="24"/>
                <w:szCs w:val="24"/>
              </w:rPr>
              <w:t>BMPR2</w:t>
            </w:r>
            <w:r w:rsidRPr="009E70AF">
              <w:rPr>
                <w:rFonts w:asciiTheme="majorHAnsi" w:eastAsia="Times New Roman" w:hAnsiTheme="majorHAnsi" w:cstheme="majorHAnsi"/>
                <w:b/>
                <w:bCs/>
                <w:color w:val="000000"/>
                <w:sz w:val="24"/>
                <w:szCs w:val="24"/>
              </w:rPr>
              <w:t xml:space="preserve"> variant</w:t>
            </w:r>
          </w:p>
        </w:tc>
        <w:tc>
          <w:tcPr>
            <w:tcW w:w="2070" w:type="dxa"/>
            <w:tcBorders>
              <w:top w:val="single" w:sz="6" w:space="0" w:color="D4D4D4"/>
              <w:left w:val="single" w:sz="6" w:space="0" w:color="D4D4D4"/>
              <w:bottom w:val="single" w:sz="6" w:space="0" w:color="D4D4D4"/>
              <w:right w:val="single" w:sz="6" w:space="0" w:color="D4D4D4"/>
            </w:tcBorders>
            <w:vAlign w:val="bottom"/>
            <w:hideMark/>
          </w:tcPr>
          <w:p w14:paraId="091806BE" w14:textId="77777777" w:rsidR="00486956" w:rsidRDefault="00486956" w:rsidP="008408A7">
            <w:pPr>
              <w:spacing w:after="0" w:line="240" w:lineRule="auto"/>
              <w:ind w:firstLine="0"/>
              <w:rPr>
                <w:rFonts w:asciiTheme="majorHAnsi" w:eastAsia="Times New Roman" w:hAnsiTheme="majorHAnsi" w:cstheme="majorHAnsi"/>
                <w:b/>
                <w:bCs/>
                <w:color w:val="000000"/>
                <w:sz w:val="24"/>
                <w:szCs w:val="24"/>
              </w:rPr>
            </w:pPr>
            <w:r w:rsidRPr="009E70AF">
              <w:rPr>
                <w:rFonts w:asciiTheme="majorHAnsi" w:eastAsia="Times New Roman" w:hAnsiTheme="majorHAnsi" w:cstheme="majorHAnsi"/>
                <w:b/>
                <w:bCs/>
                <w:color w:val="000000"/>
                <w:sz w:val="24"/>
                <w:szCs w:val="24"/>
              </w:rPr>
              <w:t xml:space="preserve">Machado et al </w:t>
            </w:r>
            <w:r w:rsidRPr="008F5445">
              <w:rPr>
                <w:rFonts w:asciiTheme="majorHAnsi" w:eastAsia="Times New Roman" w:hAnsiTheme="majorHAnsi" w:cstheme="majorHAnsi"/>
                <w:b/>
                <w:bCs/>
                <w:color w:val="000000"/>
                <w:sz w:val="24"/>
                <w:szCs w:val="24"/>
              </w:rPr>
              <w:t>2015</w:t>
            </w:r>
          </w:p>
          <w:p w14:paraId="79C75E18" w14:textId="77777777" w:rsidR="00486956" w:rsidRPr="00B21332" w:rsidRDefault="00486956" w:rsidP="008408A7">
            <w:pPr>
              <w:spacing w:after="0" w:line="240" w:lineRule="auto"/>
              <w:ind w:firstLine="0"/>
              <w:rPr>
                <w:rFonts w:asciiTheme="majorHAnsi" w:eastAsia="Times New Roman" w:hAnsiTheme="majorHAnsi" w:cstheme="majorHAnsi"/>
                <w:color w:val="000000"/>
                <w:sz w:val="24"/>
                <w:szCs w:val="24"/>
              </w:rPr>
            </w:pPr>
            <w:r w:rsidRPr="003F31E4">
              <w:rPr>
                <w:rFonts w:asciiTheme="majorHAnsi" w:eastAsia="Times New Roman" w:hAnsiTheme="majorHAnsi" w:cstheme="majorHAnsi"/>
                <w:color w:val="000000"/>
                <w:sz w:val="24"/>
                <w:szCs w:val="24"/>
              </w:rPr>
              <w:t>#variants observed in specified #patients/total #variants</w:t>
            </w:r>
          </w:p>
        </w:tc>
        <w:tc>
          <w:tcPr>
            <w:tcW w:w="2430" w:type="dxa"/>
            <w:tcBorders>
              <w:top w:val="single" w:sz="6" w:space="0" w:color="D4D4D4"/>
              <w:left w:val="single" w:sz="6" w:space="0" w:color="D4D4D4"/>
              <w:bottom w:val="single" w:sz="6" w:space="0" w:color="D4D4D4"/>
              <w:right w:val="single" w:sz="6" w:space="0" w:color="D4D4D4"/>
            </w:tcBorders>
            <w:vAlign w:val="bottom"/>
            <w:hideMark/>
          </w:tcPr>
          <w:p w14:paraId="7071ABF6" w14:textId="77777777" w:rsidR="00486956" w:rsidRDefault="00486956" w:rsidP="008408A7">
            <w:pPr>
              <w:spacing w:after="0" w:line="240" w:lineRule="auto"/>
              <w:ind w:firstLine="0"/>
              <w:rPr>
                <w:rFonts w:asciiTheme="majorHAnsi" w:eastAsia="Times New Roman" w:hAnsiTheme="majorHAnsi" w:cstheme="majorHAnsi"/>
                <w:b/>
                <w:bCs/>
                <w:color w:val="000000"/>
                <w:sz w:val="24"/>
                <w:szCs w:val="24"/>
              </w:rPr>
            </w:pPr>
            <w:r w:rsidRPr="009E70AF">
              <w:rPr>
                <w:rFonts w:asciiTheme="majorHAnsi" w:eastAsia="Times New Roman" w:hAnsiTheme="majorHAnsi" w:cstheme="majorHAnsi"/>
                <w:b/>
                <w:bCs/>
                <w:color w:val="000000"/>
                <w:sz w:val="24"/>
                <w:szCs w:val="24"/>
              </w:rPr>
              <w:t xml:space="preserve">Southgate et al </w:t>
            </w:r>
            <w:r w:rsidRPr="008F5445">
              <w:rPr>
                <w:rFonts w:asciiTheme="majorHAnsi" w:eastAsia="Times New Roman" w:hAnsiTheme="majorHAnsi" w:cstheme="majorHAnsi"/>
                <w:b/>
                <w:bCs/>
                <w:color w:val="000000"/>
                <w:sz w:val="24"/>
                <w:szCs w:val="24"/>
              </w:rPr>
              <w:t>2020</w:t>
            </w:r>
          </w:p>
          <w:p w14:paraId="53DEF646" w14:textId="77777777" w:rsidR="00486956" w:rsidRPr="008F5445" w:rsidRDefault="00486956" w:rsidP="008408A7">
            <w:pPr>
              <w:spacing w:after="0" w:line="240" w:lineRule="auto"/>
              <w:ind w:firstLine="0"/>
              <w:rPr>
                <w:rFonts w:asciiTheme="majorHAnsi" w:eastAsia="Times New Roman" w:hAnsiTheme="majorHAnsi" w:cstheme="majorHAnsi"/>
                <w:b/>
                <w:bCs/>
                <w:color w:val="000000"/>
                <w:sz w:val="24"/>
                <w:szCs w:val="24"/>
              </w:rPr>
            </w:pPr>
            <w:r w:rsidRPr="003F31E4">
              <w:rPr>
                <w:rFonts w:asciiTheme="majorHAnsi" w:eastAsia="Times New Roman" w:hAnsiTheme="majorHAnsi" w:cstheme="majorHAnsi"/>
                <w:color w:val="000000"/>
                <w:sz w:val="24"/>
                <w:szCs w:val="24"/>
              </w:rPr>
              <w:t>#variants observed in specified #patients/total #variants</w:t>
            </w:r>
          </w:p>
        </w:tc>
      </w:tr>
      <w:tr w:rsidR="00486956" w:rsidRPr="008F5445" w14:paraId="4698C344" w14:textId="77777777" w:rsidTr="008408A7">
        <w:trPr>
          <w:trHeight w:val="288"/>
        </w:trPr>
        <w:tc>
          <w:tcPr>
            <w:tcW w:w="2062" w:type="dxa"/>
            <w:tcBorders>
              <w:top w:val="single" w:sz="6" w:space="0" w:color="D4D4D4"/>
              <w:left w:val="single" w:sz="6" w:space="0" w:color="D4D4D4"/>
              <w:bottom w:val="single" w:sz="6" w:space="0" w:color="D4D4D4"/>
              <w:right w:val="single" w:sz="6" w:space="0" w:color="D4D4D4"/>
            </w:tcBorders>
            <w:vAlign w:val="bottom"/>
            <w:hideMark/>
          </w:tcPr>
          <w:p w14:paraId="6C36C68F"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≥3 patients</w:t>
            </w:r>
          </w:p>
        </w:tc>
        <w:tc>
          <w:tcPr>
            <w:tcW w:w="2070" w:type="dxa"/>
            <w:tcBorders>
              <w:top w:val="single" w:sz="6" w:space="0" w:color="D4D4D4"/>
              <w:left w:val="single" w:sz="6" w:space="0" w:color="D4D4D4"/>
              <w:bottom w:val="single" w:sz="6" w:space="0" w:color="D4D4D4"/>
              <w:right w:val="single" w:sz="6" w:space="0" w:color="D4D4D4"/>
            </w:tcBorders>
            <w:vAlign w:val="bottom"/>
            <w:hideMark/>
          </w:tcPr>
          <w:p w14:paraId="0C6C5350"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51/384 (13.3%)</w:t>
            </w:r>
          </w:p>
        </w:tc>
        <w:tc>
          <w:tcPr>
            <w:tcW w:w="2430" w:type="dxa"/>
            <w:tcBorders>
              <w:top w:val="single" w:sz="6" w:space="0" w:color="D4D4D4"/>
              <w:left w:val="single" w:sz="6" w:space="0" w:color="D4D4D4"/>
              <w:bottom w:val="single" w:sz="6" w:space="0" w:color="D4D4D4"/>
              <w:right w:val="single" w:sz="6" w:space="0" w:color="D4D4D4"/>
            </w:tcBorders>
            <w:vAlign w:val="bottom"/>
            <w:hideMark/>
          </w:tcPr>
          <w:p w14:paraId="32C4E52D"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50/486 (10.3%)</w:t>
            </w:r>
          </w:p>
        </w:tc>
      </w:tr>
      <w:tr w:rsidR="00486956" w:rsidRPr="008F5445" w14:paraId="6E662879" w14:textId="77777777" w:rsidTr="008408A7">
        <w:trPr>
          <w:trHeight w:val="288"/>
        </w:trPr>
        <w:tc>
          <w:tcPr>
            <w:tcW w:w="2062" w:type="dxa"/>
            <w:tcBorders>
              <w:top w:val="single" w:sz="6" w:space="0" w:color="D4D4D4"/>
              <w:left w:val="single" w:sz="6" w:space="0" w:color="D4D4D4"/>
              <w:bottom w:val="single" w:sz="6" w:space="0" w:color="D4D4D4"/>
              <w:right w:val="single" w:sz="6" w:space="0" w:color="D4D4D4"/>
            </w:tcBorders>
            <w:vAlign w:val="bottom"/>
            <w:hideMark/>
          </w:tcPr>
          <w:p w14:paraId="6D87F253"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2 patients</w:t>
            </w:r>
          </w:p>
        </w:tc>
        <w:tc>
          <w:tcPr>
            <w:tcW w:w="2070" w:type="dxa"/>
            <w:tcBorders>
              <w:top w:val="single" w:sz="6" w:space="0" w:color="D4D4D4"/>
              <w:left w:val="single" w:sz="6" w:space="0" w:color="D4D4D4"/>
              <w:bottom w:val="single" w:sz="6" w:space="0" w:color="D4D4D4"/>
              <w:right w:val="single" w:sz="6" w:space="0" w:color="D4D4D4"/>
            </w:tcBorders>
            <w:vAlign w:val="bottom"/>
            <w:hideMark/>
          </w:tcPr>
          <w:p w14:paraId="13684634"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55/384 (14.3%)</w:t>
            </w:r>
          </w:p>
        </w:tc>
        <w:tc>
          <w:tcPr>
            <w:tcW w:w="2430" w:type="dxa"/>
            <w:tcBorders>
              <w:top w:val="single" w:sz="6" w:space="0" w:color="D4D4D4"/>
              <w:left w:val="single" w:sz="6" w:space="0" w:color="D4D4D4"/>
              <w:bottom w:val="single" w:sz="6" w:space="0" w:color="D4D4D4"/>
              <w:right w:val="single" w:sz="6" w:space="0" w:color="D4D4D4"/>
            </w:tcBorders>
            <w:vAlign w:val="bottom"/>
            <w:hideMark/>
          </w:tcPr>
          <w:p w14:paraId="2259E9AC"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67/486 (13.8%)</w:t>
            </w:r>
          </w:p>
        </w:tc>
      </w:tr>
      <w:tr w:rsidR="00486956" w:rsidRPr="008F5445" w14:paraId="79F9D149" w14:textId="77777777" w:rsidTr="008408A7">
        <w:trPr>
          <w:trHeight w:val="288"/>
        </w:trPr>
        <w:tc>
          <w:tcPr>
            <w:tcW w:w="2062" w:type="dxa"/>
            <w:tcBorders>
              <w:top w:val="single" w:sz="6" w:space="0" w:color="D4D4D4"/>
              <w:left w:val="single" w:sz="6" w:space="0" w:color="D4D4D4"/>
              <w:bottom w:val="single" w:sz="6" w:space="0" w:color="D4D4D4"/>
              <w:right w:val="single" w:sz="6" w:space="0" w:color="D4D4D4"/>
            </w:tcBorders>
            <w:vAlign w:val="bottom"/>
            <w:hideMark/>
          </w:tcPr>
          <w:p w14:paraId="602BA49D"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1 patient</w:t>
            </w:r>
          </w:p>
        </w:tc>
        <w:tc>
          <w:tcPr>
            <w:tcW w:w="2070" w:type="dxa"/>
            <w:tcBorders>
              <w:top w:val="single" w:sz="6" w:space="0" w:color="D4D4D4"/>
              <w:left w:val="single" w:sz="6" w:space="0" w:color="D4D4D4"/>
              <w:bottom w:val="single" w:sz="6" w:space="0" w:color="D4D4D4"/>
              <w:right w:val="single" w:sz="6" w:space="0" w:color="D4D4D4"/>
            </w:tcBorders>
            <w:vAlign w:val="bottom"/>
            <w:hideMark/>
          </w:tcPr>
          <w:p w14:paraId="05570237"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278/384 (72.4%)</w:t>
            </w:r>
          </w:p>
        </w:tc>
        <w:tc>
          <w:tcPr>
            <w:tcW w:w="2430" w:type="dxa"/>
            <w:tcBorders>
              <w:top w:val="single" w:sz="6" w:space="0" w:color="D4D4D4"/>
              <w:left w:val="single" w:sz="6" w:space="0" w:color="D4D4D4"/>
              <w:bottom w:val="single" w:sz="6" w:space="0" w:color="D4D4D4"/>
              <w:right w:val="single" w:sz="6" w:space="0" w:color="D4D4D4"/>
            </w:tcBorders>
            <w:vAlign w:val="bottom"/>
            <w:hideMark/>
          </w:tcPr>
          <w:p w14:paraId="75FCB006" w14:textId="77777777" w:rsidR="00486956" w:rsidRPr="008F5445" w:rsidRDefault="00486956" w:rsidP="008408A7">
            <w:pPr>
              <w:spacing w:after="0" w:line="240" w:lineRule="auto"/>
              <w:ind w:firstLine="0"/>
              <w:rPr>
                <w:rFonts w:asciiTheme="majorHAnsi" w:eastAsia="Times New Roman" w:hAnsiTheme="majorHAnsi" w:cstheme="majorHAnsi"/>
                <w:color w:val="000000"/>
                <w:sz w:val="24"/>
                <w:szCs w:val="24"/>
              </w:rPr>
            </w:pPr>
            <w:r w:rsidRPr="008F5445">
              <w:rPr>
                <w:rFonts w:asciiTheme="majorHAnsi" w:eastAsia="Times New Roman" w:hAnsiTheme="majorHAnsi" w:cstheme="majorHAnsi"/>
                <w:color w:val="000000"/>
                <w:sz w:val="24"/>
                <w:szCs w:val="24"/>
              </w:rPr>
              <w:t>369/486 (75.9%)</w:t>
            </w:r>
          </w:p>
        </w:tc>
      </w:tr>
    </w:tbl>
    <w:p w14:paraId="7FDEC824" w14:textId="77777777" w:rsidR="00486956" w:rsidRPr="009E70AF" w:rsidRDefault="00486956" w:rsidP="00486956">
      <w:pPr>
        <w:ind w:firstLine="0"/>
        <w:rPr>
          <w:rFonts w:asciiTheme="majorHAnsi" w:hAnsiTheme="majorHAnsi" w:cstheme="majorHAnsi"/>
          <w:noProof/>
          <w:sz w:val="24"/>
          <w:szCs w:val="24"/>
        </w:rPr>
      </w:pPr>
    </w:p>
    <w:p w14:paraId="20B0F934" w14:textId="77777777" w:rsidR="00486956" w:rsidRPr="009E70AF" w:rsidRDefault="00486956" w:rsidP="00486956">
      <w:pPr>
        <w:ind w:firstLine="0"/>
        <w:rPr>
          <w:rFonts w:asciiTheme="majorHAnsi" w:hAnsiTheme="majorHAnsi" w:cstheme="majorHAnsi"/>
          <w:noProof/>
          <w:sz w:val="24"/>
          <w:szCs w:val="24"/>
          <w:u w:val="single"/>
        </w:rPr>
      </w:pPr>
      <w:r w:rsidRPr="009E70AF">
        <w:rPr>
          <w:rFonts w:asciiTheme="majorHAnsi" w:hAnsiTheme="majorHAnsi" w:cstheme="majorHAnsi"/>
          <w:noProof/>
          <w:sz w:val="24"/>
          <w:szCs w:val="24"/>
          <w:u w:val="single"/>
        </w:rPr>
        <w:t>References</w:t>
      </w:r>
    </w:p>
    <w:p w14:paraId="4054F790" w14:textId="77777777" w:rsidR="00486956" w:rsidRPr="009E70AF" w:rsidRDefault="00486956" w:rsidP="00486956">
      <w:pPr>
        <w:ind w:firstLine="0"/>
        <w:rPr>
          <w:rFonts w:asciiTheme="majorHAnsi" w:hAnsiTheme="majorHAnsi" w:cstheme="majorHAnsi"/>
          <w:noProof/>
          <w:sz w:val="24"/>
          <w:szCs w:val="24"/>
        </w:rPr>
      </w:pPr>
      <w:r w:rsidRPr="009E70AF">
        <w:rPr>
          <w:rFonts w:asciiTheme="majorHAnsi" w:hAnsiTheme="majorHAnsi" w:cstheme="majorHAnsi"/>
          <w:noProof/>
          <w:sz w:val="24"/>
          <w:szCs w:val="24"/>
        </w:rPr>
        <w:t>Machado RD, Southgate L, Eichstaedt CA, Aldred MA, Austin ED, Best DH, Chung WK, Benjamin N, Elliott CG, Eyries M, Fischer C, Graf S, Hinderhofer K, Humbert M, Keiles SB, Loyd JE, Morrell NW, Newman JH, Soubrier F, Trembath RC, Viales RR, Grunig E. Pulmonary Arterial Hypertension: A Current Perspective on Established and Emerging Molecular Genetic Defects. Hum Mutat. 2015;36(12):1113-1127.</w:t>
      </w:r>
      <w:r>
        <w:rPr>
          <w:rFonts w:asciiTheme="majorHAnsi" w:hAnsiTheme="majorHAnsi" w:cstheme="majorHAnsi"/>
          <w:noProof/>
          <w:sz w:val="24"/>
          <w:szCs w:val="24"/>
        </w:rPr>
        <w:t xml:space="preserve"> </w:t>
      </w:r>
      <w:r w:rsidRPr="001E701B">
        <w:rPr>
          <w:rFonts w:asciiTheme="majorHAnsi" w:hAnsiTheme="majorHAnsi" w:cstheme="majorHAnsi"/>
          <w:b/>
          <w:bCs/>
          <w:noProof/>
          <w:color w:val="FF0000"/>
          <w:sz w:val="24"/>
          <w:szCs w:val="24"/>
        </w:rPr>
        <w:t>PMID: 26387786</w:t>
      </w:r>
    </w:p>
    <w:p w14:paraId="16AA2795" w14:textId="77777777" w:rsidR="00486956" w:rsidRPr="009E70AF" w:rsidRDefault="00486956" w:rsidP="00486956">
      <w:pPr>
        <w:rPr>
          <w:rFonts w:asciiTheme="majorHAnsi" w:hAnsiTheme="majorHAnsi" w:cstheme="majorHAnsi"/>
          <w:sz w:val="24"/>
          <w:szCs w:val="24"/>
          <w:u w:val="single"/>
        </w:rPr>
      </w:pPr>
      <w:r w:rsidRPr="009E70AF">
        <w:rPr>
          <w:rFonts w:asciiTheme="majorHAnsi" w:hAnsiTheme="majorHAnsi" w:cstheme="majorHAnsi"/>
          <w:noProof/>
          <w:sz w:val="24"/>
          <w:szCs w:val="24"/>
        </w:rPr>
        <w:t>Southgate L, Machado RD, Graf S, Morrell NW. Molecular genetic framework underlying pulmonary arterial hypertension. Nat Rev Cardiol. 2020;17(2):85-95.</w:t>
      </w:r>
      <w:r>
        <w:rPr>
          <w:rFonts w:asciiTheme="majorHAnsi" w:hAnsiTheme="majorHAnsi" w:cstheme="majorHAnsi"/>
          <w:noProof/>
          <w:sz w:val="24"/>
          <w:szCs w:val="24"/>
        </w:rPr>
        <w:t xml:space="preserve"> </w:t>
      </w:r>
      <w:r w:rsidRPr="009E70AF">
        <w:rPr>
          <w:rFonts w:asciiTheme="majorHAnsi" w:hAnsiTheme="majorHAnsi" w:cstheme="majorHAnsi"/>
          <w:b/>
          <w:bCs/>
          <w:noProof/>
          <w:color w:val="FF0000"/>
          <w:sz w:val="24"/>
          <w:szCs w:val="24"/>
        </w:rPr>
        <w:t>PMID: 31406341</w:t>
      </w:r>
    </w:p>
    <w:p w14:paraId="3B1E1425" w14:textId="77777777" w:rsidR="001D01E8" w:rsidRDefault="001D01E8"/>
    <w:sectPr w:rsidR="001D01E8" w:rsidSect="00673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56"/>
    <w:rsid w:val="00022872"/>
    <w:rsid w:val="000241FD"/>
    <w:rsid w:val="00035565"/>
    <w:rsid w:val="0004484E"/>
    <w:rsid w:val="00050F20"/>
    <w:rsid w:val="00051079"/>
    <w:rsid w:val="00060409"/>
    <w:rsid w:val="000B02CB"/>
    <w:rsid w:val="000D631F"/>
    <w:rsid w:val="000F5631"/>
    <w:rsid w:val="00100552"/>
    <w:rsid w:val="00142903"/>
    <w:rsid w:val="0016358C"/>
    <w:rsid w:val="001826C9"/>
    <w:rsid w:val="001C3A11"/>
    <w:rsid w:val="001D01E8"/>
    <w:rsid w:val="001E1731"/>
    <w:rsid w:val="001E530A"/>
    <w:rsid w:val="00201E69"/>
    <w:rsid w:val="002058C2"/>
    <w:rsid w:val="00207846"/>
    <w:rsid w:val="00214F43"/>
    <w:rsid w:val="002203F3"/>
    <w:rsid w:val="00252AD8"/>
    <w:rsid w:val="00266D4D"/>
    <w:rsid w:val="002677DE"/>
    <w:rsid w:val="0027228B"/>
    <w:rsid w:val="00291477"/>
    <w:rsid w:val="002A5B77"/>
    <w:rsid w:val="002C4A8A"/>
    <w:rsid w:val="002D0408"/>
    <w:rsid w:val="002D124F"/>
    <w:rsid w:val="002F2197"/>
    <w:rsid w:val="00322CBF"/>
    <w:rsid w:val="00331B1A"/>
    <w:rsid w:val="003418C9"/>
    <w:rsid w:val="00390511"/>
    <w:rsid w:val="003A51F9"/>
    <w:rsid w:val="003A6B80"/>
    <w:rsid w:val="003C2296"/>
    <w:rsid w:val="003C3EE7"/>
    <w:rsid w:val="003C60B6"/>
    <w:rsid w:val="003E0064"/>
    <w:rsid w:val="003E3AE3"/>
    <w:rsid w:val="00415594"/>
    <w:rsid w:val="004202E7"/>
    <w:rsid w:val="00431C9C"/>
    <w:rsid w:val="00442661"/>
    <w:rsid w:val="00443F64"/>
    <w:rsid w:val="004530D2"/>
    <w:rsid w:val="004560CC"/>
    <w:rsid w:val="00466B3C"/>
    <w:rsid w:val="00481F22"/>
    <w:rsid w:val="00482632"/>
    <w:rsid w:val="00482D75"/>
    <w:rsid w:val="00485BD4"/>
    <w:rsid w:val="00486956"/>
    <w:rsid w:val="004B6FEA"/>
    <w:rsid w:val="004D2AD4"/>
    <w:rsid w:val="0050333C"/>
    <w:rsid w:val="0051096A"/>
    <w:rsid w:val="005215DC"/>
    <w:rsid w:val="00527F3C"/>
    <w:rsid w:val="00532642"/>
    <w:rsid w:val="005445D5"/>
    <w:rsid w:val="00563E24"/>
    <w:rsid w:val="005663B8"/>
    <w:rsid w:val="00584D71"/>
    <w:rsid w:val="005A72D1"/>
    <w:rsid w:val="005B2F10"/>
    <w:rsid w:val="005D2577"/>
    <w:rsid w:val="005F09F4"/>
    <w:rsid w:val="00625316"/>
    <w:rsid w:val="00643ADB"/>
    <w:rsid w:val="00651770"/>
    <w:rsid w:val="00651A97"/>
    <w:rsid w:val="006620AD"/>
    <w:rsid w:val="00665FC8"/>
    <w:rsid w:val="0067310E"/>
    <w:rsid w:val="00681FAB"/>
    <w:rsid w:val="00691785"/>
    <w:rsid w:val="00695CF8"/>
    <w:rsid w:val="0069784E"/>
    <w:rsid w:val="006B4E48"/>
    <w:rsid w:val="006D26B8"/>
    <w:rsid w:val="006D5D03"/>
    <w:rsid w:val="006E6090"/>
    <w:rsid w:val="006F4331"/>
    <w:rsid w:val="006F7E5B"/>
    <w:rsid w:val="00703913"/>
    <w:rsid w:val="00731987"/>
    <w:rsid w:val="00735637"/>
    <w:rsid w:val="00780B94"/>
    <w:rsid w:val="007C00D1"/>
    <w:rsid w:val="007C5B89"/>
    <w:rsid w:val="007D4387"/>
    <w:rsid w:val="007E582C"/>
    <w:rsid w:val="007F07EF"/>
    <w:rsid w:val="007F6BB6"/>
    <w:rsid w:val="007F6DC0"/>
    <w:rsid w:val="00800436"/>
    <w:rsid w:val="00806DA0"/>
    <w:rsid w:val="008220A1"/>
    <w:rsid w:val="00825BD6"/>
    <w:rsid w:val="00827617"/>
    <w:rsid w:val="00843B0A"/>
    <w:rsid w:val="00845921"/>
    <w:rsid w:val="00873CA4"/>
    <w:rsid w:val="00882C14"/>
    <w:rsid w:val="00885962"/>
    <w:rsid w:val="00892704"/>
    <w:rsid w:val="008971F0"/>
    <w:rsid w:val="008B16B6"/>
    <w:rsid w:val="008C266E"/>
    <w:rsid w:val="008F3F24"/>
    <w:rsid w:val="00902910"/>
    <w:rsid w:val="00915FC5"/>
    <w:rsid w:val="00924AB9"/>
    <w:rsid w:val="00931303"/>
    <w:rsid w:val="009317D4"/>
    <w:rsid w:val="00931DCC"/>
    <w:rsid w:val="00937876"/>
    <w:rsid w:val="00960E8D"/>
    <w:rsid w:val="00962100"/>
    <w:rsid w:val="009658C5"/>
    <w:rsid w:val="00974460"/>
    <w:rsid w:val="00980A9F"/>
    <w:rsid w:val="009A10BE"/>
    <w:rsid w:val="009A5016"/>
    <w:rsid w:val="009A63A3"/>
    <w:rsid w:val="009A7E7E"/>
    <w:rsid w:val="009C6990"/>
    <w:rsid w:val="009E3331"/>
    <w:rsid w:val="009E5B00"/>
    <w:rsid w:val="00A0271C"/>
    <w:rsid w:val="00A06A2F"/>
    <w:rsid w:val="00A10424"/>
    <w:rsid w:val="00A25D52"/>
    <w:rsid w:val="00A3224B"/>
    <w:rsid w:val="00A37349"/>
    <w:rsid w:val="00A55382"/>
    <w:rsid w:val="00A80C7D"/>
    <w:rsid w:val="00A91605"/>
    <w:rsid w:val="00A95B3A"/>
    <w:rsid w:val="00AA41F3"/>
    <w:rsid w:val="00AD2069"/>
    <w:rsid w:val="00AF32A1"/>
    <w:rsid w:val="00B22E1B"/>
    <w:rsid w:val="00B2606C"/>
    <w:rsid w:val="00B34D4F"/>
    <w:rsid w:val="00B37122"/>
    <w:rsid w:val="00B434BB"/>
    <w:rsid w:val="00B510B9"/>
    <w:rsid w:val="00B51A8F"/>
    <w:rsid w:val="00B5678D"/>
    <w:rsid w:val="00B57B54"/>
    <w:rsid w:val="00BA06E1"/>
    <w:rsid w:val="00BB385A"/>
    <w:rsid w:val="00BB4F04"/>
    <w:rsid w:val="00BB59B7"/>
    <w:rsid w:val="00BC7D57"/>
    <w:rsid w:val="00C03D92"/>
    <w:rsid w:val="00C04E94"/>
    <w:rsid w:val="00C07B4B"/>
    <w:rsid w:val="00C21E6A"/>
    <w:rsid w:val="00C272FF"/>
    <w:rsid w:val="00C537CB"/>
    <w:rsid w:val="00C73A3B"/>
    <w:rsid w:val="00CC51B5"/>
    <w:rsid w:val="00CC5649"/>
    <w:rsid w:val="00CE065B"/>
    <w:rsid w:val="00CE17CB"/>
    <w:rsid w:val="00D31D42"/>
    <w:rsid w:val="00D43C4C"/>
    <w:rsid w:val="00D516AF"/>
    <w:rsid w:val="00D5603B"/>
    <w:rsid w:val="00D7588F"/>
    <w:rsid w:val="00D91A95"/>
    <w:rsid w:val="00DA2FA4"/>
    <w:rsid w:val="00DA4284"/>
    <w:rsid w:val="00DB7DF7"/>
    <w:rsid w:val="00DC6748"/>
    <w:rsid w:val="00DD21F1"/>
    <w:rsid w:val="00DE3E01"/>
    <w:rsid w:val="00DF6D6D"/>
    <w:rsid w:val="00DF7E4D"/>
    <w:rsid w:val="00E07F45"/>
    <w:rsid w:val="00E16603"/>
    <w:rsid w:val="00E80204"/>
    <w:rsid w:val="00E81095"/>
    <w:rsid w:val="00E9362B"/>
    <w:rsid w:val="00EA28FF"/>
    <w:rsid w:val="00EB30CB"/>
    <w:rsid w:val="00EB4F8B"/>
    <w:rsid w:val="00EC36D9"/>
    <w:rsid w:val="00EC77A1"/>
    <w:rsid w:val="00EC7AE4"/>
    <w:rsid w:val="00ED416A"/>
    <w:rsid w:val="00EE47B0"/>
    <w:rsid w:val="00EF59D4"/>
    <w:rsid w:val="00F01FBF"/>
    <w:rsid w:val="00F162D8"/>
    <w:rsid w:val="00F1657C"/>
    <w:rsid w:val="00F50F07"/>
    <w:rsid w:val="00F67725"/>
    <w:rsid w:val="00F67937"/>
    <w:rsid w:val="00FA3E1F"/>
    <w:rsid w:val="00FC2D0C"/>
    <w:rsid w:val="00FC4BC4"/>
    <w:rsid w:val="00FC4F30"/>
    <w:rsid w:val="00FD0F12"/>
    <w:rsid w:val="00FD7BA3"/>
    <w:rsid w:val="00FE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FD543"/>
  <w15:chartTrackingRefBased/>
  <w15:docId w15:val="{3CCF198C-416A-2B42-895E-50D09FB5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956"/>
    <w:pPr>
      <w:spacing w:after="160" w:line="259" w:lineRule="auto"/>
      <w:ind w:hanging="1"/>
    </w:pPr>
    <w:rPr>
      <w:rFonts w:ascii="Calibri" w:eastAsia="Calibri" w:hAnsi="Calibri" w:cs="Calibr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Welch, Carrie L.</dc:creator>
  <cp:keywords/>
  <dc:description/>
  <cp:lastModifiedBy>Welch, Carrie L.</cp:lastModifiedBy>
  <cp:revision>1</cp:revision>
  <dcterms:created xsi:type="dcterms:W3CDTF">2023-04-21T17:53:00Z</dcterms:created>
  <dcterms:modified xsi:type="dcterms:W3CDTF">2023-04-21T17:53:00Z</dcterms:modified>
</cp:coreProperties>
</file>