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240" w:lineRule="auto"/>
        <w:rPr>
          <w:rFonts w:ascii="Helvetica Neue" w:cs="Helvetica Neue" w:eastAsia="Helvetica Neue" w:hAnsi="Helvetica Neue"/>
          <w:b w:val="1"/>
          <w:color w:val="000000"/>
          <w:sz w:val="25"/>
          <w:szCs w:val="25"/>
        </w:rPr>
      </w:pPr>
      <w:r w:rsidDel="00000000" w:rsidR="00000000" w:rsidRPr="00000000">
        <w:rPr>
          <w:rFonts w:ascii="Helvetica Neue" w:cs="Helvetica Neue" w:eastAsia="Helvetica Neue" w:hAnsi="Helvetica Neue"/>
          <w:b w:val="1"/>
          <w:color w:val="000000"/>
          <w:sz w:val="25"/>
          <w:szCs w:val="25"/>
          <w:rtl w:val="0"/>
        </w:rPr>
        <w:t xml:space="preserve">SVI Review comments for the stage - Pilot Rules Submitted</w:t>
      </w:r>
    </w:p>
    <w:p w:rsidR="00000000" w:rsidDel="00000000" w:rsidP="00000000" w:rsidRDefault="00000000" w:rsidRPr="00000000" w14:paraId="00000002">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tl w:val="0"/>
        </w:rPr>
      </w:r>
    </w:p>
    <w:p w:rsidR="00000000" w:rsidDel="00000000" w:rsidP="00000000" w:rsidRDefault="00000000" w:rsidRPr="00000000" w14:paraId="00000003">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General comments </w:t>
      </w:r>
      <w:r w:rsidDel="00000000" w:rsidR="00000000" w:rsidRPr="00000000">
        <w:rPr>
          <w:rFonts w:ascii="Helvetica Neue" w:cs="Helvetica Neue" w:eastAsia="Helvetica Neue" w:hAnsi="Helvetica Neue"/>
          <w:color w:val="000000"/>
          <w:sz w:val="21"/>
          <w:szCs w:val="21"/>
          <w:rtl w:val="0"/>
        </w:rPr>
        <w:t xml:space="preserve">The pilot is very comprehensive and includes use of nearly all applicable codes (excepting BS3 and BS4 which can be hard to use) and covers all applicable variant types (for the most part missense variants, associated with the GoF mechanism). However, ideally there would be 10 each of B/LB and P/LP variants with that as their initial classification. Are there sufficient variant with 'known' classifications to meet this requirement? If not, concordance between prior established and final VCEP classification is high so likely not necessary.</w:t>
      </w:r>
    </w:p>
    <w:p w:rsidR="00000000" w:rsidDel="00000000" w:rsidP="00000000" w:rsidRDefault="00000000" w:rsidRPr="00000000" w14:paraId="00000004">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(05:11:57)</w:t>
      </w:r>
    </w:p>
    <w:p w:rsidR="00000000" w:rsidDel="00000000" w:rsidP="00000000" w:rsidRDefault="00000000" w:rsidRPr="00000000" w14:paraId="00000005">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06">
      <w:pPr>
        <w:shd w:fill="ffffff" w:val="clear"/>
        <w:spacing w:after="0" w:line="240" w:lineRule="auto"/>
        <w:rPr>
          <w:rFonts w:ascii="Helvetica Neue" w:cs="Helvetica Neue" w:eastAsia="Helvetica Neue" w:hAnsi="Helvetica Neue"/>
          <w:b w:val="1"/>
          <w:color w:val="ff0000"/>
          <w:sz w:val="25"/>
          <w:szCs w:val="25"/>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VCEP has similarly found that ClinVar has fewer than 10 variants currently submitted in relation to the GoF mechanism with an initial classification of P/LP. In order to address the reviewer comment, the VCEP identified and curated one additional candidate, NM_005026.5(PIK3CD):c.419G&gt;A (p.Arg140His), which has been previously submitted as likely pathogenic and reached a pilot classification of VUS according to the pilot version of the specifications. The VCEP also curated two additional B/LB missense variants (NM_005026.5(PIK3CD):c.4C&gt;A (p.Pro2Thr), NM_005026.5(PIK3CD):c.2002C&gt;A (p.Leu668Met)) and one B/LB synonymous variant (NM_005026.5(PIK3CD):c.678A&gt;G (p.Thr226=)) in order to get as close as possible to compliance with the guidance to have 10 in the B/LB category. The 3 new B/LB candidates reached classifications of benign, likely benign, and VUS, respectively.</w:t>
      </w:r>
      <w:r w:rsidDel="00000000" w:rsidR="00000000" w:rsidRPr="00000000">
        <w:rPr>
          <w:rtl w:val="0"/>
        </w:rPr>
      </w:r>
    </w:p>
    <w:p w:rsidR="00000000" w:rsidDel="00000000" w:rsidP="00000000" w:rsidRDefault="00000000" w:rsidRPr="00000000" w14:paraId="00000007">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08">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Scope related comments </w:t>
      </w:r>
      <w:r w:rsidDel="00000000" w:rsidR="00000000" w:rsidRPr="00000000">
        <w:rPr>
          <w:rFonts w:ascii="Helvetica Neue" w:cs="Helvetica Neue" w:eastAsia="Helvetica Neue" w:hAnsi="Helvetica Neue"/>
          <w:color w:val="000000"/>
          <w:sz w:val="21"/>
          <w:szCs w:val="21"/>
          <w:rtl w:val="0"/>
        </w:rPr>
        <w:t xml:space="preserve">Really helpful note re AR vs AD mechanism in the general comment! Perhaps just be explicit though that the gain of function mechanism referred to is the mechanism of disease for the AD disorder that these specifications are applicable to.</w:t>
      </w:r>
    </w:p>
    <w:p w:rsidR="00000000" w:rsidDel="00000000" w:rsidP="00000000" w:rsidRDefault="00000000" w:rsidRPr="00000000" w14:paraId="00000009">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Updated:8/20/2025 (16:27:57)</w:t>
      </w:r>
    </w:p>
    <w:p w:rsidR="00000000" w:rsidDel="00000000" w:rsidP="00000000" w:rsidRDefault="00000000" w:rsidRPr="00000000" w14:paraId="0000000A">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0B">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VCEP agreed that it would be beneficial for users of the specifications to clarify the focus on AD/GOF rather than AR/LOF. Text has been added to amend the general comment to; “The current specifications for </w:t>
      </w:r>
      <w:r w:rsidDel="00000000" w:rsidR="00000000" w:rsidRPr="00000000">
        <w:rPr>
          <w:rFonts w:ascii="Helvetica Neue" w:cs="Helvetica Neue" w:eastAsia="Helvetica Neue" w:hAnsi="Helvetica Neue"/>
          <w:i w:val="1"/>
          <w:color w:val="ff0000"/>
          <w:sz w:val="21"/>
          <w:szCs w:val="21"/>
          <w:rtl w:val="0"/>
        </w:rPr>
        <w:t xml:space="preserve">PIK3CD</w:t>
      </w:r>
      <w:r w:rsidDel="00000000" w:rsidR="00000000" w:rsidRPr="00000000">
        <w:rPr>
          <w:rFonts w:ascii="Helvetica Neue" w:cs="Helvetica Neue" w:eastAsia="Helvetica Neue" w:hAnsi="Helvetica Neue"/>
          <w:color w:val="ff0000"/>
          <w:sz w:val="21"/>
          <w:szCs w:val="21"/>
          <w:rtl w:val="0"/>
        </w:rPr>
        <w:t xml:space="preserve"> variant curation are written in relation to autosomal dominant rather than autosomal recessive forms of disease</w:t>
      </w:r>
      <w:r w:rsidDel="00000000" w:rsidR="00000000" w:rsidRPr="00000000">
        <w:rPr>
          <w:rFonts w:ascii="Helvetica Neue" w:cs="Helvetica Neue" w:eastAsia="Helvetica Neue" w:hAnsi="Helvetica Neue"/>
          <w:color w:val="ff0000"/>
          <w:sz w:val="21"/>
          <w:szCs w:val="21"/>
          <w:highlight w:val="yellow"/>
          <w:rtl w:val="0"/>
        </w:rPr>
        <w:t xml:space="preserve">, with a gain-of-function rather than loss-of-function mechanism of pathogenicity</w:t>
      </w:r>
      <w:r w:rsidDel="00000000" w:rsidR="00000000" w:rsidRPr="00000000">
        <w:rPr>
          <w:rFonts w:ascii="Helvetica Neue" w:cs="Helvetica Neue" w:eastAsia="Helvetica Neue" w:hAnsi="Helvetica Neue"/>
          <w:color w:val="ff0000"/>
          <w:sz w:val="21"/>
          <w:szCs w:val="21"/>
          <w:rtl w:val="0"/>
        </w:rPr>
        <w:t xml:space="preserve">.”</w:t>
      </w:r>
      <w:r w:rsidDel="00000000" w:rsidR="00000000" w:rsidRPr="00000000">
        <w:rPr>
          <w:rtl w:val="0"/>
        </w:rPr>
      </w:r>
    </w:p>
    <w:p w:rsidR="00000000" w:rsidDel="00000000" w:rsidP="00000000" w:rsidRDefault="00000000" w:rsidRPr="00000000" w14:paraId="0000000C">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tl w:val="0"/>
        </w:rPr>
      </w:r>
    </w:p>
    <w:p w:rsidR="00000000" w:rsidDel="00000000" w:rsidP="00000000" w:rsidRDefault="00000000" w:rsidRPr="00000000" w14:paraId="0000000D">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PS1 related comments </w:t>
      </w:r>
      <w:r w:rsidDel="00000000" w:rsidR="00000000" w:rsidRPr="00000000">
        <w:rPr>
          <w:rFonts w:ascii="Helvetica Neue" w:cs="Helvetica Neue" w:eastAsia="Helvetica Neue" w:hAnsi="Helvetica Neue"/>
          <w:color w:val="000000"/>
          <w:sz w:val="21"/>
          <w:szCs w:val="21"/>
          <w:rtl w:val="0"/>
        </w:rPr>
        <w:t xml:space="preserve">Add note here to make it explicit that the comparison variant must be classified as Path/Likely Path for AD PIK3CD-related disease to avoid accidental use of AR variants which act by a different mechanism</w:t>
      </w:r>
    </w:p>
    <w:p w:rsidR="00000000" w:rsidDel="00000000" w:rsidP="00000000" w:rsidRDefault="00000000" w:rsidRPr="00000000" w14:paraId="0000000E">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(04:40:16)</w:t>
      </w:r>
    </w:p>
    <w:p w:rsidR="00000000" w:rsidDel="00000000" w:rsidP="00000000" w:rsidRDefault="00000000" w:rsidRPr="00000000" w14:paraId="0000000F">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10">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This was a helpful point. The PS1 text has been updated to; ”Use at the default level (PS1) for missense variants when other variant was classified as Pathogenic</w:t>
      </w:r>
      <w:r w:rsidDel="00000000" w:rsidR="00000000" w:rsidRPr="00000000">
        <w:rPr>
          <w:rFonts w:ascii="Helvetica Neue" w:cs="Helvetica Neue" w:eastAsia="Helvetica Neue" w:hAnsi="Helvetica Neue"/>
          <w:color w:val="ff0000"/>
          <w:sz w:val="21"/>
          <w:szCs w:val="21"/>
          <w:highlight w:val="yellow"/>
          <w:rtl w:val="0"/>
        </w:rPr>
        <w:t xml:space="preserve"> for autosomal dominant PIK3CD gain-of-function-related disease</w:t>
      </w:r>
      <w:r w:rsidDel="00000000" w:rsidR="00000000" w:rsidRPr="00000000">
        <w:rPr>
          <w:rFonts w:ascii="Helvetica Neue" w:cs="Helvetica Neue" w:eastAsia="Helvetica Neue" w:hAnsi="Helvetica Neue"/>
          <w:color w:val="ff0000"/>
          <w:sz w:val="21"/>
          <w:szCs w:val="21"/>
          <w:rtl w:val="0"/>
        </w:rPr>
        <w:t xml:space="preserve"> by Antibody Deficiencies VCEP specifications for PIK3CD without using PS1.” The PS1_Moderate text has been modified to match.</w:t>
      </w:r>
      <w:r w:rsidDel="00000000" w:rsidR="00000000" w:rsidRPr="00000000">
        <w:rPr>
          <w:rtl w:val="0"/>
        </w:rPr>
      </w:r>
    </w:p>
    <w:p w:rsidR="00000000" w:rsidDel="00000000" w:rsidP="00000000" w:rsidRDefault="00000000" w:rsidRPr="00000000" w14:paraId="00000011">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12">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PS2 related comments </w:t>
      </w:r>
      <w:r w:rsidDel="00000000" w:rsidR="00000000" w:rsidRPr="00000000">
        <w:rPr>
          <w:rFonts w:ascii="Helvetica Neue" w:cs="Helvetica Neue" w:eastAsia="Helvetica Neue" w:hAnsi="Helvetica Neue"/>
          <w:color w:val="000000"/>
          <w:sz w:val="21"/>
          <w:szCs w:val="21"/>
          <w:rtl w:val="0"/>
        </w:rPr>
        <w:t xml:space="preserve">Consider adding requirement that BA1/BS1 not be met for use of this code to support consistency with forthcoming SVC v4 standards.</w:t>
      </w:r>
    </w:p>
    <w:p w:rsidR="00000000" w:rsidDel="00000000" w:rsidP="00000000" w:rsidRDefault="00000000" w:rsidRPr="00000000" w14:paraId="00000013">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(05:33:27)</w:t>
      </w:r>
    </w:p>
    <w:p w:rsidR="00000000" w:rsidDel="00000000" w:rsidP="00000000" w:rsidRDefault="00000000" w:rsidRPr="00000000" w14:paraId="00000014">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An additional PS2 bullet has been added to each level of the code indicating that; “PS2 can only be applied if the variant does not meet BA or BS1.”</w:t>
      </w:r>
    </w:p>
    <w:p w:rsidR="00000000" w:rsidDel="00000000" w:rsidP="00000000" w:rsidRDefault="00000000" w:rsidRPr="00000000" w14:paraId="00000016">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17">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PM2 related comments </w:t>
      </w:r>
      <w:r w:rsidDel="00000000" w:rsidR="00000000" w:rsidRPr="00000000">
        <w:rPr>
          <w:rFonts w:ascii="Helvetica Neue" w:cs="Helvetica Neue" w:eastAsia="Helvetica Neue" w:hAnsi="Helvetica Neue"/>
          <w:color w:val="000000"/>
          <w:sz w:val="21"/>
          <w:szCs w:val="21"/>
          <w:rtl w:val="0"/>
        </w:rPr>
        <w:t xml:space="preserve">See comments under BA1 related to penetrance estimate. Please include references to support the chosen prevalence estimate.</w:t>
      </w:r>
    </w:p>
    <w:p w:rsidR="00000000" w:rsidDel="00000000" w:rsidP="00000000" w:rsidRDefault="00000000" w:rsidRPr="00000000" w14:paraId="00000018">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(04:14:21)</w:t>
      </w:r>
    </w:p>
    <w:p w:rsidR="00000000" w:rsidDel="00000000" w:rsidP="00000000" w:rsidRDefault="00000000" w:rsidRPr="00000000" w14:paraId="00000019">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1A">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PM2_Supporting code has been updated so that the relevant bullet points read; </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1C">
      <w:pPr>
        <w:numPr>
          <w:ilvl w:val="0"/>
          <w:numId w:val="1"/>
        </w:numPr>
        <w:shd w:fill="ffffff" w:val="clear"/>
        <w:spacing w:after="0" w:line="240" w:lineRule="auto"/>
        <w:ind w:left="720" w:hanging="360"/>
        <w:rPr>
          <w:rFonts w:ascii="Helvetica Neue" w:cs="Helvetica Neue" w:eastAsia="Helvetica Neue" w:hAnsi="Helvetica Neue"/>
          <w:color w:val="ff0000"/>
          <w:sz w:val="21"/>
          <w:szCs w:val="21"/>
          <w:u w:val="none"/>
        </w:rPr>
      </w:pPr>
      <w:r w:rsidDel="00000000" w:rsidR="00000000" w:rsidRPr="00000000">
        <w:rPr>
          <w:rFonts w:ascii="Helvetica Neue" w:cs="Helvetica Neue" w:eastAsia="Helvetica Neue" w:hAnsi="Helvetica Neue"/>
          <w:color w:val="ff0000"/>
          <w:sz w:val="21"/>
          <w:szCs w:val="21"/>
          <w:rtl w:val="0"/>
        </w:rPr>
        <w:t xml:space="preserve">“Prevalence: 1 in 4,000 (a conservative estimate for primary immunodeficiency diseases from PMID: 17577648, PMID: 23201919)”</w:t>
      </w:r>
    </w:p>
    <w:p w:rsidR="00000000" w:rsidDel="00000000" w:rsidP="00000000" w:rsidRDefault="00000000" w:rsidRPr="00000000" w14:paraId="0000001D">
      <w:pPr>
        <w:numPr>
          <w:ilvl w:val="0"/>
          <w:numId w:val="1"/>
        </w:numPr>
        <w:shd w:fill="ffffff" w:val="clear"/>
        <w:spacing w:after="0" w:line="240" w:lineRule="auto"/>
        <w:ind w:left="720" w:hanging="360"/>
        <w:rPr>
          <w:rFonts w:ascii="Helvetica Neue" w:cs="Helvetica Neue" w:eastAsia="Helvetica Neue" w:hAnsi="Helvetica Neue"/>
          <w:color w:val="ff0000"/>
          <w:sz w:val="21"/>
          <w:szCs w:val="21"/>
          <w:u w:val="none"/>
        </w:rPr>
      </w:pPr>
      <w:r w:rsidDel="00000000" w:rsidR="00000000" w:rsidRPr="00000000">
        <w:rPr>
          <w:rFonts w:ascii="Helvetica Neue" w:cs="Helvetica Neue" w:eastAsia="Helvetica Neue" w:hAnsi="Helvetica Neue"/>
          <w:color w:val="ff0000"/>
          <w:sz w:val="21"/>
          <w:szCs w:val="21"/>
          <w:rtl w:val="0"/>
        </w:rPr>
        <w:t xml:space="preserve">“Penetrance: 0.95 (a conservative estimate based on multiple reports of incomplete but nearly complete penetrance in PMID: 27555459, PMID: 36749229, PMID: 37390899)”</w:t>
      </w:r>
      <w:r w:rsidDel="00000000" w:rsidR="00000000" w:rsidRPr="00000000">
        <w:rPr>
          <w:rtl w:val="0"/>
        </w:rPr>
      </w:r>
    </w:p>
    <w:p w:rsidR="00000000" w:rsidDel="00000000" w:rsidP="00000000" w:rsidRDefault="00000000" w:rsidRPr="00000000" w14:paraId="0000001E">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1F">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000000"/>
          <w:sz w:val="25"/>
          <w:szCs w:val="25"/>
          <w:rtl w:val="0"/>
        </w:rPr>
        <w:t xml:space="preserve">PM5 related comment </w:t>
      </w:r>
      <w:r w:rsidDel="00000000" w:rsidR="00000000" w:rsidRPr="00000000">
        <w:rPr>
          <w:rFonts w:ascii="Helvetica Neue" w:cs="Helvetica Neue" w:eastAsia="Helvetica Neue" w:hAnsi="Helvetica Neue"/>
          <w:b w:val="1"/>
          <w:sz w:val="25"/>
          <w:szCs w:val="25"/>
          <w:rtl w:val="0"/>
        </w:rPr>
        <w:t xml:space="preserve">(1)</w:t>
      </w:r>
      <w:r w:rsidDel="00000000" w:rsidR="00000000" w:rsidRPr="00000000">
        <w:rPr>
          <w:rFonts w:ascii="Helvetica Neue" w:cs="Helvetica Neue" w:eastAsia="Helvetica Neue" w:hAnsi="Helvetica Neue"/>
          <w:b w:val="1"/>
          <w:color w:val="000000"/>
          <w:sz w:val="25"/>
          <w:szCs w:val="25"/>
          <w:rtl w:val="0"/>
        </w:rPr>
        <w:t xml:space="preserve"> </w:t>
      </w:r>
      <w:r w:rsidDel="00000000" w:rsidR="00000000" w:rsidRPr="00000000">
        <w:rPr>
          <w:rFonts w:ascii="Helvetica Neue" w:cs="Helvetica Neue" w:eastAsia="Helvetica Neue" w:hAnsi="Helvetica Neue"/>
          <w:color w:val="000000"/>
          <w:sz w:val="21"/>
          <w:szCs w:val="21"/>
          <w:rtl w:val="0"/>
        </w:rPr>
        <w:t xml:space="preserve">See comment under PS1.</w:t>
      </w:r>
      <w:r w:rsidDel="00000000" w:rsidR="00000000" w:rsidRPr="00000000">
        <w:rPr>
          <w:rtl w:val="0"/>
        </w:rPr>
      </w:r>
    </w:p>
    <w:p w:rsidR="00000000" w:rsidDel="00000000" w:rsidP="00000000" w:rsidRDefault="00000000" w:rsidRPr="00000000" w14:paraId="00000020">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Add note here to make it explicit that the comparison variant must be classified as Path/Likely Path for AD PIK3CD-related disease to avoid accidental use of AR variants which act by a different mechanism</w:t>
      </w:r>
    </w:p>
    <w:p w:rsidR="00000000" w:rsidDel="00000000" w:rsidP="00000000" w:rsidRDefault="00000000" w:rsidRPr="00000000" w14:paraId="00000021">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PM5 text has been updated to include the text highlighted in yellow: ”Use at the default level (PM5) for missense variants when other amino acid substitution at the same position was classified as Pathogenic</w:t>
      </w:r>
      <w:r w:rsidDel="00000000" w:rsidR="00000000" w:rsidRPr="00000000">
        <w:rPr>
          <w:rFonts w:ascii="Helvetica Neue" w:cs="Helvetica Neue" w:eastAsia="Helvetica Neue" w:hAnsi="Helvetica Neue"/>
          <w:color w:val="ff0000"/>
          <w:sz w:val="21"/>
          <w:szCs w:val="21"/>
          <w:highlight w:val="yellow"/>
          <w:rtl w:val="0"/>
        </w:rPr>
        <w:t xml:space="preserve"> for autosomal dominant PIK3CD-related disease</w:t>
      </w:r>
      <w:r w:rsidDel="00000000" w:rsidR="00000000" w:rsidRPr="00000000">
        <w:rPr>
          <w:rFonts w:ascii="Helvetica Neue" w:cs="Helvetica Neue" w:eastAsia="Helvetica Neue" w:hAnsi="Helvetica Neue"/>
          <w:color w:val="ff0000"/>
          <w:sz w:val="21"/>
          <w:szCs w:val="21"/>
          <w:rtl w:val="0"/>
        </w:rPr>
        <w:t xml:space="preserve"> by Antibody Deficiencies VCEP specifications for PIK3CD without using PM5.” The PM5_Supporting text has been modified to match.</w:t>
      </w:r>
    </w:p>
    <w:p w:rsidR="00000000" w:rsidDel="00000000" w:rsidP="00000000" w:rsidRDefault="00000000" w:rsidRPr="00000000" w14:paraId="00000022">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sz w:val="25"/>
          <w:szCs w:val="25"/>
          <w:rtl w:val="0"/>
        </w:rPr>
        <w:t xml:space="preserve">PM5 related comment (2) </w:t>
      </w:r>
      <w:r w:rsidDel="00000000" w:rsidR="00000000" w:rsidRPr="00000000">
        <w:rPr>
          <w:rFonts w:ascii="Helvetica Neue" w:cs="Helvetica Neue" w:eastAsia="Helvetica Neue" w:hAnsi="Helvetica Neue"/>
          <w:color w:val="000000"/>
          <w:sz w:val="21"/>
          <w:szCs w:val="21"/>
          <w:rtl w:val="0"/>
        </w:rPr>
        <w:t xml:space="preserve">Additionally, please add additional (standard) language that 'The variant being evaluated must be equal or worse (Grantham difference value is greater than) than the known pathogenic variant (i.e. the variant residue should be equally chemically different or more chemically different than the known pathogenic residue in comparison to the wild type residue).'</w:t>
      </w:r>
      <w:r w:rsidDel="00000000" w:rsidR="00000000" w:rsidRPr="00000000">
        <w:rPr>
          <w:rtl w:val="0"/>
        </w:rPr>
      </w:r>
    </w:p>
    <w:p w:rsidR="00000000" w:rsidDel="00000000" w:rsidP="00000000" w:rsidRDefault="00000000" w:rsidRPr="00000000" w14:paraId="00000024">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Although the VCEP is very open to adopting this recommendation for other diseases with a loss-of-function mechanism, they are reluctant to make this same assumption about relatedness between variants in the context of a gain-of-function mechanism. The group’s understanding is that Grantham scores quantify the physicochemical difference between amino acids and are often used to infer structural disruption, so that they are relevant for LoF mechanisms where destabilization or misfolding drives pathogenicity. However, gain-of-function variants in </w:t>
      </w:r>
      <w:r w:rsidDel="00000000" w:rsidR="00000000" w:rsidRPr="00000000">
        <w:rPr>
          <w:rFonts w:ascii="Helvetica Neue" w:cs="Helvetica Neue" w:eastAsia="Helvetica Neue" w:hAnsi="Helvetica Neue"/>
          <w:i w:val="1"/>
          <w:color w:val="ff0000"/>
          <w:sz w:val="21"/>
          <w:szCs w:val="21"/>
          <w:rtl w:val="0"/>
        </w:rPr>
        <w:t xml:space="preserve">PIK3CD</w:t>
      </w:r>
      <w:r w:rsidDel="00000000" w:rsidR="00000000" w:rsidRPr="00000000">
        <w:rPr>
          <w:rFonts w:ascii="Helvetica Neue" w:cs="Helvetica Neue" w:eastAsia="Helvetica Neue" w:hAnsi="Helvetica Neue"/>
          <w:color w:val="ff0000"/>
          <w:sz w:val="21"/>
          <w:szCs w:val="21"/>
          <w:rtl w:val="0"/>
        </w:rPr>
        <w:t xml:space="preserve"> act through modified protein-protein interaction and altered regulation rather than gross structural disruption. The VCEP is aware of studies showing that GoF mutations often involve conservative substitutions in functional hotspots and have milder effects on protein stability compared to LoF variants (PMID: 38037155, PMID: 35794153). Consequently, a higher Grantham score does not predict increased GoF effect and may even indicate a shift toward LoF. Therefore, the VCEP feels that Grantham-based severity comparisons should not be used to support PM5 in GoF contexts, where mechanistic and domain-specific evidence is more informative. The VCEP has added a bullet point to the PM5 code to address this issue and to serve as a placeholder pending further reviewer consideration; “Due to the gain-of-function mechanism of disease, the variant under consideration is not required to have a higher Grantham score than the comparison variant in order to meet PM5 (PMID: 38037155, PMID: 35794153).”</w:t>
      </w:r>
      <w:r w:rsidDel="00000000" w:rsidR="00000000" w:rsidRPr="00000000">
        <w:rPr>
          <w:rtl w:val="0"/>
        </w:rPr>
      </w:r>
    </w:p>
    <w:p w:rsidR="00000000" w:rsidDel="00000000" w:rsidP="00000000" w:rsidRDefault="00000000" w:rsidRPr="00000000" w14:paraId="00000025">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6">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sz w:val="25"/>
          <w:szCs w:val="25"/>
          <w:rtl w:val="0"/>
        </w:rPr>
        <w:t xml:space="preserve">PM5 related comment(3) </w:t>
      </w:r>
      <w:r w:rsidDel="00000000" w:rsidR="00000000" w:rsidRPr="00000000">
        <w:rPr>
          <w:rFonts w:ascii="Helvetica Neue" w:cs="Helvetica Neue" w:eastAsia="Helvetica Neue" w:hAnsi="Helvetica Neue"/>
          <w:color w:val="000000"/>
          <w:sz w:val="21"/>
          <w:szCs w:val="21"/>
          <w:rtl w:val="0"/>
        </w:rPr>
        <w:t xml:space="preserve">Also, why is not meeting BA1/BS1 a requirement for PM5 but not for PS1? It will be inconsistent with the forthcoming SVC v4 standards to require it for either.</w:t>
      </w:r>
    </w:p>
    <w:p w:rsidR="00000000" w:rsidDel="00000000" w:rsidP="00000000" w:rsidRDefault="00000000" w:rsidRPr="00000000" w14:paraId="00000027">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(05:31:47)</w:t>
      </w:r>
    </w:p>
    <w:p w:rsidR="00000000" w:rsidDel="00000000" w:rsidP="00000000" w:rsidRDefault="00000000" w:rsidRPr="00000000" w14:paraId="00000028">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29">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VCEP previously suggested this requirement as a workaround to attempt to avoid the Grantham score requirement, but has now agreed to remove it from the PM5 code to better comply with the v4 standards.</w:t>
      </w:r>
      <w:r w:rsidDel="00000000" w:rsidR="00000000" w:rsidRPr="00000000">
        <w:rPr>
          <w:rtl w:val="0"/>
        </w:rPr>
      </w:r>
    </w:p>
    <w:p w:rsidR="00000000" w:rsidDel="00000000" w:rsidP="00000000" w:rsidRDefault="00000000" w:rsidRPr="00000000" w14:paraId="0000002A">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2B">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PM6 related comments </w:t>
      </w:r>
      <w:r w:rsidDel="00000000" w:rsidR="00000000" w:rsidRPr="00000000">
        <w:rPr>
          <w:rFonts w:ascii="Helvetica Neue" w:cs="Helvetica Neue" w:eastAsia="Helvetica Neue" w:hAnsi="Helvetica Neue"/>
          <w:color w:val="000000"/>
          <w:sz w:val="21"/>
          <w:szCs w:val="21"/>
          <w:rtl w:val="0"/>
        </w:rPr>
        <w:t xml:space="preserve">PM6 specified as not in use, with cases intended to be counted under PS2, however a number of pilot variants use the PM6 code.</w:t>
      </w:r>
    </w:p>
    <w:p w:rsidR="00000000" w:rsidDel="00000000" w:rsidP="00000000" w:rsidRDefault="00000000" w:rsidRPr="00000000" w14:paraId="0000002C">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(04:52:25)</w:t>
      </w:r>
    </w:p>
    <w:p w:rsidR="00000000" w:rsidDel="00000000" w:rsidP="00000000" w:rsidRDefault="00000000" w:rsidRPr="00000000" w14:paraId="0000002D">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2E">
      <w:pPr>
        <w:shd w:fill="ffffff" w:val="clear"/>
        <w:spacing w:after="0" w:line="240" w:lineRule="auto"/>
        <w:rPr>
          <w:rFonts w:ascii="Helvetica Neue" w:cs="Helvetica Neue" w:eastAsia="Helvetica Neue" w:hAnsi="Helvetica Neue"/>
          <w:b w:val="1"/>
          <w:sz w:val="25"/>
          <w:szCs w:val="25"/>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Thank you for pointing out these errors. The pilot variants have been updated to count these cases under the PS2 code rather than under PM6.</w:t>
      </w:r>
      <w:r w:rsidDel="00000000" w:rsidR="00000000" w:rsidRPr="00000000">
        <w:rPr>
          <w:rtl w:val="0"/>
        </w:rPr>
      </w:r>
    </w:p>
    <w:p w:rsidR="00000000" w:rsidDel="00000000" w:rsidP="00000000" w:rsidRDefault="00000000" w:rsidRPr="00000000" w14:paraId="0000002F">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30">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PP1 related comments </w:t>
      </w:r>
      <w:r w:rsidDel="00000000" w:rsidR="00000000" w:rsidRPr="00000000">
        <w:rPr>
          <w:rFonts w:ascii="Helvetica Neue" w:cs="Helvetica Neue" w:eastAsia="Helvetica Neue" w:hAnsi="Helvetica Neue"/>
          <w:color w:val="000000"/>
          <w:sz w:val="21"/>
          <w:szCs w:val="21"/>
          <w:rtl w:val="0"/>
        </w:rPr>
        <w:t xml:space="preserve">The VCEP is welcome to be more conservative if they wish, but consider use of co-segregation counting as suggested in Biesecker et al 2024 (PMID: 38103548). This will also help to ensure these specifications can be more easily lifted over to SVC v4. Additionally, please implement the requirement that the combination of PP1 and PP4 can not exceed 5 points/1 strong and 1 supporting.</w:t>
      </w:r>
    </w:p>
    <w:p w:rsidR="00000000" w:rsidDel="00000000" w:rsidP="00000000" w:rsidRDefault="00000000" w:rsidRPr="00000000" w14:paraId="00000031">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(05:19:17)</w:t>
      </w:r>
    </w:p>
    <w:p w:rsidR="00000000" w:rsidDel="00000000" w:rsidP="00000000" w:rsidRDefault="00000000" w:rsidRPr="00000000" w14:paraId="00000032">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33">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This recommendation was helpful to motivate the VCEP to incorporate a few updates to the PP1 and BS4 codes. The guidance from Biesecker et al 2024 (PMID: 38103548) has been followed to reward 1 co-segregation of the variant with the affected phenotype in 1 family, while 2 segregations are now required for PP1_Moderate and 4 for PP1_Strong. However, the VCEP has continued to be conservative in placing an additional requirement for each family member to reach at least 6 points on the VCEP’s phenotype table in order to be considered affected for the purpose of counting co-segregations. This point requirement has been implemented equally for both PP1 and BS4. Also, the VCEP has added a requirement that the combination of PP1 and PP4 can not exceed 5 points/1 strong and 1 supporting.</w:t>
      </w:r>
      <w:r w:rsidDel="00000000" w:rsidR="00000000" w:rsidRPr="00000000">
        <w:rPr>
          <w:rtl w:val="0"/>
        </w:rPr>
      </w:r>
    </w:p>
    <w:p w:rsidR="00000000" w:rsidDel="00000000" w:rsidP="00000000" w:rsidRDefault="00000000" w:rsidRPr="00000000" w14:paraId="00000034">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5">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PP3 related comments </w:t>
      </w:r>
      <w:r w:rsidDel="00000000" w:rsidR="00000000" w:rsidRPr="00000000">
        <w:rPr>
          <w:rFonts w:ascii="Helvetica Neue" w:cs="Helvetica Neue" w:eastAsia="Helvetica Neue" w:hAnsi="Helvetica Neue"/>
          <w:color w:val="000000"/>
          <w:sz w:val="21"/>
          <w:szCs w:val="21"/>
          <w:rtl w:val="0"/>
        </w:rPr>
        <w:t xml:space="preserve">Apologies if I missed it - has evidence demonstrating the need for, and establishing, these alternate (to Pejaver et al) REVEL and CADD thresholds been provided? For VCEPs wanting to use gene-specific thresholds, supporting calibration evidence needs to be provided. Additionally, requiring the combined used of 2 predictors goes against current best practice advice. And CADD is no longer a recommended tool. Is there data to support that this combined use is more accurate than a single tool alone? A number of VUS variants end up with no code applied as there is discordance between the 2 predictors - it would be helpful to see evidence supporting the rationale.</w:t>
      </w:r>
    </w:p>
    <w:p w:rsidR="00000000" w:rsidDel="00000000" w:rsidP="00000000" w:rsidRDefault="00000000" w:rsidRPr="00000000" w14:paraId="00000036">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(05:22:37)</w:t>
      </w:r>
    </w:p>
    <w:p w:rsidR="00000000" w:rsidDel="00000000" w:rsidP="00000000" w:rsidRDefault="00000000" w:rsidRPr="00000000" w14:paraId="00000037">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38">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VCEP agrees with the reviewer’s point that the combined use of 2 predictors is not in line with current best practice (PMID: 36413997) and that CADD in particular is no longer a recommended tool. However, the VCEP is requesting approval based on the data below and broader trend of improved specificity across at least 2 genes related to inborn errors of immunity so far (</w:t>
      </w:r>
      <w:r w:rsidDel="00000000" w:rsidR="00000000" w:rsidRPr="00000000">
        <w:rPr>
          <w:rFonts w:ascii="Helvetica Neue" w:cs="Helvetica Neue" w:eastAsia="Helvetica Neue" w:hAnsi="Helvetica Neue"/>
          <w:i w:val="1"/>
          <w:color w:val="ff0000"/>
          <w:sz w:val="21"/>
          <w:szCs w:val="21"/>
          <w:rtl w:val="0"/>
        </w:rPr>
        <w:t xml:space="preserve">PIK3CD</w:t>
      </w:r>
      <w:r w:rsidDel="00000000" w:rsidR="00000000" w:rsidRPr="00000000">
        <w:rPr>
          <w:rFonts w:ascii="Helvetica Neue" w:cs="Helvetica Neue" w:eastAsia="Helvetica Neue" w:hAnsi="Helvetica Neue"/>
          <w:color w:val="ff0000"/>
          <w:sz w:val="21"/>
          <w:szCs w:val="21"/>
          <w:rtl w:val="0"/>
        </w:rPr>
        <w:t xml:space="preserve"> and </w:t>
      </w:r>
      <w:r w:rsidDel="00000000" w:rsidR="00000000" w:rsidRPr="00000000">
        <w:rPr>
          <w:rFonts w:ascii="Helvetica Neue" w:cs="Helvetica Neue" w:eastAsia="Helvetica Neue" w:hAnsi="Helvetica Neue"/>
          <w:i w:val="1"/>
          <w:color w:val="ff0000"/>
          <w:sz w:val="21"/>
          <w:szCs w:val="21"/>
          <w:rtl w:val="0"/>
        </w:rPr>
        <w:t xml:space="preserve">CTLA4</w:t>
      </w:r>
      <w:r w:rsidDel="00000000" w:rsidR="00000000" w:rsidRPr="00000000">
        <w:rPr>
          <w:rFonts w:ascii="Helvetica Neue" w:cs="Helvetica Neue" w:eastAsia="Helvetica Neue" w:hAnsi="Helvetica Neue"/>
          <w:color w:val="ff0000"/>
          <w:sz w:val="21"/>
          <w:szCs w:val="21"/>
          <w:rtl w:val="0"/>
        </w:rPr>
        <w:t xml:space="preserve">).</w:t>
      </w:r>
      <w:r w:rsidDel="00000000" w:rsidR="00000000" w:rsidRPr="00000000">
        <w:rPr>
          <w:rFonts w:ascii="Helvetica Neue" w:cs="Helvetica Neue" w:eastAsia="Helvetica Neue" w:hAnsi="Helvetica Neue"/>
          <w:b w:val="1"/>
          <w:color w:val="ff0000"/>
          <w:sz w:val="25"/>
          <w:szCs w:val="25"/>
          <w:rtl w:val="0"/>
        </w:rPr>
        <w:t xml:space="preserve"> </w:t>
      </w:r>
      <w:r w:rsidDel="00000000" w:rsidR="00000000" w:rsidRPr="00000000">
        <w:rPr>
          <w:rFonts w:ascii="Helvetica Neue" w:cs="Helvetica Neue" w:eastAsia="Helvetica Neue" w:hAnsi="Helvetica Neue"/>
          <w:color w:val="ff0000"/>
          <w:sz w:val="21"/>
          <w:szCs w:val="21"/>
          <w:rtl w:val="0"/>
        </w:rPr>
        <w:t xml:space="preserve">The left-most of the three tables below provides data showing an overall trend in which </w:t>
      </w:r>
      <w:r w:rsidDel="00000000" w:rsidR="00000000" w:rsidRPr="00000000">
        <w:rPr>
          <w:rFonts w:ascii="Helvetica Neue" w:cs="Helvetica Neue" w:eastAsia="Helvetica Neue" w:hAnsi="Helvetica Neue"/>
          <w:i w:val="1"/>
          <w:color w:val="ff0000"/>
          <w:sz w:val="21"/>
          <w:szCs w:val="21"/>
          <w:rtl w:val="0"/>
        </w:rPr>
        <w:t xml:space="preserve">PIK3CD</w:t>
      </w:r>
      <w:r w:rsidDel="00000000" w:rsidR="00000000" w:rsidRPr="00000000">
        <w:rPr>
          <w:rFonts w:ascii="Helvetica Neue" w:cs="Helvetica Neue" w:eastAsia="Helvetica Neue" w:hAnsi="Helvetica Neue"/>
          <w:color w:val="ff0000"/>
          <w:sz w:val="21"/>
          <w:szCs w:val="21"/>
          <w:rtl w:val="0"/>
        </w:rPr>
        <w:t xml:space="preserve"> missense variants tend to have low REVEL scores, regardless of how they are classified in previous ClinVar submissions (listed as either “True LP / P” or “True LB / B”). A similar trend has been observed for the previously specified immune gene </w:t>
      </w:r>
      <w:r w:rsidDel="00000000" w:rsidR="00000000" w:rsidRPr="00000000">
        <w:rPr>
          <w:rFonts w:ascii="Helvetica Neue" w:cs="Helvetica Neue" w:eastAsia="Helvetica Neue" w:hAnsi="Helvetica Neue"/>
          <w:i w:val="1"/>
          <w:color w:val="ff0000"/>
          <w:sz w:val="21"/>
          <w:szCs w:val="21"/>
          <w:rtl w:val="0"/>
        </w:rPr>
        <w:t xml:space="preserve">CTLA4</w:t>
      </w:r>
      <w:r w:rsidDel="00000000" w:rsidR="00000000" w:rsidRPr="00000000">
        <w:rPr>
          <w:rFonts w:ascii="Helvetica Neue" w:cs="Helvetica Neue" w:eastAsia="Helvetica Neue" w:hAnsi="Helvetica Neue"/>
          <w:color w:val="ff0000"/>
          <w:sz w:val="21"/>
          <w:szCs w:val="21"/>
          <w:rtl w:val="0"/>
        </w:rPr>
        <w:t xml:space="preserve"> (data not shown).</w:t>
      </w:r>
      <w:r w:rsidDel="00000000" w:rsidR="00000000" w:rsidRPr="00000000">
        <w:rPr>
          <w:rFonts w:ascii="Helvetica Neue" w:cs="Helvetica Neue" w:eastAsia="Helvetica Neue" w:hAnsi="Helvetica Neue"/>
          <w:color w:val="ff0000"/>
          <w:sz w:val="21"/>
          <w:szCs w:val="21"/>
          <w:rtl w:val="0"/>
        </w:rPr>
        <w:t xml:space="preserve"> The solution that has eliminated the BP4 false positives for both genes has been to require agreement between REVEL and CADD. The CADD table below (center) illustrates that </w:t>
      </w:r>
      <w:r w:rsidDel="00000000" w:rsidR="00000000" w:rsidRPr="00000000">
        <w:rPr>
          <w:rFonts w:ascii="Helvetica Neue" w:cs="Helvetica Neue" w:eastAsia="Helvetica Neue" w:hAnsi="Helvetica Neue"/>
          <w:i w:val="1"/>
          <w:color w:val="ff0000"/>
          <w:sz w:val="21"/>
          <w:szCs w:val="21"/>
          <w:rtl w:val="0"/>
        </w:rPr>
        <w:t xml:space="preserve">PIK3CD</w:t>
      </w:r>
      <w:r w:rsidDel="00000000" w:rsidR="00000000" w:rsidRPr="00000000">
        <w:rPr>
          <w:rFonts w:ascii="Helvetica Neue" w:cs="Helvetica Neue" w:eastAsia="Helvetica Neue" w:hAnsi="Helvetica Neue"/>
          <w:color w:val="ff0000"/>
          <w:sz w:val="21"/>
          <w:szCs w:val="21"/>
          <w:rtl w:val="0"/>
        </w:rPr>
        <w:t xml:space="preserve"> variants tend to have high CADD PHRED scores. Specificity is maximized in the right-most table below. by the proposed requirement for a variant to fall within the deleterious ranges of both REVEL and CADD (PP3) or the non-deleterious ranges of both predictors (BP4). This eliminates both the 1 false positive for BP4 by REVEL and the 3 false positives for PP3 by CADD.</w:t>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3A">
      <w:pPr>
        <w:shd w:fill="ffffff" w:val="clear"/>
        <w:spacing w:after="0" w:line="240" w:lineRule="auto"/>
        <w:rPr>
          <w:rFonts w:ascii="Helvetica Neue" w:cs="Helvetica Neue" w:eastAsia="Helvetica Neue" w:hAnsi="Helvetica Neue"/>
          <w:b w:val="1"/>
          <w:color w:val="000000"/>
          <w:sz w:val="25"/>
          <w:szCs w:val="25"/>
        </w:rPr>
      </w:pPr>
      <w:r w:rsidDel="00000000" w:rsidR="00000000" w:rsidRPr="00000000">
        <w:rPr>
          <w:rFonts w:ascii="Helvetica Neue" w:cs="Helvetica Neue" w:eastAsia="Helvetica Neue" w:hAnsi="Helvetica Neue"/>
          <w:b w:val="1"/>
          <w:sz w:val="25"/>
          <w:szCs w:val="25"/>
        </w:rPr>
        <w:drawing>
          <wp:inline distB="114300" distT="114300" distL="114300" distR="114300">
            <wp:extent cx="5943600" cy="69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3C">
      <w:pPr>
        <w:shd w:fill="ffffff" w:val="clear"/>
        <w:spacing w:after="0" w:line="240" w:lineRule="auto"/>
        <w:rPr>
          <w:rFonts w:ascii="Helvetica Neue" w:cs="Helvetica Neue" w:eastAsia="Helvetica Neue" w:hAnsi="Helvetica Neue"/>
          <w:b w:val="1"/>
          <w:sz w:val="25"/>
          <w:szCs w:val="25"/>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PP4 related comments </w:t>
      </w:r>
      <w:r w:rsidDel="00000000" w:rsidR="00000000" w:rsidRPr="00000000">
        <w:rPr>
          <w:rFonts w:ascii="Helvetica Neue" w:cs="Helvetica Neue" w:eastAsia="Helvetica Neue" w:hAnsi="Helvetica Neue"/>
          <w:color w:val="000000"/>
          <w:sz w:val="21"/>
          <w:szCs w:val="21"/>
          <w:rtl w:val="0"/>
        </w:rPr>
        <w:t xml:space="preserve">To support general use, please add additional details of how to assess 'patient cell-based functional assays directly showing abnormally high activity of the disease-relevant PI3K delta pathway.'</w:t>
      </w:r>
    </w:p>
    <w:p w:rsidR="00000000" w:rsidDel="00000000" w:rsidP="00000000" w:rsidRDefault="00000000" w:rsidRPr="00000000" w14:paraId="0000003E">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(05:35:55)</w:t>
      </w:r>
    </w:p>
    <w:p w:rsidR="00000000" w:rsidDel="00000000" w:rsidP="00000000" w:rsidRDefault="00000000" w:rsidRPr="00000000" w14:paraId="0000003F">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40">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Thank you for pointing out this omission. The VCEP has now attempted to provide an additional bullet point with detailed recommendations for assessing patient cell-based functional assays;</w:t>
      </w:r>
    </w:p>
    <w:p w:rsidR="00000000" w:rsidDel="00000000" w:rsidP="00000000" w:rsidRDefault="00000000" w:rsidRPr="00000000" w14:paraId="00000041">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42">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color w:val="ff0000"/>
          <w:sz w:val="21"/>
          <w:szCs w:val="21"/>
          <w:rtl w:val="0"/>
        </w:rPr>
        <w:t xml:space="preserve">“These experiments generally isolate T cells from affected and unaffected patients and often perform stimulation by anti-CD3 and anti-CD28 antibodies, followed by assessment of PI3K delta pathway function using western blotting or flow cytometry in combination with phospho-specific antibodies. These methods detect levels of AKT phosphorylation at Ser473 (PMID: 24136356, PMID: 28414062, PMID: 28428270) or Thr308 (PMID: 24165795) and/or S6 phosphorylation at Ser235/Ser236 (PMID: 28428270) or Ser240/Ser244 (PMID: 28414062). Phosphorylation may be upregulated by 1.2-fold to 7.5-fold in cells from the affected patient relative to the healthy control, and in some assays may be shown to be abrogated by PI3K-specific inhibitor (PMID: 28428270).”</w:t>
      </w:r>
    </w:p>
    <w:p w:rsidR="00000000" w:rsidDel="00000000" w:rsidP="00000000" w:rsidRDefault="00000000" w:rsidRPr="00000000" w14:paraId="00000043">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44">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BA1 related comments(1) </w:t>
      </w:r>
      <w:r w:rsidDel="00000000" w:rsidR="00000000" w:rsidRPr="00000000">
        <w:rPr>
          <w:rFonts w:ascii="Helvetica Neue" w:cs="Helvetica Neue" w:eastAsia="Helvetica Neue" w:hAnsi="Helvetica Neue"/>
          <w:color w:val="000000"/>
          <w:sz w:val="21"/>
          <w:szCs w:val="21"/>
          <w:rtl w:val="0"/>
        </w:rPr>
        <w:t xml:space="preserve">Why has AR inheritance been used as the MOI when calculating the BA1/BS1 thresholds when these specifications are for the AD disorder, and the molecular mechanism (appears) to be different between the two? More stringent (and more specific) thresholds may help to resolve more of the VUS variants.</w:t>
      </w:r>
    </w:p>
    <w:p w:rsidR="00000000" w:rsidDel="00000000" w:rsidP="00000000" w:rsidRDefault="00000000" w:rsidRPr="00000000" w14:paraId="00000045">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(05:12:55)</w:t>
      </w:r>
    </w:p>
    <w:p w:rsidR="00000000" w:rsidDel="00000000" w:rsidP="00000000" w:rsidRDefault="00000000" w:rsidRPr="00000000" w14:paraId="00000046">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47">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Antibody Deficiencies VCEP response: The VCEP has decided to use AR inheritance in calculating the initial BA1/BS1 thresholds for this AD disorder, based on a broader understanding that ClinGen will only make one ClinVar submission per variant, and that submission of a missense variant to ClinVar as benign in relation to AD/GOF disease will be viewed as an assertion that it is benign for AR/LOF disease as well. Thus, these BA1/BS1 thresholds will be appropriate for both AR and AD specifications, even as the PM2_Supporting thresholds for AR vs. AD will be drastically different. In the case of a missense variant lacking functional data to determine whether its effect is GOF or LOF, the VCEP considered the higher BA1/BS1 thresholds associated with an AR calculation to be more conservative and careful than the lower BA1/BS1 thresholds associated with an AD calculation. The purpose was to ensure that the current thresholds are far less likely to accidentally apply BA1 or BS1 to a disease-causing LOF missense variant. A figure has been provided below to show that the higher BA1 and BS1 thresholds successfully avoid awarding benign codes to apparent null variants present in gnomAD at frequencies too high to cause autosomal dominant disease.</w:t>
      </w:r>
    </w:p>
    <w:p w:rsidR="00000000" w:rsidDel="00000000" w:rsidP="00000000" w:rsidRDefault="00000000" w:rsidRPr="00000000" w14:paraId="00000048">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49">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color w:val="ff0000"/>
          <w:sz w:val="21"/>
          <w:szCs w:val="21"/>
        </w:rPr>
        <w:drawing>
          <wp:inline distB="114300" distT="114300" distL="114300" distR="114300">
            <wp:extent cx="5943600" cy="2984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0" w:line="240" w:lineRule="auto"/>
        <w:rPr>
          <w:rFonts w:ascii="Helvetica Neue" w:cs="Helvetica Neue" w:eastAsia="Helvetica Neue" w:hAnsi="Helvetica Neue"/>
          <w:b w:val="1"/>
          <w:color w:val="ff0000"/>
          <w:sz w:val="21"/>
          <w:szCs w:val="21"/>
        </w:rPr>
      </w:pPr>
      <w:r w:rsidDel="00000000" w:rsidR="00000000" w:rsidRPr="00000000">
        <w:rPr>
          <w:rtl w:val="0"/>
        </w:rPr>
      </w:r>
    </w:p>
    <w:p w:rsidR="00000000" w:rsidDel="00000000" w:rsidP="00000000" w:rsidRDefault="00000000" w:rsidRPr="00000000" w14:paraId="0000004B">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sz w:val="25"/>
          <w:szCs w:val="25"/>
          <w:rtl w:val="0"/>
        </w:rPr>
        <w:t xml:space="preserve">BA1 related comments(2) </w:t>
      </w:r>
      <w:r w:rsidDel="00000000" w:rsidR="00000000" w:rsidRPr="00000000">
        <w:rPr>
          <w:rFonts w:ascii="Helvetica Neue" w:cs="Helvetica Neue" w:eastAsia="Helvetica Neue" w:hAnsi="Helvetica Neue"/>
          <w:sz w:val="21"/>
          <w:szCs w:val="21"/>
          <w:rtl w:val="0"/>
        </w:rPr>
        <w:t xml:space="preserve">Additionally - is it correct to consider the penetrance as 100% when BS2 is not being used due to the issue of incomplete penetrance? A lower penetrance estimate will give a more conservative (ie higher) BA1 threshold.</w:t>
      </w:r>
    </w:p>
    <w:p w:rsidR="00000000" w:rsidDel="00000000" w:rsidP="00000000" w:rsidRDefault="00000000" w:rsidRPr="00000000" w14:paraId="0000004C">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Last Updated:8/21/2025 (05:12:55)</w:t>
      </w:r>
    </w:p>
    <w:p w:rsidR="00000000" w:rsidDel="00000000" w:rsidP="00000000" w:rsidRDefault="00000000" w:rsidRPr="00000000" w14:paraId="0000004D">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Last Updated By:Alicia Byrne</w:t>
      </w:r>
    </w:p>
    <w:p w:rsidR="00000000" w:rsidDel="00000000" w:rsidP="00000000" w:rsidRDefault="00000000" w:rsidRPr="00000000" w14:paraId="0000004E">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Penetrance was considered as 100% as part of the the strategy of tailoring the benign population codes to an autosomal recessive mode of inheritance (associated with complete penetrance). The VCEP has clarified by amending the BA1 code to state; “Maximum credible population allele frequency threshold determined using Whiffin/Ware calculator and the following estimated parameters (with the prevalence derived from an estimate for PIK3R1-related immune disease and the inheritance tailored to the autosomal recessive rather than autosomal dominant mode of inheritance, </w:t>
      </w:r>
      <w:r w:rsidDel="00000000" w:rsidR="00000000" w:rsidRPr="00000000">
        <w:rPr>
          <w:rFonts w:ascii="Helvetica Neue" w:cs="Helvetica Neue" w:eastAsia="Helvetica Neue" w:hAnsi="Helvetica Neue"/>
          <w:color w:val="ff0000"/>
          <w:sz w:val="21"/>
          <w:szCs w:val="21"/>
          <w:highlight w:val="yellow"/>
          <w:rtl w:val="0"/>
        </w:rPr>
        <w:t xml:space="preserve">associated with complete penetrance</w:t>
      </w:r>
      <w:r w:rsidDel="00000000" w:rsidR="00000000" w:rsidRPr="00000000">
        <w:rPr>
          <w:rFonts w:ascii="Helvetica Neue" w:cs="Helvetica Neue" w:eastAsia="Helvetica Neue" w:hAnsi="Helvetica Neue"/>
          <w:color w:val="ff0000"/>
          <w:sz w:val="21"/>
          <w:szCs w:val="21"/>
          <w:rtl w:val="0"/>
        </w:rPr>
        <w:t xml:space="preserve">):”</w:t>
      </w:r>
    </w:p>
    <w:p w:rsidR="00000000" w:rsidDel="00000000" w:rsidP="00000000" w:rsidRDefault="00000000" w:rsidRPr="00000000" w14:paraId="0000004F">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50">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sz w:val="25"/>
          <w:szCs w:val="25"/>
          <w:rtl w:val="0"/>
        </w:rPr>
        <w:t xml:space="preserve">BA1 related comments(3) </w:t>
      </w:r>
      <w:r w:rsidDel="00000000" w:rsidR="00000000" w:rsidRPr="00000000">
        <w:rPr>
          <w:rFonts w:ascii="Helvetica Neue" w:cs="Helvetica Neue" w:eastAsia="Helvetica Neue" w:hAnsi="Helvetica Neue"/>
          <w:sz w:val="21"/>
          <w:szCs w:val="21"/>
          <w:rtl w:val="0"/>
        </w:rPr>
        <w:t xml:space="preserve">Please include references to support the chosen prevalence estimate.</w:t>
      </w:r>
    </w:p>
    <w:p w:rsidR="00000000" w:rsidDel="00000000" w:rsidP="00000000" w:rsidRDefault="00000000" w:rsidRPr="00000000" w14:paraId="00000051">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Last Updated:8/21/2025 (05:12:55)</w:t>
      </w:r>
    </w:p>
    <w:p w:rsidR="00000000" w:rsidDel="00000000" w:rsidP="00000000" w:rsidRDefault="00000000" w:rsidRPr="00000000" w14:paraId="00000052">
      <w:pPr>
        <w:shd w:fill="dddddd"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Last Updated By:Alicia Byrne</w:t>
      </w:r>
    </w:p>
    <w:p w:rsidR="00000000" w:rsidDel="00000000" w:rsidP="00000000" w:rsidRDefault="00000000" w:rsidRPr="00000000" w14:paraId="00000053">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BA1 code has been updated so that the relevant bullet point now reads; </w:t>
      </w:r>
    </w:p>
    <w:p w:rsidR="00000000" w:rsidDel="00000000" w:rsidP="00000000" w:rsidRDefault="00000000" w:rsidRPr="00000000" w14:paraId="00000054">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55">
      <w:pPr>
        <w:numPr>
          <w:ilvl w:val="0"/>
          <w:numId w:val="1"/>
        </w:numPr>
        <w:shd w:fill="ffffff" w:val="clear"/>
        <w:spacing w:after="0" w:line="240" w:lineRule="auto"/>
        <w:ind w:left="720" w:hanging="360"/>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color w:val="ff0000"/>
          <w:sz w:val="21"/>
          <w:szCs w:val="21"/>
          <w:rtl w:val="0"/>
        </w:rPr>
        <w:t xml:space="preserve">“Prevalence: 1 in 100,000 </w:t>
      </w:r>
      <w:r w:rsidDel="00000000" w:rsidR="00000000" w:rsidRPr="00000000">
        <w:rPr>
          <w:rFonts w:ascii="Helvetica Neue" w:cs="Helvetica Neue" w:eastAsia="Helvetica Neue" w:hAnsi="Helvetica Neue"/>
          <w:color w:val="ff0000"/>
          <w:sz w:val="21"/>
          <w:szCs w:val="21"/>
          <w:highlight w:val="yellow"/>
          <w:rtl w:val="0"/>
        </w:rPr>
        <w:t xml:space="preserve">(calculated at 1 in 7,500,000 based on the USIDNET cohort, PMID: 34352450, but adjusted based on expectation that cases are actually more common, resulting in a much more frequent / more aggressive prevalence estimate of 1 in 100,000 in order to generate a more conservative estimate)</w:t>
      </w:r>
      <w:r w:rsidDel="00000000" w:rsidR="00000000" w:rsidRPr="00000000">
        <w:rPr>
          <w:rFonts w:ascii="Helvetica Neue" w:cs="Helvetica Neue" w:eastAsia="Helvetica Neue" w:hAnsi="Helvetica Neue"/>
          <w:color w:val="ff0000"/>
          <w:sz w:val="21"/>
          <w:szCs w:val="21"/>
          <w:rtl w:val="0"/>
        </w:rPr>
        <w:t xml:space="preserve">”</w:t>
      </w:r>
    </w:p>
    <w:p w:rsidR="00000000" w:rsidDel="00000000" w:rsidP="00000000" w:rsidRDefault="00000000" w:rsidRPr="00000000" w14:paraId="00000056">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57">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BS1 related comments</w:t>
      </w:r>
      <w:r w:rsidDel="00000000" w:rsidR="00000000" w:rsidRPr="00000000">
        <w:rPr>
          <w:rFonts w:ascii="Helvetica Neue" w:cs="Helvetica Neue" w:eastAsia="Helvetica Neue" w:hAnsi="Helvetica Neue"/>
          <w:color w:val="000000"/>
          <w:sz w:val="21"/>
          <w:szCs w:val="21"/>
          <w:rtl w:val="0"/>
        </w:rPr>
        <w:t xml:space="preserve">See comment under BA1</w:t>
      </w:r>
    </w:p>
    <w:p w:rsidR="00000000" w:rsidDel="00000000" w:rsidP="00000000" w:rsidRDefault="00000000" w:rsidRPr="00000000" w14:paraId="00000058">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(04:45:09)</w:t>
      </w:r>
    </w:p>
    <w:p w:rsidR="00000000" w:rsidDel="00000000" w:rsidP="00000000" w:rsidRDefault="00000000" w:rsidRPr="00000000" w14:paraId="00000059">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5A">
      <w:pPr>
        <w:shd w:fill="ffffff" w:val="clear"/>
        <w:spacing w:after="0"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explanation for hte BS1 threshold has been simplified to state; “The BS1 threshold was derived by decreasing the BA1 cutoff (greater than or equal to 0.00316) by one order of magnitude.”</w:t>
      </w:r>
      <w:r w:rsidDel="00000000" w:rsidR="00000000" w:rsidRPr="00000000">
        <w:rPr>
          <w:rtl w:val="0"/>
        </w:rPr>
      </w:r>
    </w:p>
    <w:p w:rsidR="00000000" w:rsidDel="00000000" w:rsidP="00000000" w:rsidRDefault="00000000" w:rsidRPr="00000000" w14:paraId="0000005B">
      <w:pPr>
        <w:shd w:fill="ffffff" w:val="clear"/>
        <w:spacing w:after="0" w:line="240"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5C">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BP4 related comments </w:t>
      </w:r>
      <w:r w:rsidDel="00000000" w:rsidR="00000000" w:rsidRPr="00000000">
        <w:rPr>
          <w:rFonts w:ascii="Helvetica Neue" w:cs="Helvetica Neue" w:eastAsia="Helvetica Neue" w:hAnsi="Helvetica Neue"/>
          <w:color w:val="000000"/>
          <w:sz w:val="21"/>
          <w:szCs w:val="21"/>
          <w:rtl w:val="0"/>
        </w:rPr>
        <w:t xml:space="preserve">The rationale for requiring SpliceAI score &lt;0.1 to also be met for use of BP4, when splicing disruption in PIK3CD is not known to be a mechanism for AD disease, is unclear and seems counterintuitive? If GoF is the mechanism for AD disease and LoF is the mechanism for AR disease, it would follow that pathogenicity for one would be mutually exclusive to pathogenicity for the other. Removal of this requirement would allow BP4 to be applied to at least 1 VUS variant (p.Gly593Arg) that currently has no code applied. Also see comment under PP3 related to choice of predictor and thresholds.</w:t>
      </w:r>
    </w:p>
    <w:p w:rsidR="00000000" w:rsidDel="00000000" w:rsidP="00000000" w:rsidRDefault="00000000" w:rsidRPr="00000000" w14:paraId="0000005D">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(05:24:17)</w:t>
      </w:r>
    </w:p>
    <w:p w:rsidR="00000000" w:rsidDel="00000000" w:rsidP="00000000" w:rsidRDefault="00000000" w:rsidRPr="00000000" w14:paraId="0000005E">
      <w:pPr>
        <w:shd w:fill="dddddd"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5F">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This SpliceAI caveat has been drafted because some of the candidate variants evaluated using these specifications will inevitably be disease-causing LoF variants with a splicing mechanism of pathogenicity, due to the difficulty of distinguishing apparent missense variants as LoF vs. GoF. The VCEP has proposed a SpliceAI requirement to avoid rewarding such disease-causing variants with a benign evidence code. This is part of a broader effort to comply with </w:t>
      </w:r>
      <w:hyperlink r:id="rId9">
        <w:r w:rsidDel="00000000" w:rsidR="00000000" w:rsidRPr="00000000">
          <w:rPr>
            <w:rFonts w:ascii="Helvetica Neue" w:cs="Helvetica Neue" w:eastAsia="Helvetica Neue" w:hAnsi="Helvetica Neue"/>
            <w:color w:val="1155cc"/>
            <w:sz w:val="21"/>
            <w:szCs w:val="21"/>
            <w:u w:val="single"/>
            <w:rtl w:val="0"/>
          </w:rPr>
          <w:t xml:space="preserve">ClinGen’s guidance for “Classifying Variants in Genes Associated with Multiple Disorders”</w:t>
        </w:r>
      </w:hyperlink>
      <w:r w:rsidDel="00000000" w:rsidR="00000000" w:rsidRPr="00000000">
        <w:rPr>
          <w:rFonts w:ascii="Helvetica Neue" w:cs="Helvetica Neue" w:eastAsia="Helvetica Neue" w:hAnsi="Helvetica Neue"/>
          <w:color w:val="ff0000"/>
          <w:sz w:val="21"/>
          <w:szCs w:val="21"/>
          <w:rtl w:val="0"/>
        </w:rPr>
        <w:t xml:space="preserve">, in the section that recommends; “Variants should only be classified as benign or likely benign if the classification is relevant for both conditions”. The reviewer has pointed out a key example variant, p.Gly593Arg, that has a SpliceAI score of 0.16 (and a GrpMax frequency of 0.0002731). Both pieces of information make it a better match for VUS rather than Likely Benign (particularly for AR/LOF disease). For variants like this that have ambiguous impact on splicing, the VCEP would prefer to keep the SpliceAI requirement to meet BP4, to avoid potential over-classification of a loss-of-function variant as Likely Benign.</w:t>
      </w:r>
    </w:p>
    <w:p w:rsidR="00000000" w:rsidDel="00000000" w:rsidP="00000000" w:rsidRDefault="00000000" w:rsidRPr="00000000" w14:paraId="00000060">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tl w:val="0"/>
        </w:rPr>
      </w:r>
    </w:p>
    <w:p w:rsidR="00000000" w:rsidDel="00000000" w:rsidP="00000000" w:rsidRDefault="00000000" w:rsidRPr="00000000" w14:paraId="00000061">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b w:val="1"/>
          <w:color w:val="000000"/>
          <w:sz w:val="25"/>
          <w:szCs w:val="25"/>
          <w:rtl w:val="0"/>
        </w:rPr>
        <w:t xml:space="preserve">BP7 related comments </w:t>
      </w:r>
      <w:r w:rsidDel="00000000" w:rsidR="00000000" w:rsidRPr="00000000">
        <w:rPr>
          <w:rFonts w:ascii="Helvetica Neue" w:cs="Helvetica Neue" w:eastAsia="Helvetica Neue" w:hAnsi="Helvetica Neue"/>
          <w:color w:val="000000"/>
          <w:sz w:val="21"/>
          <w:szCs w:val="21"/>
          <w:rtl w:val="0"/>
        </w:rPr>
        <w:t xml:space="preserve">Is this note (</w:t>
      </w:r>
      <w:r w:rsidDel="00000000" w:rsidR="00000000" w:rsidRPr="00000000">
        <w:rPr>
          <w:rFonts w:ascii="Helvetica Neue" w:cs="Helvetica Neue" w:eastAsia="Helvetica Neue" w:hAnsi="Helvetica Neue"/>
          <w:sz w:val="21"/>
          <w:szCs w:val="21"/>
          <w:rtl w:val="0"/>
        </w:rPr>
        <w:t xml:space="preserve">“</w:t>
      </w:r>
      <w:r w:rsidDel="00000000" w:rsidR="00000000" w:rsidRPr="00000000">
        <w:rPr>
          <w:rFonts w:ascii="Helvetica Neue" w:cs="Helvetica Neue" w:eastAsia="Helvetica Neue" w:hAnsi="Helvetica Neue"/>
          <w:color w:val="000000"/>
          <w:sz w:val="21"/>
          <w:szCs w:val="21"/>
          <w:rtl w:val="0"/>
        </w:rPr>
        <w:t xml:space="preserve">because synonymous and deep intronic variants are relevant to a PIK3CD loss-of-function disease mechanism, specifications for the BP7 code have been provided above</w:t>
      </w:r>
      <w:r w:rsidDel="00000000" w:rsidR="00000000" w:rsidRPr="00000000">
        <w:rPr>
          <w:rFonts w:ascii="Helvetica Neue" w:cs="Helvetica Neue" w:eastAsia="Helvetica Neue" w:hAnsi="Helvetica Neue"/>
          <w:sz w:val="21"/>
          <w:szCs w:val="21"/>
          <w:rtl w:val="0"/>
        </w:rPr>
        <w:t xml:space="preserve">”</w:t>
      </w:r>
      <w:r w:rsidDel="00000000" w:rsidR="00000000" w:rsidRPr="00000000">
        <w:rPr>
          <w:rFonts w:ascii="Helvetica Neue" w:cs="Helvetica Neue" w:eastAsia="Helvetica Neue" w:hAnsi="Helvetica Neue"/>
          <w:color w:val="000000"/>
          <w:sz w:val="21"/>
          <w:szCs w:val="21"/>
          <w:rtl w:val="0"/>
        </w:rPr>
        <w:t xml:space="preserve">) necessary when these specifications are only for use with AD PIK3CD-related disease? It may confuse users</w:t>
      </w:r>
    </w:p>
    <w:p w:rsidR="00000000" w:rsidDel="00000000" w:rsidP="00000000" w:rsidRDefault="00000000" w:rsidRPr="00000000" w14:paraId="00000062">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Updated:8/21/2025 (05:50:51)</w:t>
      </w:r>
    </w:p>
    <w:p w:rsidR="00000000" w:rsidDel="00000000" w:rsidP="00000000" w:rsidRDefault="00000000" w:rsidRPr="00000000" w14:paraId="00000063">
      <w:pPr>
        <w:shd w:fill="ffffff" w:val="clear"/>
        <w:spacing w:after="0" w:line="240" w:lineRule="auto"/>
        <w:rPr>
          <w:rFonts w:ascii="Helvetica Neue" w:cs="Helvetica Neue" w:eastAsia="Helvetica Neue" w:hAnsi="Helvetica Neue"/>
          <w:color w:val="000000"/>
          <w:sz w:val="21"/>
          <w:szCs w:val="21"/>
        </w:rPr>
      </w:pPr>
      <w:r w:rsidDel="00000000" w:rsidR="00000000" w:rsidRPr="00000000">
        <w:rPr>
          <w:rFonts w:ascii="Helvetica Neue" w:cs="Helvetica Neue" w:eastAsia="Helvetica Neue" w:hAnsi="Helvetica Neue"/>
          <w:color w:val="000000"/>
          <w:sz w:val="21"/>
          <w:szCs w:val="21"/>
          <w:rtl w:val="0"/>
        </w:rPr>
        <w:t xml:space="preserve">Last Updated By:Alicia Byrne</w:t>
      </w:r>
    </w:p>
    <w:p w:rsidR="00000000" w:rsidDel="00000000" w:rsidP="00000000" w:rsidRDefault="00000000" w:rsidRPr="00000000" w14:paraId="00000064">
      <w:pPr>
        <w:shd w:fill="ffffff" w:val="clear"/>
        <w:spacing w:after="0" w:line="240" w:lineRule="auto"/>
        <w:rPr>
          <w:rFonts w:ascii="Helvetica Neue" w:cs="Helvetica Neue" w:eastAsia="Helvetica Neue" w:hAnsi="Helvetica Neue"/>
          <w:color w:val="ff0000"/>
          <w:sz w:val="21"/>
          <w:szCs w:val="21"/>
        </w:rPr>
      </w:pPr>
      <w:r w:rsidDel="00000000" w:rsidR="00000000" w:rsidRPr="00000000">
        <w:rPr>
          <w:rFonts w:ascii="Helvetica Neue" w:cs="Helvetica Neue" w:eastAsia="Helvetica Neue" w:hAnsi="Helvetica Neue"/>
          <w:b w:val="1"/>
          <w:color w:val="ff0000"/>
          <w:sz w:val="25"/>
          <w:szCs w:val="25"/>
          <w:rtl w:val="0"/>
        </w:rPr>
        <w:t xml:space="preserve">Antibody Deficiencies VCEP response </w:t>
      </w:r>
      <w:r w:rsidDel="00000000" w:rsidR="00000000" w:rsidRPr="00000000">
        <w:rPr>
          <w:rFonts w:ascii="Helvetica Neue" w:cs="Helvetica Neue" w:eastAsia="Helvetica Neue" w:hAnsi="Helvetica Neue"/>
          <w:color w:val="ff0000"/>
          <w:sz w:val="21"/>
          <w:szCs w:val="21"/>
          <w:rtl w:val="0"/>
        </w:rPr>
        <w:t xml:space="preserve">The reviewer makes a good point that users may be confused by this note, and the VCEP has now removed it, given that these specifications are designed for use in evaluating variants in relation to AD PIK3CD-related disease.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0777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0777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0777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0777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0777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0777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0777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0777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0777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0777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0777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0777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0777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0777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0777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0777F"/>
    <w:rPr>
      <w:i w:val="1"/>
      <w:iCs w:val="1"/>
      <w:color w:val="404040" w:themeColor="text1" w:themeTint="0000BF"/>
    </w:rPr>
  </w:style>
  <w:style w:type="paragraph" w:styleId="ListParagraph">
    <w:name w:val="List Paragraph"/>
    <w:basedOn w:val="Normal"/>
    <w:uiPriority w:val="34"/>
    <w:qFormat w:val="1"/>
    <w:rsid w:val="00A0777F"/>
    <w:pPr>
      <w:ind w:left="720"/>
      <w:contextualSpacing w:val="1"/>
    </w:pPr>
  </w:style>
  <w:style w:type="character" w:styleId="IntenseEmphasis">
    <w:name w:val="Intense Emphasis"/>
    <w:basedOn w:val="DefaultParagraphFont"/>
    <w:uiPriority w:val="21"/>
    <w:qFormat w:val="1"/>
    <w:rsid w:val="00A0777F"/>
    <w:rPr>
      <w:i w:val="1"/>
      <w:iCs w:val="1"/>
      <w:color w:val="0f4761" w:themeColor="accent1" w:themeShade="0000BF"/>
    </w:rPr>
  </w:style>
  <w:style w:type="paragraph" w:styleId="IntenseQuote">
    <w:name w:val="Intense Quote"/>
    <w:basedOn w:val="Normal"/>
    <w:next w:val="Normal"/>
    <w:link w:val="IntenseQuoteChar"/>
    <w:uiPriority w:val="30"/>
    <w:qFormat w:val="1"/>
    <w:rsid w:val="00A0777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0777F"/>
    <w:rPr>
      <w:i w:val="1"/>
      <w:iCs w:val="1"/>
      <w:color w:val="0f4761" w:themeColor="accent1" w:themeShade="0000BF"/>
    </w:rPr>
  </w:style>
  <w:style w:type="character" w:styleId="IntenseReference">
    <w:name w:val="Intense Reference"/>
    <w:basedOn w:val="DefaultParagraphFont"/>
    <w:uiPriority w:val="32"/>
    <w:qFormat w:val="1"/>
    <w:rsid w:val="00A0777F"/>
    <w:rPr>
      <w:b w:val="1"/>
      <w:bCs w:val="1"/>
      <w:smallCaps w:val="1"/>
      <w:color w:val="0f4761" w:themeColor="accent1" w:themeShade="0000BF"/>
      <w:spacing w:val="5"/>
    </w:rPr>
  </w:style>
  <w:style w:type="character" w:styleId="col" w:customStyle="1">
    <w:name w:val="col"/>
    <w:basedOn w:val="DefaultParagraphFont"/>
    <w:rsid w:val="00A0777F"/>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nicalgenome.org/site/assets/files/9380/clingen_guidance_for_classifying_variants_in_genes_associated_with_multiple_disorders_v1.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Q2jaxvPel0Rm4zzwvt2OUkytg==">CgMxLjA4AHIhMUJhNlozd2FDYmIwaW5sN2NIdmp2VDVraVRCc1loMGRx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2025-08-21T19:06:00Z</dcterms:created>
  <dc:creator>Hankey, William Charles IV</dc:creator>
</cp:coreProperties>
</file>