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9C48" w14:textId="77777777" w:rsidR="00AD4539" w:rsidRDefault="00AD4539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80" w:rightFromText="180" w:topFromText="180" w:bottomFromText="180" w:vertAnchor="text" w:tblpX="-360"/>
        <w:tblW w:w="9340" w:type="dxa"/>
        <w:tblLayout w:type="fixed"/>
        <w:tblLook w:val="0400" w:firstRow="0" w:lastRow="0" w:firstColumn="0" w:lastColumn="0" w:noHBand="0" w:noVBand="1"/>
      </w:tblPr>
      <w:tblGrid>
        <w:gridCol w:w="3950"/>
        <w:gridCol w:w="4320"/>
        <w:gridCol w:w="1070"/>
      </w:tblGrid>
      <w:tr w:rsidR="00AD4539" w14:paraId="71E9D080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4308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Type of Evaluation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71AE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1002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Points</w:t>
            </w:r>
          </w:p>
        </w:tc>
      </w:tr>
      <w:tr w:rsidR="00AD4539" w14:paraId="2A8C668F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AC0C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Ammonia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1169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Elevated ammonia / Hyperammonemia with no additional information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ED2B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0.25</w:t>
            </w:r>
          </w:p>
        </w:tc>
      </w:tr>
      <w:tr w:rsidR="00AD4539" w14:paraId="62D578C1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50EA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Plasma Amino Acids / Ammonia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2076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Elevated glutamine AND normal citrulline</w:t>
            </w:r>
          </w:p>
          <w:p w14:paraId="0B022796" w14:textId="77777777" w:rsidR="00AD4539" w:rsidRDefault="00AD4539">
            <w:pPr>
              <w:rPr>
                <w:rFonts w:ascii="Times New Roman" w:eastAsia="Times New Roman" w:hAnsi="Times New Roman" w:cs="Times New Roman"/>
              </w:rPr>
            </w:pPr>
          </w:p>
          <w:p w14:paraId="6CB55B5D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OR</w:t>
            </w:r>
          </w:p>
          <w:p w14:paraId="047EEFA2" w14:textId="77777777" w:rsidR="00AD4539" w:rsidRDefault="00AD4539">
            <w:pPr>
              <w:rPr>
                <w:rFonts w:ascii="Times New Roman" w:eastAsia="Times New Roman" w:hAnsi="Times New Roman" w:cs="Times New Roman"/>
              </w:rPr>
            </w:pPr>
          </w:p>
          <w:p w14:paraId="14BBBC3F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Elevated ammonia AND normal citrulline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7EAE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0.5</w:t>
            </w:r>
          </w:p>
        </w:tc>
      </w:tr>
      <w:tr w:rsidR="00AD4539" w14:paraId="3EFDD3CE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7003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Plasma Amino Acids / Ammonia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F79B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Elevated glutamine AND low citrulline </w:t>
            </w:r>
          </w:p>
          <w:p w14:paraId="63BEF150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OR</w:t>
            </w:r>
          </w:p>
          <w:p w14:paraId="2F3C7B81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Elevated ammonia AND low citrulline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DDDA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0.75</w:t>
            </w:r>
          </w:p>
        </w:tc>
      </w:tr>
      <w:tr w:rsidR="00AD4539" w14:paraId="476FEA75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56FC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Urine </w:t>
            </w:r>
            <w:proofErr w:type="spellStart"/>
            <w:r>
              <w:rPr>
                <w:rFonts w:ascii="Arial" w:eastAsia="Arial" w:hAnsi="Arial" w:cs="Arial"/>
              </w:rPr>
              <w:t>Orotic</w:t>
            </w:r>
            <w:proofErr w:type="spellEnd"/>
            <w:r>
              <w:rPr>
                <w:rFonts w:ascii="Arial" w:eastAsia="Arial" w:hAnsi="Arial" w:cs="Arial"/>
              </w:rPr>
              <w:t xml:space="preserve"> Acid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D086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Elevated urine </w:t>
            </w:r>
            <w:proofErr w:type="spellStart"/>
            <w:r>
              <w:rPr>
                <w:rFonts w:ascii="Arial" w:eastAsia="Arial" w:hAnsi="Arial" w:cs="Arial"/>
              </w:rPr>
              <w:t>orotic</w:t>
            </w:r>
            <w:proofErr w:type="spellEnd"/>
            <w:r>
              <w:rPr>
                <w:rFonts w:ascii="Arial" w:eastAsia="Arial" w:hAnsi="Arial" w:cs="Arial"/>
              </w:rPr>
              <w:t xml:space="preserve"> acid and/or uracil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6964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D4539" w14:paraId="3D930E85" w14:textId="77777777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6F22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Enzyme activity in patient-derived cells* with normal enzyme activity in parallel control sample 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4305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Deficient (&lt;20% wildtype)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DE39" w14:textId="77777777" w:rsidR="00AD4539" w:rsidRDefault="0025307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</w:tbl>
    <w:p w14:paraId="4DA0C7AD" w14:textId="77777777" w:rsidR="00AD4539" w:rsidRDefault="0025307E">
      <w:pPr>
        <w:spacing w:before="64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333333"/>
        </w:rPr>
        <w:t xml:space="preserve">* </w:t>
      </w:r>
      <w:proofErr w:type="gramStart"/>
      <w:r>
        <w:rPr>
          <w:rFonts w:ascii="Arial" w:eastAsia="Arial" w:hAnsi="Arial" w:cs="Arial"/>
          <w:color w:val="333333"/>
        </w:rPr>
        <w:t>patient</w:t>
      </w:r>
      <w:proofErr w:type="gramEnd"/>
      <w:r>
        <w:rPr>
          <w:rFonts w:ascii="Arial" w:eastAsia="Arial" w:hAnsi="Arial" w:cs="Arial"/>
          <w:color w:val="333333"/>
        </w:rPr>
        <w:t>-derived cells can be from male or female proband.  Normal enzyme activity in female derived cells should NOT be considered evidence against pathogenicity.</w:t>
      </w:r>
    </w:p>
    <w:p w14:paraId="2C191D01" w14:textId="77777777" w:rsidR="00AD4539" w:rsidRDefault="00AD4539">
      <w:pPr>
        <w:rPr>
          <w:rFonts w:ascii="Times New Roman" w:eastAsia="Times New Roman" w:hAnsi="Times New Roman" w:cs="Times New Roman"/>
        </w:rPr>
      </w:pPr>
    </w:p>
    <w:p w14:paraId="5A7A6B14" w14:textId="77777777" w:rsidR="00AD4539" w:rsidRDefault="00AD4539"/>
    <w:sectPr w:rsidR="00AD45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CCCDD6C-EFA6-4477-9F0E-777A510E6E8B}"/>
    <w:embedItalic r:id="rId2" w:fontKey="{A7E80555-B2D2-463C-8FD4-35FD5642926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C26BF5E-92D1-4A1D-8C1C-CF09C1AD15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39"/>
    <w:rsid w:val="0010540E"/>
    <w:rsid w:val="0025307E"/>
    <w:rsid w:val="00AD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0BD2"/>
  <w15:docId w15:val="{1FA1E832-9976-4A3E-B23D-05410ECD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F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F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F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F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E0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E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F7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E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F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0F7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y77snafd5DNrdTmNrLXnQF/uQ==">CgMxLjA4AHIhMUhBTXROcHZseUtScWQ2TGdyNkkxekV2bjdUTkUzWGIy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Thomas-Wilson</dc:creator>
  <cp:lastModifiedBy>Meredith Weaver</cp:lastModifiedBy>
  <cp:revision>2</cp:revision>
  <dcterms:created xsi:type="dcterms:W3CDTF">2025-09-30T12:50:00Z</dcterms:created>
  <dcterms:modified xsi:type="dcterms:W3CDTF">2025-09-30T12:50:00Z</dcterms:modified>
</cp:coreProperties>
</file>