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0183A" w14:textId="77777777" w:rsidR="00793C92" w:rsidRPr="00793C92" w:rsidRDefault="00793C92" w:rsidP="00793C92">
      <w:pPr>
        <w:ind w:left="-2" w:hanging="3"/>
        <w:rPr>
          <w:rFonts w:ascii="Times New Roman" w:eastAsia="Times New Roman" w:hAnsi="Times New Roman" w:cs="Times New Roman"/>
          <w:kern w:val="0"/>
          <w14:ligatures w14:val="none"/>
        </w:rPr>
      </w:pPr>
      <w:r w:rsidRPr="00793C9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Final Variant Classification</w:t>
      </w:r>
    </w:p>
    <w:p w14:paraId="621E4741" w14:textId="29331C1E" w:rsidR="00793C92" w:rsidRPr="00793C92" w:rsidRDefault="00793C92" w:rsidP="00793C92">
      <w:pPr>
        <w:ind w:left="-2" w:hanging="3"/>
        <w:rPr>
          <w:rFonts w:ascii="Times New Roman" w:eastAsia="Times New Roman" w:hAnsi="Times New Roman" w:cs="Times New Roman"/>
          <w:kern w:val="0"/>
          <w14:ligatures w14:val="none"/>
        </w:rPr>
      </w:pPr>
      <w:r w:rsidRPr="00793C9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Variant classification should follow the point system as outlined by </w:t>
      </w:r>
      <w:proofErr w:type="spellStart"/>
      <w:r w:rsidRPr="00793C9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Tavtigan</w:t>
      </w:r>
      <w:proofErr w:type="spellEnd"/>
      <w:r w:rsidRPr="00793C9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, 2020 (PMID:32720330), where each evidence is scored by the following guidelines</w:t>
      </w:r>
      <w:r w:rsidR="00EB2EB4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14:paraId="3EA06ED1" w14:textId="77777777" w:rsidR="00793C92" w:rsidRPr="00793C92" w:rsidRDefault="00793C92" w:rsidP="00793C92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495"/>
        <w:gridCol w:w="1000"/>
      </w:tblGrid>
      <w:tr w:rsidR="00793C92" w:rsidRPr="00793C92" w14:paraId="12057953" w14:textId="77777777" w:rsidTr="00793C9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8187A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Evidence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FBDEA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Point Scale</w:t>
            </w:r>
          </w:p>
        </w:tc>
      </w:tr>
      <w:tr w:rsidR="00793C92" w:rsidRPr="00793C92" w14:paraId="2A97611B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C2B48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Strength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569F6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EBF23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Benign</w:t>
            </w:r>
          </w:p>
        </w:tc>
      </w:tr>
      <w:tr w:rsidR="00793C92" w:rsidRPr="00793C92" w14:paraId="3DAD5660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515EA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Indeterminate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661F7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8FDCB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793C92" w:rsidRPr="00793C92" w14:paraId="070C4825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7746C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Supporting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A1B05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B42BD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-1</w:t>
            </w:r>
          </w:p>
        </w:tc>
      </w:tr>
      <w:tr w:rsidR="00793C92" w:rsidRPr="00793C92" w14:paraId="74D6F9F3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8741A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B0047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6A724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-2</w:t>
            </w:r>
          </w:p>
        </w:tc>
      </w:tr>
      <w:tr w:rsidR="00793C92" w:rsidRPr="00793C92" w14:paraId="32D0777C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FD270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Strong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919F0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4BA6C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-4</w:t>
            </w:r>
          </w:p>
        </w:tc>
      </w:tr>
      <w:tr w:rsidR="00793C92" w:rsidRPr="00793C92" w14:paraId="727808F0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49702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Very Strong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1DBBA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74AA8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-8</w:t>
            </w:r>
          </w:p>
        </w:tc>
      </w:tr>
    </w:tbl>
    <w:p w14:paraId="01FBCD56" w14:textId="77777777" w:rsidR="00793C92" w:rsidRPr="00793C92" w:rsidRDefault="00793C92" w:rsidP="00793C9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1102B" w14:textId="77777777" w:rsidR="00793C92" w:rsidRPr="00793C92" w:rsidRDefault="00793C92" w:rsidP="00793C92">
      <w:pPr>
        <w:ind w:left="-2" w:hanging="3"/>
        <w:rPr>
          <w:rFonts w:ascii="Times New Roman" w:eastAsia="Times New Roman" w:hAnsi="Times New Roman" w:cs="Times New Roman"/>
          <w:kern w:val="0"/>
          <w14:ligatures w14:val="none"/>
        </w:rPr>
      </w:pPr>
      <w:r w:rsidRPr="00793C9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Points for each piece of evidence, both pathogenic and benign should be summed.  The resulting total defines the classification of the variant in the following point ranges:</w:t>
      </w:r>
    </w:p>
    <w:p w14:paraId="27D616BE" w14:textId="77777777" w:rsidR="00793C92" w:rsidRPr="00793C92" w:rsidRDefault="00793C92" w:rsidP="00793C92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599"/>
      </w:tblGrid>
      <w:tr w:rsidR="00793C92" w:rsidRPr="00793C92" w14:paraId="7BBB3490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4EB0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EA3B5" w14:textId="77777777" w:rsidR="00793C92" w:rsidRPr="00793C92" w:rsidRDefault="00793C92" w:rsidP="00793C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Point Range</w:t>
            </w:r>
          </w:p>
        </w:tc>
      </w:tr>
      <w:tr w:rsidR="00793C92" w:rsidRPr="00793C92" w14:paraId="5AE3692F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6209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9D880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≥10</w:t>
            </w:r>
          </w:p>
        </w:tc>
      </w:tr>
      <w:tr w:rsidR="00793C92" w:rsidRPr="00793C92" w14:paraId="397AE6A5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7233D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Likely Pathogenic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FBBF9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6-9</w:t>
            </w:r>
          </w:p>
        </w:tc>
      </w:tr>
      <w:tr w:rsidR="00793C92" w:rsidRPr="00793C92" w14:paraId="57301D3A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F21B5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Uncertain Significance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CF2ED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0-5</w:t>
            </w:r>
          </w:p>
        </w:tc>
      </w:tr>
      <w:tr w:rsidR="00793C92" w:rsidRPr="00793C92" w14:paraId="78AA0801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E1D93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Likely Benign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189A3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-1 - -6</w:t>
            </w:r>
          </w:p>
        </w:tc>
      </w:tr>
      <w:tr w:rsidR="00793C92" w:rsidRPr="00793C92" w14:paraId="705B7CEC" w14:textId="77777777" w:rsidTr="00793C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20DBE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Benign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603C6" w14:textId="77777777" w:rsidR="00793C92" w:rsidRPr="00793C92" w:rsidRDefault="00793C92" w:rsidP="00793C9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3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≤-7</w:t>
            </w:r>
          </w:p>
        </w:tc>
      </w:tr>
    </w:tbl>
    <w:p w14:paraId="39BC36E8" w14:textId="77777777" w:rsidR="00A52489" w:rsidRDefault="00A52489"/>
    <w:sectPr w:rsidR="00A52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92"/>
    <w:rsid w:val="001E35E0"/>
    <w:rsid w:val="00342476"/>
    <w:rsid w:val="00793C92"/>
    <w:rsid w:val="00862315"/>
    <w:rsid w:val="00A52489"/>
    <w:rsid w:val="00B0473C"/>
    <w:rsid w:val="00C73418"/>
    <w:rsid w:val="00D17A35"/>
    <w:rsid w:val="00EB2EB4"/>
    <w:rsid w:val="00F9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0038"/>
  <w15:chartTrackingRefBased/>
  <w15:docId w15:val="{EE565764-7B3A-B242-BEF6-01FB4F23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C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2845">
          <w:marLeft w:val="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418">
          <w:marLeft w:val="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Thomas-Wilson</dc:creator>
  <cp:keywords/>
  <dc:description/>
  <cp:lastModifiedBy>Meredith Weaver</cp:lastModifiedBy>
  <cp:revision>2</cp:revision>
  <dcterms:created xsi:type="dcterms:W3CDTF">2024-03-22T13:57:00Z</dcterms:created>
  <dcterms:modified xsi:type="dcterms:W3CDTF">2024-03-22T13:57:00Z</dcterms:modified>
</cp:coreProperties>
</file>