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72389" w14:textId="07290447" w:rsidR="00E64EB3" w:rsidRDefault="007C04F3">
      <w:r>
        <w:t>PM3_Moderate for GALT:</w:t>
      </w:r>
    </w:p>
    <w:p w14:paraId="5137EE6E" w14:textId="67BFD038" w:rsidR="007C04F3" w:rsidRDefault="007C04F3" w:rsidP="007C04F3">
      <w:pPr>
        <w:pStyle w:val="NormalWeb"/>
        <w:spacing w:before="0" w:beforeAutospacing="0" w:after="0" w:afterAutospacing="0"/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1E0D61E" wp14:editId="735039A1">
            <wp:extent cx="5608320" cy="2514600"/>
            <wp:effectExtent l="0" t="0" r="0" b="0"/>
            <wp:docPr id="1026283079" name="Picture 2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3079" name="Picture 2" descr="A table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E38D" w14:textId="41A52F9F" w:rsidR="007C04F3" w:rsidRDefault="007C04F3" w:rsidP="007C04F3">
      <w:pPr>
        <w:pStyle w:val="NormalWeb"/>
        <w:spacing w:before="0" w:beforeAutospacing="0" w:after="0" w:afterAutospacing="0"/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982FD31" wp14:editId="12542892">
            <wp:extent cx="5669280" cy="967740"/>
            <wp:effectExtent l="0" t="0" r="7620" b="3810"/>
            <wp:docPr id="1252600988" name="Picture 1" descr="A red and yellow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0988" name="Picture 1" descr="A red and yellow rectangular box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8025" w14:textId="77777777" w:rsidR="007C04F3" w:rsidRDefault="007C04F3" w:rsidP="007C04F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18"/>
          <w:szCs w:val="18"/>
        </w:rPr>
        <w:t>Tables from ClinGen Sequence Variant Interpretation Recommendation for in trans Criterion (PM3) - Version 1.0 accessed October 2023</w:t>
      </w:r>
    </w:p>
    <w:p w14:paraId="4C61092C" w14:textId="77777777" w:rsidR="007C04F3" w:rsidRDefault="007C04F3" w:rsidP="007C04F3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 xml:space="preserve">Variant under investigation must meet </w:t>
      </w:r>
      <w:proofErr w:type="gramStart"/>
      <w:r>
        <w:rPr>
          <w:rFonts w:ascii="Calibri" w:hAnsi="Calibri" w:cs="Calibri"/>
          <w:color w:val="000000"/>
        </w:rPr>
        <w:t>PM2</w:t>
      </w:r>
      <w:proofErr w:type="gramEnd"/>
    </w:p>
    <w:p w14:paraId="41A9AF08" w14:textId="77777777" w:rsidR="007C04F3" w:rsidRDefault="007C04F3" w:rsidP="007C04F3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 xml:space="preserve">Identified individuals must meet </w:t>
      </w:r>
      <w:proofErr w:type="gramStart"/>
      <w:r>
        <w:rPr>
          <w:rFonts w:ascii="Calibri" w:hAnsi="Calibri" w:cs="Calibri"/>
          <w:color w:val="000000"/>
        </w:rPr>
        <w:t>PP4</w:t>
      </w:r>
      <w:proofErr w:type="gramEnd"/>
    </w:p>
    <w:p w14:paraId="25AC9BC7" w14:textId="77777777" w:rsidR="007C04F3" w:rsidRDefault="007C04F3" w:rsidP="007C04F3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 xml:space="preserve">Pathogenic of variant in trans must be determined using VCEP </w:t>
      </w:r>
      <w:proofErr w:type="gramStart"/>
      <w:r>
        <w:rPr>
          <w:rFonts w:ascii="Calibri" w:hAnsi="Calibri" w:cs="Calibri"/>
          <w:color w:val="000000"/>
        </w:rPr>
        <w:t>guidelines</w:t>
      </w:r>
      <w:proofErr w:type="gramEnd"/>
    </w:p>
    <w:p w14:paraId="4E27F647" w14:textId="77777777" w:rsidR="007C04F3" w:rsidRDefault="007C04F3"/>
    <w:sectPr w:rsidR="007C0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C0F04"/>
    <w:multiLevelType w:val="multilevel"/>
    <w:tmpl w:val="80B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03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F3"/>
    <w:rsid w:val="007C04F3"/>
    <w:rsid w:val="00E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FE00"/>
  <w15:chartTrackingRefBased/>
  <w15:docId w15:val="{4B51F41B-F0EF-47D9-94F6-6B54E29E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7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2023-11-14T10:41:00Z</dcterms:created>
  <dcterms:modified xsi:type="dcterms:W3CDTF">2023-11-14T10:42:00Z</dcterms:modified>
</cp:coreProperties>
</file>