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D9709E" w14:textId="0C68C5E5" w:rsidR="004720E0" w:rsidRDefault="004720E0" w:rsidP="004720E0">
      <w:pPr>
        <w:jc w:val="center"/>
        <w:rPr>
          <w:b/>
          <w:bCs/>
          <w:sz w:val="28"/>
          <w:szCs w:val="28"/>
        </w:rPr>
      </w:pPr>
      <w:r w:rsidRPr="004720E0">
        <w:rPr>
          <w:b/>
          <w:bCs/>
          <w:sz w:val="28"/>
          <w:szCs w:val="28"/>
        </w:rPr>
        <w:t xml:space="preserve">ClinGen SVI Recommendations for Applying </w:t>
      </w:r>
      <w:r w:rsidRPr="004720E0">
        <w:rPr>
          <w:b/>
          <w:bCs/>
          <w:i/>
          <w:iCs/>
          <w:sz w:val="28"/>
          <w:szCs w:val="28"/>
        </w:rPr>
        <w:t>de novo</w:t>
      </w:r>
      <w:r w:rsidRPr="004720E0">
        <w:rPr>
          <w:b/>
          <w:bCs/>
          <w:sz w:val="28"/>
          <w:szCs w:val="28"/>
        </w:rPr>
        <w:t xml:space="preserve"> Evidence</w:t>
      </w:r>
    </w:p>
    <w:p w14:paraId="412811C7" w14:textId="77777777" w:rsidR="00382A85" w:rsidRDefault="00382A85">
      <w:pPr>
        <w:rPr>
          <w:b/>
          <w:bCs/>
          <w:color w:val="2E74B5" w:themeColor="accent5" w:themeShade="BF"/>
          <w:sz w:val="24"/>
          <w:szCs w:val="24"/>
          <w:u w:val="single"/>
        </w:rPr>
      </w:pPr>
    </w:p>
    <w:p w14:paraId="710895FF" w14:textId="41464DEB" w:rsidR="00382A85" w:rsidRDefault="00382A85">
      <w:pPr>
        <w:rPr>
          <w:b/>
          <w:bCs/>
          <w:color w:val="2E74B5" w:themeColor="accent5" w:themeShade="BF"/>
          <w:sz w:val="24"/>
          <w:szCs w:val="24"/>
        </w:rPr>
      </w:pPr>
      <w:r w:rsidRPr="00382A85">
        <w:rPr>
          <w:b/>
          <w:bCs/>
          <w:color w:val="2E74B5" w:themeColor="accent5" w:themeShade="BF"/>
          <w:sz w:val="24"/>
          <w:szCs w:val="24"/>
          <w:u w:val="single"/>
        </w:rPr>
        <w:t>Probands with a clinical diagnosis of Stargardt disease</w:t>
      </w:r>
      <w:r>
        <w:rPr>
          <w:b/>
          <w:bCs/>
          <w:color w:val="2E74B5" w:themeColor="accent5" w:themeShade="BF"/>
          <w:sz w:val="24"/>
          <w:szCs w:val="24"/>
        </w:rPr>
        <w:t xml:space="preserve"> - u</w:t>
      </w:r>
      <w:r w:rsidR="004720E0">
        <w:rPr>
          <w:b/>
          <w:bCs/>
          <w:color w:val="2E74B5" w:themeColor="accent5" w:themeShade="BF"/>
          <w:sz w:val="24"/>
          <w:szCs w:val="24"/>
        </w:rPr>
        <w:t>se the phenotype consistency for gene consistent but not highly specific (2</w:t>
      </w:r>
      <w:r w:rsidR="004720E0" w:rsidRPr="004720E0">
        <w:rPr>
          <w:b/>
          <w:bCs/>
          <w:color w:val="2E74B5" w:themeColor="accent5" w:themeShade="BF"/>
          <w:sz w:val="24"/>
          <w:szCs w:val="24"/>
          <w:vertAlign w:val="superscript"/>
        </w:rPr>
        <w:t>nd</w:t>
      </w:r>
      <w:r w:rsidR="004720E0">
        <w:rPr>
          <w:b/>
          <w:bCs/>
          <w:color w:val="2E74B5" w:themeColor="accent5" w:themeShade="BF"/>
          <w:sz w:val="24"/>
          <w:szCs w:val="24"/>
        </w:rPr>
        <w:t xml:space="preserve"> option)</w:t>
      </w:r>
      <w:r>
        <w:rPr>
          <w:b/>
          <w:bCs/>
          <w:color w:val="2E74B5" w:themeColor="accent5" w:themeShade="BF"/>
          <w:sz w:val="24"/>
          <w:szCs w:val="24"/>
        </w:rPr>
        <w:t xml:space="preserve">. </w:t>
      </w:r>
    </w:p>
    <w:p w14:paraId="33648167" w14:textId="3514815D" w:rsidR="00382A85" w:rsidRDefault="00382A85">
      <w:pPr>
        <w:rPr>
          <w:b/>
          <w:bCs/>
          <w:color w:val="2E74B5" w:themeColor="accent5" w:themeShade="BF"/>
          <w:sz w:val="24"/>
          <w:szCs w:val="24"/>
        </w:rPr>
      </w:pPr>
      <w:r w:rsidRPr="00382A85">
        <w:rPr>
          <w:b/>
          <w:bCs/>
          <w:color w:val="2E74B5" w:themeColor="accent5" w:themeShade="BF"/>
          <w:sz w:val="24"/>
          <w:szCs w:val="24"/>
          <w:u w:val="single"/>
        </w:rPr>
        <w:t xml:space="preserve">Probands with a clinical diagnosis of another </w:t>
      </w:r>
      <w:r w:rsidRPr="00382A85">
        <w:rPr>
          <w:b/>
          <w:bCs/>
          <w:i/>
          <w:iCs/>
          <w:color w:val="2E74B5" w:themeColor="accent5" w:themeShade="BF"/>
          <w:sz w:val="24"/>
          <w:szCs w:val="24"/>
          <w:u w:val="single"/>
        </w:rPr>
        <w:t>ABCA4</w:t>
      </w:r>
      <w:r w:rsidRPr="00382A85">
        <w:rPr>
          <w:b/>
          <w:bCs/>
          <w:color w:val="2E74B5" w:themeColor="accent5" w:themeShade="BF"/>
          <w:sz w:val="24"/>
          <w:szCs w:val="24"/>
          <w:u w:val="single"/>
        </w:rPr>
        <w:t>-related retinopathy (e.g. – retinitis pigmentosa, cone-rod dystrophy</w:t>
      </w:r>
      <w:r>
        <w:rPr>
          <w:b/>
          <w:bCs/>
          <w:color w:val="2E74B5" w:themeColor="accent5" w:themeShade="BF"/>
          <w:sz w:val="24"/>
          <w:szCs w:val="24"/>
          <w:u w:val="single"/>
        </w:rPr>
        <w:t>, etc.</w:t>
      </w:r>
      <w:r w:rsidRPr="00382A85">
        <w:rPr>
          <w:b/>
          <w:bCs/>
          <w:color w:val="2E74B5" w:themeColor="accent5" w:themeShade="BF"/>
          <w:sz w:val="24"/>
          <w:szCs w:val="24"/>
          <w:u w:val="single"/>
        </w:rPr>
        <w:t>)</w:t>
      </w:r>
      <w:r>
        <w:rPr>
          <w:b/>
          <w:bCs/>
          <w:color w:val="2E74B5" w:themeColor="accent5" w:themeShade="BF"/>
          <w:sz w:val="24"/>
          <w:szCs w:val="24"/>
        </w:rPr>
        <w:t xml:space="preserve"> - </w:t>
      </w:r>
      <w:r>
        <w:rPr>
          <w:b/>
          <w:bCs/>
          <w:color w:val="2E74B5" w:themeColor="accent5" w:themeShade="BF"/>
          <w:sz w:val="24"/>
          <w:szCs w:val="24"/>
        </w:rPr>
        <w:t>use the phenotype consisten</w:t>
      </w:r>
      <w:r>
        <w:rPr>
          <w:b/>
          <w:bCs/>
          <w:color w:val="2E74B5" w:themeColor="accent5" w:themeShade="BF"/>
          <w:sz w:val="24"/>
          <w:szCs w:val="24"/>
        </w:rPr>
        <w:t>t with</w:t>
      </w:r>
      <w:r>
        <w:rPr>
          <w:b/>
          <w:bCs/>
          <w:color w:val="2E74B5" w:themeColor="accent5" w:themeShade="BF"/>
          <w:sz w:val="24"/>
          <w:szCs w:val="24"/>
        </w:rPr>
        <w:t xml:space="preserve"> gene but not highly specific</w:t>
      </w:r>
      <w:r>
        <w:rPr>
          <w:b/>
          <w:bCs/>
          <w:color w:val="2E74B5" w:themeColor="accent5" w:themeShade="BF"/>
          <w:sz w:val="24"/>
          <w:szCs w:val="24"/>
        </w:rPr>
        <w:t xml:space="preserve"> with high genetic heterogeneity</w:t>
      </w:r>
      <w:r>
        <w:rPr>
          <w:b/>
          <w:bCs/>
          <w:color w:val="2E74B5" w:themeColor="accent5" w:themeShade="BF"/>
          <w:sz w:val="24"/>
          <w:szCs w:val="24"/>
        </w:rPr>
        <w:t xml:space="preserve"> (</w:t>
      </w:r>
      <w:r>
        <w:rPr>
          <w:b/>
          <w:bCs/>
          <w:color w:val="2E74B5" w:themeColor="accent5" w:themeShade="BF"/>
          <w:sz w:val="24"/>
          <w:szCs w:val="24"/>
        </w:rPr>
        <w:t>3</w:t>
      </w:r>
      <w:r w:rsidRPr="00382A85">
        <w:rPr>
          <w:b/>
          <w:bCs/>
          <w:color w:val="2E74B5" w:themeColor="accent5" w:themeShade="BF"/>
          <w:sz w:val="24"/>
          <w:szCs w:val="24"/>
          <w:vertAlign w:val="superscript"/>
        </w:rPr>
        <w:t>rd</w:t>
      </w:r>
      <w:r>
        <w:rPr>
          <w:b/>
          <w:bCs/>
          <w:color w:val="2E74B5" w:themeColor="accent5" w:themeShade="BF"/>
          <w:sz w:val="24"/>
          <w:szCs w:val="24"/>
        </w:rPr>
        <w:t xml:space="preserve"> </w:t>
      </w:r>
      <w:r>
        <w:rPr>
          <w:b/>
          <w:bCs/>
          <w:color w:val="2E74B5" w:themeColor="accent5" w:themeShade="BF"/>
          <w:sz w:val="24"/>
          <w:szCs w:val="24"/>
        </w:rPr>
        <w:t>option)</w:t>
      </w:r>
      <w:r>
        <w:rPr>
          <w:b/>
          <w:bCs/>
          <w:color w:val="2E74B5" w:themeColor="accent5" w:themeShade="BF"/>
          <w:sz w:val="24"/>
          <w:szCs w:val="24"/>
        </w:rPr>
        <w:t>.</w:t>
      </w:r>
      <w:r>
        <w:rPr>
          <w:b/>
          <w:bCs/>
          <w:color w:val="2E74B5" w:themeColor="accent5" w:themeShade="BF"/>
          <w:sz w:val="24"/>
          <w:szCs w:val="24"/>
        </w:rPr>
        <w:t xml:space="preserve"> </w:t>
      </w:r>
    </w:p>
    <w:p w14:paraId="617DCE72" w14:textId="77777777" w:rsidR="00382A85" w:rsidRDefault="00382A85">
      <w:pPr>
        <w:rPr>
          <w:b/>
          <w:bCs/>
          <w:color w:val="2E74B5" w:themeColor="accent5" w:themeShade="BF"/>
          <w:sz w:val="24"/>
          <w:szCs w:val="24"/>
        </w:rPr>
      </w:pPr>
    </w:p>
    <w:p w14:paraId="165077D1" w14:textId="2D7E084C" w:rsidR="00107F00" w:rsidRDefault="00382A85">
      <w:pPr>
        <w:rPr>
          <w:b/>
          <w:bCs/>
          <w:color w:val="2E74B5" w:themeColor="accent5" w:themeShade="BF"/>
          <w:sz w:val="24"/>
          <w:szCs w:val="24"/>
        </w:rPr>
      </w:pPr>
      <w:r w:rsidRPr="00382A85">
        <w:rPr>
          <w:b/>
          <w:bCs/>
          <w:color w:val="2E74B5" w:themeColor="accent5" w:themeShade="BF"/>
          <w:sz w:val="24"/>
          <w:szCs w:val="24"/>
        </w:rPr>
        <w:t xml:space="preserve">Probands </w:t>
      </w:r>
      <w:r w:rsidR="00A5343C" w:rsidRPr="00382A85">
        <w:rPr>
          <w:b/>
          <w:bCs/>
          <w:color w:val="2E74B5" w:themeColor="accent5" w:themeShade="BF"/>
          <w:sz w:val="24"/>
          <w:szCs w:val="24"/>
        </w:rPr>
        <w:t xml:space="preserve">must have a second </w:t>
      </w:r>
      <w:r w:rsidR="00A5343C" w:rsidRPr="00382A85">
        <w:rPr>
          <w:b/>
          <w:bCs/>
          <w:i/>
          <w:iCs/>
          <w:color w:val="2E74B5" w:themeColor="accent5" w:themeShade="BF"/>
          <w:sz w:val="24"/>
          <w:szCs w:val="24"/>
        </w:rPr>
        <w:t xml:space="preserve">ABCA4 </w:t>
      </w:r>
      <w:r w:rsidR="00A5343C" w:rsidRPr="00382A85">
        <w:rPr>
          <w:b/>
          <w:bCs/>
          <w:color w:val="2E74B5" w:themeColor="accent5" w:themeShade="BF"/>
          <w:sz w:val="24"/>
          <w:szCs w:val="24"/>
        </w:rPr>
        <w:t xml:space="preserve">variant that is classified using the </w:t>
      </w:r>
      <w:r w:rsidR="00A5343C" w:rsidRPr="00382A85">
        <w:rPr>
          <w:b/>
          <w:bCs/>
          <w:i/>
          <w:iCs/>
          <w:color w:val="2E74B5" w:themeColor="accent5" w:themeShade="BF"/>
          <w:sz w:val="24"/>
          <w:szCs w:val="24"/>
        </w:rPr>
        <w:t>ABCA4</w:t>
      </w:r>
      <w:r w:rsidR="00A5343C" w:rsidRPr="00382A85">
        <w:rPr>
          <w:b/>
          <w:bCs/>
          <w:color w:val="2E74B5" w:themeColor="accent5" w:themeShade="BF"/>
          <w:sz w:val="24"/>
          <w:szCs w:val="24"/>
        </w:rPr>
        <w:t xml:space="preserve"> VCEP Rule Classification Guidelines</w:t>
      </w:r>
      <w:r w:rsidRPr="00382A85">
        <w:rPr>
          <w:b/>
          <w:bCs/>
          <w:color w:val="2E74B5" w:themeColor="accent5" w:themeShade="BF"/>
          <w:sz w:val="24"/>
          <w:szCs w:val="24"/>
        </w:rPr>
        <w:t xml:space="preserve"> to use this rule code</w:t>
      </w:r>
      <w:r w:rsidR="00A5343C" w:rsidRPr="00382A85">
        <w:rPr>
          <w:b/>
          <w:bCs/>
          <w:color w:val="2E74B5" w:themeColor="accent5" w:themeShade="BF"/>
          <w:sz w:val="24"/>
          <w:szCs w:val="24"/>
        </w:rPr>
        <w:t>.</w:t>
      </w:r>
      <w:r w:rsidR="00107F00" w:rsidRPr="00382A85">
        <w:rPr>
          <w:b/>
          <w:bCs/>
          <w:color w:val="2E74B5" w:themeColor="accent5" w:themeShade="BF"/>
          <w:sz w:val="24"/>
          <w:szCs w:val="24"/>
        </w:rPr>
        <w:t xml:space="preserve"> If the second </w:t>
      </w:r>
      <w:r w:rsidR="00107F00" w:rsidRPr="00382A85">
        <w:rPr>
          <w:b/>
          <w:bCs/>
          <w:i/>
          <w:iCs/>
          <w:color w:val="2E74B5" w:themeColor="accent5" w:themeShade="BF"/>
          <w:sz w:val="24"/>
          <w:szCs w:val="24"/>
        </w:rPr>
        <w:t xml:space="preserve">ABCA4 </w:t>
      </w:r>
      <w:r w:rsidR="00107F00" w:rsidRPr="00382A85">
        <w:rPr>
          <w:b/>
          <w:bCs/>
          <w:color w:val="2E74B5" w:themeColor="accent5" w:themeShade="BF"/>
          <w:sz w:val="24"/>
          <w:szCs w:val="24"/>
        </w:rPr>
        <w:t>variant is classified as a variant of uncertain significance (VUS), the</w:t>
      </w:r>
      <w:r w:rsidR="00544DF8">
        <w:rPr>
          <w:b/>
          <w:bCs/>
          <w:color w:val="2E74B5" w:themeColor="accent5" w:themeShade="BF"/>
          <w:sz w:val="24"/>
          <w:szCs w:val="24"/>
        </w:rPr>
        <w:t xml:space="preserve"> proband</w:t>
      </w:r>
      <w:r w:rsidR="009E0A3F">
        <w:rPr>
          <w:b/>
          <w:bCs/>
          <w:color w:val="2E74B5" w:themeColor="accent5" w:themeShade="BF"/>
          <w:sz w:val="24"/>
          <w:szCs w:val="24"/>
        </w:rPr>
        <w:t>’s</w:t>
      </w:r>
      <w:r w:rsidR="00544DF8">
        <w:rPr>
          <w:b/>
          <w:bCs/>
          <w:color w:val="2E74B5" w:themeColor="accent5" w:themeShade="BF"/>
          <w:sz w:val="24"/>
          <w:szCs w:val="24"/>
        </w:rPr>
        <w:t xml:space="preserve"> points should be </w:t>
      </w:r>
      <w:r w:rsidR="00107F00" w:rsidRPr="00382A85">
        <w:rPr>
          <w:b/>
          <w:bCs/>
          <w:color w:val="2E74B5" w:themeColor="accent5" w:themeShade="BF"/>
          <w:sz w:val="24"/>
          <w:szCs w:val="24"/>
        </w:rPr>
        <w:t>downgrade</w:t>
      </w:r>
      <w:r w:rsidR="009E0A3F">
        <w:rPr>
          <w:b/>
          <w:bCs/>
          <w:color w:val="2E74B5" w:themeColor="accent5" w:themeShade="BF"/>
          <w:sz w:val="24"/>
          <w:szCs w:val="24"/>
        </w:rPr>
        <w:t xml:space="preserve">d </w:t>
      </w:r>
      <w:r w:rsidRPr="00382A85">
        <w:rPr>
          <w:b/>
          <w:bCs/>
          <w:color w:val="2E74B5" w:themeColor="accent5" w:themeShade="BF"/>
          <w:sz w:val="24"/>
          <w:szCs w:val="24"/>
        </w:rPr>
        <w:t>by half</w:t>
      </w:r>
      <w:r w:rsidR="00107F00" w:rsidRPr="00382A85">
        <w:rPr>
          <w:b/>
          <w:bCs/>
          <w:color w:val="2E74B5" w:themeColor="accent5" w:themeShade="BF"/>
          <w:sz w:val="24"/>
          <w:szCs w:val="24"/>
        </w:rPr>
        <w:t xml:space="preserve">. </w:t>
      </w:r>
      <w:r w:rsidR="00544DF8">
        <w:rPr>
          <w:b/>
          <w:bCs/>
          <w:color w:val="2E74B5" w:themeColor="accent5" w:themeShade="BF"/>
          <w:sz w:val="24"/>
          <w:szCs w:val="24"/>
        </w:rPr>
        <w:t xml:space="preserve">Additionally, this code’s strength should be capped at moderate if phase is unknown for all probands. </w:t>
      </w:r>
    </w:p>
    <w:p w14:paraId="082CFF2E" w14:textId="77777777" w:rsidR="00382A85" w:rsidRPr="00382A85" w:rsidRDefault="00382A85">
      <w:pPr>
        <w:rPr>
          <w:b/>
          <w:bCs/>
          <w:color w:val="2E74B5" w:themeColor="accent5" w:themeShade="BF"/>
          <w:sz w:val="24"/>
          <w:szCs w:val="24"/>
        </w:rPr>
      </w:pPr>
    </w:p>
    <w:p w14:paraId="350A3747" w14:textId="1DE932D9" w:rsidR="004720E0" w:rsidRDefault="004720E0">
      <w:r>
        <w:rPr>
          <w:noProof/>
        </w:rPr>
        <w:drawing>
          <wp:inline distT="0" distB="0" distL="0" distR="0" wp14:anchorId="1D01F6FC" wp14:editId="522A6108">
            <wp:extent cx="5943600" cy="4124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2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E0"/>
    <w:rsid w:val="00107F00"/>
    <w:rsid w:val="00382A85"/>
    <w:rsid w:val="004720E0"/>
    <w:rsid w:val="00544DF8"/>
    <w:rsid w:val="009E0A3F"/>
    <w:rsid w:val="00A5343C"/>
    <w:rsid w:val="00F3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0EE5"/>
  <w15:chartTrackingRefBased/>
  <w15:docId w15:val="{678C848F-55CD-48C3-AB69-ACBD6AC0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Kristy</dc:creator>
  <cp:keywords/>
  <dc:description/>
  <cp:lastModifiedBy>Lee, Kristy</cp:lastModifiedBy>
  <cp:revision>3</cp:revision>
  <dcterms:created xsi:type="dcterms:W3CDTF">2024-02-06T19:28:00Z</dcterms:created>
  <dcterms:modified xsi:type="dcterms:W3CDTF">2024-07-12T13:00:00Z</dcterms:modified>
</cp:coreProperties>
</file>