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559"/>
        <w:tblW w:w="11874" w:type="dxa"/>
        <w:tblLayout w:type="fixed"/>
        <w:tblLook w:val="04A0"/>
      </w:tblPr>
      <w:tblGrid>
        <w:gridCol w:w="1596"/>
        <w:gridCol w:w="2340"/>
        <w:gridCol w:w="1275"/>
        <w:gridCol w:w="1560"/>
        <w:gridCol w:w="2409"/>
        <w:gridCol w:w="2694"/>
      </w:tblGrid>
      <w:tr w:rsidR="006E2BFC" w:rsidTr="006E2BFC">
        <w:tc>
          <w:tcPr>
            <w:tcW w:w="1596" w:type="dxa"/>
          </w:tcPr>
          <w:p w:rsidR="006E2BFC" w:rsidRDefault="006E2BFC" w:rsidP="006E2BFC">
            <w:r>
              <w:t>Title</w:t>
            </w:r>
          </w:p>
        </w:tc>
        <w:tc>
          <w:tcPr>
            <w:tcW w:w="2340" w:type="dxa"/>
          </w:tcPr>
          <w:p w:rsidR="006E2BFC" w:rsidRDefault="006E2BFC" w:rsidP="006E2BFC">
            <w:r>
              <w:t>author</w:t>
            </w:r>
          </w:p>
        </w:tc>
        <w:tc>
          <w:tcPr>
            <w:tcW w:w="1275" w:type="dxa"/>
          </w:tcPr>
          <w:p w:rsidR="006E2BFC" w:rsidRDefault="006E2BFC" w:rsidP="006E2BFC">
            <w:r>
              <w:t>publishing</w:t>
            </w:r>
          </w:p>
        </w:tc>
        <w:tc>
          <w:tcPr>
            <w:tcW w:w="1560" w:type="dxa"/>
          </w:tcPr>
          <w:p w:rsidR="006E2BFC" w:rsidRDefault="006E2BFC" w:rsidP="006E2BFC">
            <w:r>
              <w:t>Technology &amp;dataset</w:t>
            </w:r>
          </w:p>
        </w:tc>
        <w:tc>
          <w:tcPr>
            <w:tcW w:w="2409" w:type="dxa"/>
          </w:tcPr>
          <w:p w:rsidR="006E2BFC" w:rsidRDefault="006E2BFC" w:rsidP="006E2BFC">
            <w:r>
              <w:t>pros</w:t>
            </w:r>
          </w:p>
        </w:tc>
        <w:tc>
          <w:tcPr>
            <w:tcW w:w="2694" w:type="dxa"/>
          </w:tcPr>
          <w:p w:rsidR="006E2BFC" w:rsidRDefault="006E2BFC" w:rsidP="006E2BFC">
            <w:r>
              <w:t>cons</w:t>
            </w:r>
          </w:p>
        </w:tc>
      </w:tr>
      <w:tr w:rsidR="006E2BFC" w:rsidTr="006E2BFC">
        <w:trPr>
          <w:trHeight w:val="1695"/>
        </w:trPr>
        <w:tc>
          <w:tcPr>
            <w:tcW w:w="1596" w:type="dxa"/>
          </w:tcPr>
          <w:p w:rsidR="006E2BFC" w:rsidRDefault="006E2BFC" w:rsidP="006E2BFC">
            <w:r w:rsidRPr="002E485B">
              <w:t>Neural Architectures for Named Entity Recognition</w:t>
            </w:r>
          </w:p>
        </w:tc>
        <w:tc>
          <w:tcPr>
            <w:tcW w:w="2340" w:type="dxa"/>
          </w:tcPr>
          <w:p w:rsidR="006E2BFC" w:rsidRDefault="006E2BFC" w:rsidP="006E2BFC">
            <w:r>
              <w:t xml:space="preserve">Guillaume </w:t>
            </w:r>
            <w:proofErr w:type="spellStart"/>
            <w:r>
              <w:t>Lample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Calibri" w:hAnsi="Calibri" w:cs="Calibri"/>
              </w:rPr>
              <w:t>Miguel</w:t>
            </w:r>
            <w:proofErr w:type="spellEnd"/>
            <w:r>
              <w:rPr>
                <w:rFonts w:ascii="Calibri" w:hAnsi="Calibri" w:cs="Calibri"/>
              </w:rPr>
              <w:t xml:space="preserve"> Ballesteros,</w:t>
            </w:r>
            <w:r>
              <w:t xml:space="preserve"> </w:t>
            </w:r>
            <w:proofErr w:type="spellStart"/>
            <w:r>
              <w:t>Sandeep</w:t>
            </w:r>
            <w:proofErr w:type="spellEnd"/>
            <w:r>
              <w:t xml:space="preserve"> Subramanian</w:t>
            </w:r>
            <w:r>
              <w:rPr>
                <w:rFonts w:ascii="Calibri" w:hAnsi="Calibri" w:cs="Calibri"/>
              </w:rPr>
              <w:t xml:space="preserve"> ,Kaz</w:t>
            </w:r>
            <w:r>
              <w:t>uya Kawakami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Calibri" w:hAnsi="Calibri" w:cs="Calibri"/>
              </w:rPr>
              <w:t>Chris Dyer</w:t>
            </w:r>
          </w:p>
        </w:tc>
        <w:tc>
          <w:tcPr>
            <w:tcW w:w="1275" w:type="dxa"/>
          </w:tcPr>
          <w:p w:rsidR="006E2BFC" w:rsidRDefault="006E2BFC" w:rsidP="006E2BFC"/>
          <w:p w:rsidR="006E2BFC" w:rsidRDefault="006E2BFC" w:rsidP="006E2BFC"/>
          <w:p w:rsidR="006E2BFC" w:rsidRDefault="006E2BFC" w:rsidP="006E2BFC">
            <w:r>
              <w:t xml:space="preserve"> </w:t>
            </w:r>
            <w:r w:rsidRPr="008F6E2C">
              <w:t xml:space="preserve">2016  </w:t>
            </w:r>
          </w:p>
        </w:tc>
        <w:tc>
          <w:tcPr>
            <w:tcW w:w="1560" w:type="dxa"/>
          </w:tcPr>
          <w:tbl>
            <w:tblPr>
              <w:tblW w:w="10948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48"/>
            </w:tblGrid>
            <w:tr w:rsidR="006E2BFC" w:rsidRPr="008F6E2C" w:rsidTr="00E46014">
              <w:tc>
                <w:tcPr>
                  <w:tcW w:w="10948" w:type="dxa"/>
                  <w:tcBorders>
                    <w:top w:val="single" w:sz="2" w:space="0" w:color="E0E0E0"/>
                    <w:left w:val="single" w:sz="2" w:space="0" w:color="E0E0E0"/>
                    <w:bottom w:val="single" w:sz="4" w:space="0" w:color="E0E0E0"/>
                    <w:right w:val="single" w:sz="2" w:space="0" w:color="E0E0E0"/>
                  </w:tcBorders>
                  <w:shd w:val="clear" w:color="auto" w:fill="FFFFFF"/>
                  <w:tcMar>
                    <w:top w:w="178" w:type="dxa"/>
                    <w:left w:w="0" w:type="dxa"/>
                    <w:bottom w:w="99" w:type="dxa"/>
                    <w:right w:w="99" w:type="dxa"/>
                  </w:tcMar>
                  <w:hideMark/>
                </w:tcPr>
                <w:p w:rsidR="006E2BFC" w:rsidRDefault="006E2BFC" w:rsidP="006E2BFC">
                  <w:pPr>
                    <w:framePr w:hSpace="180" w:wrap="around" w:vAnchor="page" w:hAnchor="margin" w:xAlign="center" w:y="1559"/>
                    <w:spacing w:after="296" w:line="240" w:lineRule="auto"/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</w:pPr>
                  <w:r w:rsidRPr="008F6E2C">
                    <w:rPr>
                      <w:rFonts w:ascii="Lato" w:eastAsia="Times New Roman" w:hAnsi="Lato" w:cs="Times New Roman"/>
                      <w:color w:val="212529"/>
                      <w:sz w:val="15"/>
                      <w:szCs w:val="15"/>
                    </w:rPr>
                    <w:br/>
                  </w:r>
                  <w:proofErr w:type="spellStart"/>
                  <w:r w:rsidRPr="008F6E2C"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  <w:t>CoNLL</w:t>
                  </w:r>
                  <w:proofErr w:type="spellEnd"/>
                  <w:r w:rsidRPr="008F6E2C"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  <w:t>++</w:t>
                  </w:r>
                  <w:r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  <w:t>,</w:t>
                  </w:r>
                </w:p>
                <w:p w:rsidR="006E2BFC" w:rsidRPr="008F6E2C" w:rsidRDefault="006E2BFC" w:rsidP="006E2BFC">
                  <w:pPr>
                    <w:framePr w:hSpace="180" w:wrap="around" w:vAnchor="page" w:hAnchor="margin" w:xAlign="center" w:y="1559"/>
                    <w:spacing w:after="296" w:line="240" w:lineRule="auto"/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</w:pPr>
                  <w:proofErr w:type="spellStart"/>
                  <w:r w:rsidRPr="008F6E2C">
                    <w:rPr>
                      <w:rFonts w:ascii="Lato" w:eastAsia="Times New Roman" w:hAnsi="Lato" w:cs="Times New Roman"/>
                      <w:color w:val="212529"/>
                      <w:sz w:val="20"/>
                      <w:szCs w:val="20"/>
                    </w:rPr>
                    <w:t>CoNLL</w:t>
                  </w:r>
                  <w:proofErr w:type="spellEnd"/>
                </w:p>
              </w:tc>
            </w:tr>
          </w:tbl>
          <w:p w:rsidR="006E2BFC" w:rsidRDefault="006E2BFC" w:rsidP="006E2BFC"/>
        </w:tc>
        <w:tc>
          <w:tcPr>
            <w:tcW w:w="2409" w:type="dxa"/>
          </w:tcPr>
          <w:p w:rsidR="006E2BFC" w:rsidRDefault="006E2BFC" w:rsidP="006E2BFC">
            <w:r>
              <w:t>automatically categorizing the articles in defined hierarchies and enable smooth content</w:t>
            </w:r>
          </w:p>
          <w:p w:rsidR="006E2BFC" w:rsidRDefault="006E2BFC" w:rsidP="006E2BFC">
            <w:r>
              <w:t xml:space="preserve"> discovery</w:t>
            </w:r>
          </w:p>
        </w:tc>
        <w:tc>
          <w:tcPr>
            <w:tcW w:w="2694" w:type="dxa"/>
          </w:tcPr>
          <w:p w:rsidR="006E2BFC" w:rsidRDefault="006E2BFC" w:rsidP="006E2BFC">
            <w:r>
              <w:t xml:space="preserve">Ambiguity and Abbreviations - In identifying named entities is </w:t>
            </w:r>
            <w:proofErr w:type="spellStart"/>
            <w:r>
              <w:t>language.Recognizing</w:t>
            </w:r>
            <w:proofErr w:type="spellEnd"/>
            <w:r>
              <w:t xml:space="preserve"> words which can have multiple meanings or words that can be a part</w:t>
            </w:r>
          </w:p>
          <w:p w:rsidR="006E2BFC" w:rsidRDefault="006E2BFC" w:rsidP="006E2BFC">
            <w:r>
              <w:t>of different sentences</w:t>
            </w:r>
          </w:p>
        </w:tc>
      </w:tr>
      <w:tr w:rsidR="006E2BFC" w:rsidTr="006E2BFC">
        <w:trPr>
          <w:trHeight w:val="1430"/>
        </w:trPr>
        <w:tc>
          <w:tcPr>
            <w:tcW w:w="1596" w:type="dxa"/>
          </w:tcPr>
          <w:p w:rsidR="006E2BFC" w:rsidRDefault="006E2BFC" w:rsidP="006E2BFC">
            <w:r>
              <w:t>Named Entity Recognition with Bidirectional LSTM-CNNs</w:t>
            </w:r>
          </w:p>
        </w:tc>
        <w:tc>
          <w:tcPr>
            <w:tcW w:w="2340" w:type="dxa"/>
          </w:tcPr>
          <w:p w:rsidR="006E2BFC" w:rsidRDefault="006E2BFC" w:rsidP="006E2BFC">
            <w:r>
              <w:t>Jason P.C. Chiu, Eric Nichols</w:t>
            </w:r>
          </w:p>
        </w:tc>
        <w:tc>
          <w:tcPr>
            <w:tcW w:w="1275" w:type="dxa"/>
          </w:tcPr>
          <w:p w:rsidR="006E2BFC" w:rsidRDefault="006E2BFC" w:rsidP="006E2BFC"/>
          <w:p w:rsidR="006E2BFC" w:rsidRDefault="006E2BFC" w:rsidP="006E2BFC">
            <w:r>
              <w:t xml:space="preserve"> </w:t>
            </w:r>
          </w:p>
          <w:p w:rsidR="006E2BFC" w:rsidRDefault="006E2BFC" w:rsidP="006E2BFC">
            <w:r>
              <w:t xml:space="preserve"> </w:t>
            </w:r>
            <w:r w:rsidRPr="008F6E2C">
              <w:t>2016</w:t>
            </w:r>
          </w:p>
        </w:tc>
        <w:tc>
          <w:tcPr>
            <w:tcW w:w="1560" w:type="dxa"/>
          </w:tcPr>
          <w:p w:rsidR="006E2BFC" w:rsidRDefault="006E2BFC" w:rsidP="006E2BFC"/>
          <w:tbl>
            <w:tblPr>
              <w:tblW w:w="10948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48"/>
            </w:tblGrid>
            <w:tr w:rsidR="006E2BFC" w:rsidRPr="00623EBA" w:rsidTr="00E46014">
              <w:tc>
                <w:tcPr>
                  <w:tcW w:w="10948" w:type="dxa"/>
                  <w:tcBorders>
                    <w:top w:val="single" w:sz="2" w:space="0" w:color="E0E0E0"/>
                    <w:left w:val="single" w:sz="2" w:space="0" w:color="E0E0E0"/>
                    <w:bottom w:val="single" w:sz="4" w:space="0" w:color="E0E0E0"/>
                    <w:right w:val="single" w:sz="2" w:space="0" w:color="E0E0E0"/>
                  </w:tcBorders>
                  <w:shd w:val="clear" w:color="auto" w:fill="FFFFFF"/>
                  <w:tcMar>
                    <w:top w:w="178" w:type="dxa"/>
                    <w:left w:w="0" w:type="dxa"/>
                    <w:bottom w:w="99" w:type="dxa"/>
                    <w:right w:w="99" w:type="dxa"/>
                  </w:tcMar>
                  <w:hideMark/>
                </w:tcPr>
                <w:p w:rsidR="006E2BFC" w:rsidRPr="00623EBA" w:rsidRDefault="006E2BFC" w:rsidP="006E2BFC">
                  <w:pPr>
                    <w:framePr w:hSpace="180" w:wrap="around" w:vAnchor="page" w:hAnchor="margin" w:xAlign="center" w:y="1559"/>
                    <w:spacing w:after="296" w:line="240" w:lineRule="auto"/>
                    <w:rPr>
                      <w:rFonts w:ascii="Lato" w:eastAsia="Times New Roman" w:hAnsi="Lato" w:cs="Times New Roman"/>
                      <w:color w:val="212529"/>
                    </w:rPr>
                  </w:pPr>
                  <w:r w:rsidRPr="00623EBA">
                    <w:rPr>
                      <w:rFonts w:ascii="Lato" w:eastAsia="Times New Roman" w:hAnsi="Lato" w:cs="Times New Roman"/>
                      <w:color w:val="212529"/>
                    </w:rPr>
                    <w:br/>
                  </w:r>
                  <w:proofErr w:type="spellStart"/>
                  <w:r w:rsidRPr="00623EBA">
                    <w:rPr>
                      <w:rFonts w:ascii="Lato" w:eastAsia="Times New Roman" w:hAnsi="Lato" w:cs="Times New Roman"/>
                      <w:color w:val="212529"/>
                    </w:rPr>
                    <w:t>Ontonotes</w:t>
                  </w:r>
                  <w:proofErr w:type="spellEnd"/>
                  <w:r w:rsidRPr="00623EBA">
                    <w:rPr>
                      <w:rFonts w:ascii="Lato" w:eastAsia="Times New Roman" w:hAnsi="Lato" w:cs="Times New Roman"/>
                      <w:color w:val="212529"/>
                    </w:rPr>
                    <w:t xml:space="preserve"> v5 </w:t>
                  </w:r>
                </w:p>
              </w:tc>
            </w:tr>
          </w:tbl>
          <w:p w:rsidR="006E2BFC" w:rsidRDefault="006E2BFC" w:rsidP="006E2BFC"/>
          <w:p w:rsidR="006E2BFC" w:rsidRDefault="006E2BFC" w:rsidP="006E2BFC"/>
        </w:tc>
        <w:tc>
          <w:tcPr>
            <w:tcW w:w="2409" w:type="dxa"/>
          </w:tcPr>
          <w:p w:rsidR="006E2BFC" w:rsidRDefault="006E2BFC" w:rsidP="006E2BFC">
            <w:r>
              <w:t>automatically scan entire articles and reveal which are the major people, organizations,</w:t>
            </w:r>
          </w:p>
          <w:p w:rsidR="006E2BFC" w:rsidRDefault="006E2BFC" w:rsidP="006E2BFC"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places discussed in them.</w:t>
            </w:r>
          </w:p>
        </w:tc>
        <w:tc>
          <w:tcPr>
            <w:tcW w:w="2694" w:type="dxa"/>
          </w:tcPr>
          <w:p w:rsidR="006E2BFC" w:rsidRDefault="006E2BFC" w:rsidP="006E2BFC">
            <w:r>
              <w:t xml:space="preserve">Same words can be written in long </w:t>
            </w:r>
            <w:proofErr w:type="spellStart"/>
            <w:r>
              <w:t>forms.Words</w:t>
            </w:r>
            <w:proofErr w:type="spellEnd"/>
            <w:r>
              <w:t xml:space="preserve"> which will sometimes require some label for</w:t>
            </w:r>
          </w:p>
          <w:p w:rsidR="006E2BFC" w:rsidRDefault="006E2BFC" w:rsidP="006E2BFC">
            <w:proofErr w:type="gramStart"/>
            <w:r>
              <w:t>identification</w:t>
            </w:r>
            <w:proofErr w:type="gramEnd"/>
            <w:r>
              <w:t>.</w:t>
            </w:r>
          </w:p>
        </w:tc>
      </w:tr>
      <w:tr w:rsidR="006E2BFC" w:rsidTr="006E2BFC">
        <w:trPr>
          <w:trHeight w:val="1495"/>
        </w:trPr>
        <w:tc>
          <w:tcPr>
            <w:tcW w:w="1596" w:type="dxa"/>
          </w:tcPr>
          <w:p w:rsidR="006E2BFC" w:rsidRDefault="006E2BFC" w:rsidP="006E2BFC">
            <w:r>
              <w:t>A Unified MRC Framework for Named Entity Recognition</w:t>
            </w:r>
          </w:p>
        </w:tc>
        <w:tc>
          <w:tcPr>
            <w:tcW w:w="2340" w:type="dxa"/>
          </w:tcPr>
          <w:p w:rsidR="006E2BFC" w:rsidRDefault="006E2BFC" w:rsidP="006E2BFC">
            <w:proofErr w:type="spellStart"/>
            <w:r>
              <w:t>Xiaoya</w:t>
            </w:r>
            <w:proofErr w:type="spellEnd"/>
            <w:r>
              <w:t xml:space="preserve"> Li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Jingrong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Feng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Yuxian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Meng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Qinghong</w:t>
            </w:r>
            <w:proofErr w:type="spellEnd"/>
            <w:r>
              <w:rPr>
                <w:rFonts w:ascii="Calibri" w:hAnsi="Calibri" w:cs="Calibri"/>
              </w:rPr>
              <w:t xml:space="preserve"> Han, </w:t>
            </w:r>
            <w:proofErr w:type="spellStart"/>
            <w:r>
              <w:rPr>
                <w:rFonts w:ascii="Calibri" w:hAnsi="Calibri" w:cs="Calibri"/>
              </w:rPr>
              <w:t>Fei</w:t>
            </w:r>
            <w:proofErr w:type="spellEnd"/>
            <w:r>
              <w:rPr>
                <w:rFonts w:ascii="Calibri" w:hAnsi="Calibri" w:cs="Calibri"/>
              </w:rPr>
              <w:t xml:space="preserve"> Wu, </w:t>
            </w:r>
            <w:proofErr w:type="spellStart"/>
            <w:r>
              <w:rPr>
                <w:rFonts w:ascii="Calibri" w:hAnsi="Calibri" w:cs="Calibri"/>
              </w:rPr>
              <w:t>andJiwei</w:t>
            </w:r>
            <w:proofErr w:type="spellEnd"/>
            <w:r>
              <w:rPr>
                <w:rFonts w:ascii="Calibri" w:hAnsi="Calibri" w:cs="Calibri"/>
              </w:rPr>
              <w:t xml:space="preserve"> Li</w:t>
            </w:r>
          </w:p>
        </w:tc>
        <w:tc>
          <w:tcPr>
            <w:tcW w:w="1275" w:type="dxa"/>
          </w:tcPr>
          <w:p w:rsidR="006E2BFC" w:rsidRDefault="006E2BFC" w:rsidP="006E2BFC"/>
          <w:p w:rsidR="006E2BFC" w:rsidRDefault="006E2BFC" w:rsidP="006E2BFC">
            <w:r>
              <w:t xml:space="preserve"> </w:t>
            </w:r>
            <w:r w:rsidRPr="008F6E2C">
              <w:t>2020</w:t>
            </w:r>
          </w:p>
        </w:tc>
        <w:tc>
          <w:tcPr>
            <w:tcW w:w="1560" w:type="dxa"/>
          </w:tcPr>
          <w:tbl>
            <w:tblPr>
              <w:tblW w:w="1310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02"/>
            </w:tblGrid>
            <w:tr w:rsidR="006E2BFC" w:rsidRPr="00623EBA" w:rsidTr="00E46014">
              <w:trPr>
                <w:trHeight w:val="1146"/>
              </w:trPr>
              <w:tc>
                <w:tcPr>
                  <w:tcW w:w="13102" w:type="dxa"/>
                  <w:tcBorders>
                    <w:top w:val="single" w:sz="2" w:space="0" w:color="E0E0E0"/>
                    <w:left w:val="single" w:sz="2" w:space="0" w:color="E0E0E0"/>
                    <w:bottom w:val="single" w:sz="4" w:space="0" w:color="E0E0E0"/>
                    <w:right w:val="single" w:sz="2" w:space="0" w:color="E0E0E0"/>
                  </w:tcBorders>
                  <w:shd w:val="clear" w:color="auto" w:fill="FFFFFF"/>
                  <w:tcMar>
                    <w:top w:w="212" w:type="dxa"/>
                    <w:left w:w="0" w:type="dxa"/>
                    <w:bottom w:w="118" w:type="dxa"/>
                    <w:right w:w="118" w:type="dxa"/>
                  </w:tcMar>
                  <w:hideMark/>
                </w:tcPr>
                <w:p w:rsidR="006E2BFC" w:rsidRPr="00623EBA" w:rsidRDefault="006E2BFC" w:rsidP="006E2BFC">
                  <w:pPr>
                    <w:framePr w:hSpace="180" w:wrap="around" w:vAnchor="page" w:hAnchor="margin" w:xAlign="center" w:y="1559"/>
                    <w:spacing w:after="354" w:line="240" w:lineRule="auto"/>
                    <w:rPr>
                      <w:rFonts w:ascii="Lato" w:eastAsia="Times New Roman" w:hAnsi="Lato" w:cs="Times New Roman"/>
                      <w:color w:val="212529"/>
                      <w:sz w:val="18"/>
                      <w:szCs w:val="18"/>
                    </w:rPr>
                  </w:pPr>
                  <w:r w:rsidRPr="008E4C7A">
                    <w:rPr>
                      <w:rFonts w:ascii="Lato" w:eastAsia="Times New Roman" w:hAnsi="Lato" w:cs="Times New Roman"/>
                      <w:color w:val="212529"/>
                      <w:sz w:val="18"/>
                      <w:szCs w:val="18"/>
                    </w:rPr>
                    <w:t>ACE,MSRA</w:t>
                  </w:r>
                </w:p>
                <w:p w:rsidR="006E2BFC" w:rsidRPr="00623EBA" w:rsidRDefault="006E2BFC" w:rsidP="006E2BFC">
                  <w:pPr>
                    <w:framePr w:hSpace="180" w:wrap="around" w:vAnchor="page" w:hAnchor="margin" w:xAlign="center" w:y="1559"/>
                    <w:spacing w:after="354" w:line="240" w:lineRule="auto"/>
                    <w:rPr>
                      <w:rFonts w:ascii="Lato" w:eastAsia="Times New Roman" w:hAnsi="Lato" w:cs="Times New Roman"/>
                      <w:color w:val="212529"/>
                      <w:sz w:val="18"/>
                      <w:szCs w:val="18"/>
                    </w:rPr>
                  </w:pPr>
                </w:p>
              </w:tc>
            </w:tr>
          </w:tbl>
          <w:p w:rsidR="006E2BFC" w:rsidRDefault="006E2BFC" w:rsidP="006E2BFC"/>
        </w:tc>
        <w:tc>
          <w:tcPr>
            <w:tcW w:w="2409" w:type="dxa"/>
          </w:tcPr>
          <w:p w:rsidR="006E2BFC" w:rsidRDefault="006E2BFC" w:rsidP="006E2BFC">
            <w:r>
              <w:t xml:space="preserve">used in information extraction to identify and segment the named entities and </w:t>
            </w:r>
          </w:p>
          <w:p w:rsidR="006E2BFC" w:rsidRDefault="006E2BFC" w:rsidP="006E2BFC">
            <w:proofErr w:type="gramStart"/>
            <w:r>
              <w:t>classify</w:t>
            </w:r>
            <w:proofErr w:type="gramEnd"/>
            <w:r>
              <w:t xml:space="preserve"> or categorize them under various predefined classes.</w:t>
            </w:r>
          </w:p>
        </w:tc>
        <w:tc>
          <w:tcPr>
            <w:tcW w:w="2694" w:type="dxa"/>
          </w:tcPr>
          <w:p w:rsidR="006E2BFC" w:rsidRDefault="006E2BFC" w:rsidP="006E2BFC">
            <w:r>
              <w:t xml:space="preserve">Words which are not used very </w:t>
            </w:r>
            <w:proofErr w:type="spellStart"/>
            <w:r>
              <w:t>frequentlythese</w:t>
            </w:r>
            <w:proofErr w:type="spellEnd"/>
            <w:r>
              <w:t xml:space="preserve"> days, or words that are not heard</w:t>
            </w:r>
          </w:p>
          <w:p w:rsidR="006E2BFC" w:rsidRDefault="006E2BFC" w:rsidP="006E2BFC">
            <w:r>
              <w:t xml:space="preserve"> by a lot of people</w:t>
            </w:r>
          </w:p>
        </w:tc>
      </w:tr>
      <w:tr w:rsidR="006E2BFC" w:rsidTr="006E2BFC">
        <w:trPr>
          <w:trHeight w:val="1706"/>
        </w:trPr>
        <w:tc>
          <w:tcPr>
            <w:tcW w:w="1596" w:type="dxa"/>
          </w:tcPr>
          <w:p w:rsidR="006E2BFC" w:rsidRDefault="006E2BFC" w:rsidP="006E2BFC">
            <w:r>
              <w:t>TENER: Adapting Transformer Encoder for Named Entity Recognition</w:t>
            </w:r>
          </w:p>
        </w:tc>
        <w:tc>
          <w:tcPr>
            <w:tcW w:w="2340" w:type="dxa"/>
          </w:tcPr>
          <w:p w:rsidR="006E2BFC" w:rsidRDefault="006E2BFC" w:rsidP="006E2BFC">
            <w:r w:rsidRPr="008F6E2C">
              <w:t xml:space="preserve">Hang Yan, </w:t>
            </w:r>
            <w:proofErr w:type="spellStart"/>
            <w:r w:rsidRPr="008F6E2C">
              <w:t>Bocao</w:t>
            </w:r>
            <w:proofErr w:type="spellEnd"/>
            <w:r w:rsidRPr="008F6E2C">
              <w:t xml:space="preserve"> Deng, </w:t>
            </w:r>
            <w:proofErr w:type="spellStart"/>
            <w:r w:rsidRPr="008F6E2C">
              <w:t>Xiaonan</w:t>
            </w:r>
            <w:proofErr w:type="spellEnd"/>
            <w:r w:rsidRPr="008F6E2C">
              <w:t xml:space="preserve"> Li, </w:t>
            </w:r>
            <w:proofErr w:type="spellStart"/>
            <w:r w:rsidRPr="008F6E2C">
              <w:t>Xipeng</w:t>
            </w:r>
            <w:proofErr w:type="spellEnd"/>
            <w:r w:rsidRPr="008F6E2C">
              <w:t xml:space="preserve"> </w:t>
            </w:r>
            <w:proofErr w:type="spellStart"/>
            <w:r w:rsidRPr="008F6E2C">
              <w:t>Qiu</w:t>
            </w:r>
            <w:proofErr w:type="spellEnd"/>
          </w:p>
        </w:tc>
        <w:tc>
          <w:tcPr>
            <w:tcW w:w="1275" w:type="dxa"/>
          </w:tcPr>
          <w:p w:rsidR="006E2BFC" w:rsidRDefault="006E2BFC" w:rsidP="006E2BFC"/>
          <w:p w:rsidR="006E2BFC" w:rsidRDefault="006E2BFC" w:rsidP="006E2BFC"/>
          <w:p w:rsidR="006E2BFC" w:rsidRDefault="006E2BFC" w:rsidP="006E2BFC">
            <w:r w:rsidRPr="008F6E2C">
              <w:t>2019</w:t>
            </w:r>
          </w:p>
        </w:tc>
        <w:tc>
          <w:tcPr>
            <w:tcW w:w="1560" w:type="dxa"/>
          </w:tcPr>
          <w:p w:rsidR="006E2BFC" w:rsidRDefault="006E2BFC" w:rsidP="006E2BFC">
            <w:proofErr w:type="spellStart"/>
            <w:r w:rsidRPr="006E2BFC">
              <w:t>Weibo</w:t>
            </w:r>
            <w:proofErr w:type="spellEnd"/>
            <w:r w:rsidRPr="006E2BFC">
              <w:t xml:space="preserve"> </w:t>
            </w:r>
            <w:proofErr w:type="spellStart"/>
            <w:r w:rsidRPr="006E2BFC">
              <w:t>NER,Resume</w:t>
            </w:r>
            <w:proofErr w:type="spellEnd"/>
            <w:r w:rsidRPr="006E2BFC">
              <w:t xml:space="preserve"> NER,MSRA</w:t>
            </w:r>
          </w:p>
          <w:p w:rsidR="006E2BFC" w:rsidRDefault="006E2BFC" w:rsidP="006E2BFC">
            <w:pPr>
              <w:spacing w:after="354"/>
              <w:rPr>
                <w:rFonts w:ascii="Lato" w:hAnsi="Lato"/>
                <w:color w:val="212529"/>
                <w:sz w:val="18"/>
                <w:szCs w:val="18"/>
              </w:rPr>
            </w:pPr>
            <w:r>
              <w:rPr>
                <w:rFonts w:ascii="Lato" w:hAnsi="Lato"/>
                <w:color w:val="212529"/>
                <w:sz w:val="18"/>
                <w:szCs w:val="18"/>
              </w:rPr>
              <w:br/>
            </w:r>
          </w:p>
          <w:p w:rsidR="006E2BFC" w:rsidRDefault="006E2BFC" w:rsidP="006E2BFC"/>
        </w:tc>
        <w:tc>
          <w:tcPr>
            <w:tcW w:w="2409" w:type="dxa"/>
          </w:tcPr>
          <w:p w:rsidR="006E2BFC" w:rsidRDefault="006E2BFC" w:rsidP="006E2BFC">
            <w:r>
              <w:t xml:space="preserve">helps you easily identify the key elements in a text, like names of people, places, </w:t>
            </w:r>
          </w:p>
          <w:p w:rsidR="006E2BFC" w:rsidRDefault="006E2BFC" w:rsidP="006E2BFC">
            <w:r>
              <w:t>brands, monetary values, and more</w:t>
            </w:r>
          </w:p>
        </w:tc>
        <w:tc>
          <w:tcPr>
            <w:tcW w:w="2694" w:type="dxa"/>
          </w:tcPr>
          <w:p w:rsidR="006E2BFC" w:rsidRDefault="006E2BFC" w:rsidP="006E2BFC">
            <w:proofErr w:type="gramStart"/>
            <w:r>
              <w:t>the</w:t>
            </w:r>
            <w:proofErr w:type="gramEnd"/>
            <w:r>
              <w:t xml:space="preserve"> target words are mainly proper nouns or unregistered words.</w:t>
            </w:r>
          </w:p>
          <w:p w:rsidR="006E2BFC" w:rsidRDefault="006E2BFC" w:rsidP="006E2BFC"/>
          <w:p w:rsidR="006E2BFC" w:rsidRDefault="006E2BFC" w:rsidP="006E2BFC"/>
          <w:p w:rsidR="006E2BFC" w:rsidRDefault="006E2BFC" w:rsidP="006E2BFC"/>
        </w:tc>
      </w:tr>
      <w:tr w:rsidR="006E2BFC" w:rsidTr="006E2BFC">
        <w:trPr>
          <w:trHeight w:val="1495"/>
        </w:trPr>
        <w:tc>
          <w:tcPr>
            <w:tcW w:w="1596" w:type="dxa"/>
          </w:tcPr>
          <w:p w:rsidR="006E2BFC" w:rsidRDefault="006E2BFC" w:rsidP="006E2BFC">
            <w:r>
              <w:t>Few-shot Learning for Named Entity Recognition in</w:t>
            </w:r>
          </w:p>
          <w:p w:rsidR="006E2BFC" w:rsidRDefault="006E2BFC" w:rsidP="006E2BFC">
            <w:r>
              <w:t>Medical Text</w:t>
            </w:r>
          </w:p>
        </w:tc>
        <w:tc>
          <w:tcPr>
            <w:tcW w:w="2340" w:type="dxa"/>
          </w:tcPr>
          <w:p w:rsidR="006E2BFC" w:rsidRDefault="006E2BFC" w:rsidP="006E2BFC">
            <w:r>
              <w:t xml:space="preserve">Maximilian Hofer, </w:t>
            </w:r>
            <w:proofErr w:type="spellStart"/>
            <w:r w:rsidRPr="008F6E2C">
              <w:t>Andrey</w:t>
            </w:r>
            <w:proofErr w:type="spellEnd"/>
            <w:r w:rsidRPr="008F6E2C">
              <w:t xml:space="preserve"> </w:t>
            </w:r>
            <w:proofErr w:type="spellStart"/>
            <w:r w:rsidRPr="008F6E2C">
              <w:t>Kormilitzin</w:t>
            </w:r>
            <w:proofErr w:type="spellEnd"/>
            <w:r>
              <w:t>,</w:t>
            </w:r>
          </w:p>
          <w:p w:rsidR="006E2BFC" w:rsidRDefault="006E2BFC" w:rsidP="006E2BFC">
            <w:r>
              <w:t>Paul Goldberg,</w:t>
            </w:r>
          </w:p>
          <w:p w:rsidR="006E2BFC" w:rsidRDefault="006E2BFC" w:rsidP="006E2BFC">
            <w:proofErr w:type="spellStart"/>
            <w:r>
              <w:t>Alejo</w:t>
            </w:r>
            <w:proofErr w:type="spellEnd"/>
            <w:r>
              <w:t xml:space="preserve"> </w:t>
            </w:r>
            <w:proofErr w:type="spellStart"/>
            <w:r>
              <w:t>Nevado-Holgado</w:t>
            </w:r>
            <w:proofErr w:type="spellEnd"/>
          </w:p>
        </w:tc>
        <w:tc>
          <w:tcPr>
            <w:tcW w:w="1275" w:type="dxa"/>
          </w:tcPr>
          <w:p w:rsidR="006E2BFC" w:rsidRDefault="006E2BFC" w:rsidP="006E2BFC"/>
          <w:p w:rsidR="006E2BFC" w:rsidRDefault="006E2BFC" w:rsidP="006E2BFC">
            <w:r>
              <w:t xml:space="preserve"> </w:t>
            </w:r>
            <w:r w:rsidRPr="008F6E2C">
              <w:t>2018</w:t>
            </w:r>
          </w:p>
        </w:tc>
        <w:tc>
          <w:tcPr>
            <w:tcW w:w="1560" w:type="dxa"/>
          </w:tcPr>
          <w:p w:rsidR="006E2BFC" w:rsidRDefault="006E2BFC" w:rsidP="006E2BFC">
            <w:r w:rsidRPr="006E2BFC">
              <w:t>MIMIC-III, CoNLL-2003</w:t>
            </w:r>
          </w:p>
        </w:tc>
        <w:tc>
          <w:tcPr>
            <w:tcW w:w="2409" w:type="dxa"/>
          </w:tcPr>
          <w:p w:rsidR="006E2BFC" w:rsidRDefault="006E2BFC" w:rsidP="006E2BFC">
            <w:r>
              <w:t>Extracting the main entities in a text helps sort unstructured data and detect</w:t>
            </w:r>
          </w:p>
          <w:p w:rsidR="006E2BFC" w:rsidRDefault="006E2BFC" w:rsidP="006E2BFC">
            <w:r>
              <w:t xml:space="preserve"> </w:t>
            </w:r>
            <w:proofErr w:type="gramStart"/>
            <w:r>
              <w:t>important</w:t>
            </w:r>
            <w:proofErr w:type="gramEnd"/>
            <w:r>
              <w:t xml:space="preserve"> information, which is crucial if you have to deal with large datasets.</w:t>
            </w:r>
          </w:p>
        </w:tc>
        <w:tc>
          <w:tcPr>
            <w:tcW w:w="2694" w:type="dxa"/>
          </w:tcPr>
          <w:p w:rsidR="006E2BFC" w:rsidRDefault="009D6EC0" w:rsidP="006E2BFC">
            <w:r>
              <w:t>It is very hard to collect to all datasets.</w:t>
            </w:r>
          </w:p>
        </w:tc>
      </w:tr>
    </w:tbl>
    <w:p w:rsidR="009000B3" w:rsidRDefault="009D6EC0"/>
    <w:sectPr w:rsidR="009000B3" w:rsidSect="009A1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E485B"/>
    <w:rsid w:val="00031102"/>
    <w:rsid w:val="002A6152"/>
    <w:rsid w:val="002E485B"/>
    <w:rsid w:val="006155AA"/>
    <w:rsid w:val="00623EBA"/>
    <w:rsid w:val="006E2BFC"/>
    <w:rsid w:val="008E4C7A"/>
    <w:rsid w:val="008F6E2C"/>
    <w:rsid w:val="009A1783"/>
    <w:rsid w:val="009D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8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2022-01-06T15:11:00Z</dcterms:created>
  <dcterms:modified xsi:type="dcterms:W3CDTF">2022-01-06T16:39:00Z</dcterms:modified>
</cp:coreProperties>
</file>