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C241" w14:textId="77777777" w:rsidR="00065309" w:rsidRDefault="00D828F7" w:rsidP="00DD5FF3">
      <w:pPr>
        <w:pStyle w:val="Corpodetexto"/>
        <w:spacing w:before="0" w:after="240"/>
        <w:ind w:left="-142" w:right="14"/>
        <w:jc w:val="center"/>
        <w:rPr>
          <w:rFonts w:eastAsiaTheme="majorEastAsia" w:cs="Times New Roman"/>
          <w:b/>
          <w:bCs/>
          <w:color w:val="000000" w:themeColor="text1"/>
          <w:spacing w:val="-2"/>
          <w:sz w:val="32"/>
          <w:szCs w:val="32"/>
        </w:rPr>
      </w:pPr>
      <w:r w:rsidRPr="00D828F7">
        <w:rPr>
          <w:rFonts w:eastAsiaTheme="majorEastAsia" w:cs="Times New Roman"/>
          <w:b/>
          <w:bCs/>
          <w:color w:val="000000" w:themeColor="text1"/>
          <w:spacing w:val="-2"/>
          <w:sz w:val="32"/>
          <w:szCs w:val="32"/>
        </w:rPr>
        <w:t xml:space="preserve">Economic </w:t>
      </w:r>
      <w:r>
        <w:rPr>
          <w:rFonts w:eastAsiaTheme="majorEastAsia" w:cs="Times New Roman"/>
          <w:b/>
          <w:bCs/>
          <w:color w:val="000000" w:themeColor="text1"/>
          <w:spacing w:val="-2"/>
          <w:sz w:val="32"/>
          <w:szCs w:val="32"/>
        </w:rPr>
        <w:t>E</w:t>
      </w:r>
      <w:r w:rsidRPr="00D828F7">
        <w:rPr>
          <w:rFonts w:eastAsiaTheme="majorEastAsia" w:cs="Times New Roman"/>
          <w:b/>
          <w:bCs/>
          <w:color w:val="000000" w:themeColor="text1"/>
          <w:spacing w:val="-2"/>
          <w:sz w:val="32"/>
          <w:szCs w:val="32"/>
        </w:rPr>
        <w:t xml:space="preserve">valuation of </w:t>
      </w:r>
      <w:r>
        <w:rPr>
          <w:rFonts w:eastAsiaTheme="majorEastAsia" w:cs="Times New Roman"/>
          <w:b/>
          <w:bCs/>
          <w:color w:val="000000" w:themeColor="text1"/>
          <w:spacing w:val="-2"/>
          <w:sz w:val="32"/>
          <w:szCs w:val="32"/>
        </w:rPr>
        <w:t>H</w:t>
      </w:r>
      <w:r w:rsidRPr="00D828F7">
        <w:rPr>
          <w:rFonts w:eastAsiaTheme="majorEastAsia" w:cs="Times New Roman"/>
          <w:b/>
          <w:bCs/>
          <w:color w:val="000000" w:themeColor="text1"/>
          <w:spacing w:val="-2"/>
          <w:sz w:val="32"/>
          <w:szCs w:val="32"/>
        </w:rPr>
        <w:t xml:space="preserve">ybrid AI and </w:t>
      </w:r>
      <w:r>
        <w:rPr>
          <w:rFonts w:eastAsiaTheme="majorEastAsia" w:cs="Times New Roman"/>
          <w:b/>
          <w:bCs/>
          <w:color w:val="000000" w:themeColor="text1"/>
          <w:spacing w:val="-2"/>
          <w:sz w:val="32"/>
          <w:szCs w:val="32"/>
        </w:rPr>
        <w:t>C</w:t>
      </w:r>
      <w:r w:rsidRPr="00D828F7">
        <w:rPr>
          <w:rFonts w:eastAsiaTheme="majorEastAsia" w:cs="Times New Roman"/>
          <w:b/>
          <w:bCs/>
          <w:color w:val="000000" w:themeColor="text1"/>
          <w:spacing w:val="-2"/>
          <w:sz w:val="32"/>
          <w:szCs w:val="32"/>
        </w:rPr>
        <w:t xml:space="preserve">lassical </w:t>
      </w:r>
      <w:r>
        <w:rPr>
          <w:rFonts w:eastAsiaTheme="majorEastAsia" w:cs="Times New Roman"/>
          <w:b/>
          <w:bCs/>
          <w:color w:val="000000" w:themeColor="text1"/>
          <w:spacing w:val="-2"/>
          <w:sz w:val="32"/>
          <w:szCs w:val="32"/>
        </w:rPr>
        <w:t>I</w:t>
      </w:r>
      <w:r w:rsidRPr="00D828F7">
        <w:rPr>
          <w:rFonts w:eastAsiaTheme="majorEastAsia" w:cs="Times New Roman"/>
          <w:b/>
          <w:bCs/>
          <w:color w:val="000000" w:themeColor="text1"/>
          <w:spacing w:val="-2"/>
          <w:sz w:val="32"/>
          <w:szCs w:val="32"/>
        </w:rPr>
        <w:t xml:space="preserve">nventory </w:t>
      </w:r>
      <w:r>
        <w:rPr>
          <w:rFonts w:eastAsiaTheme="majorEastAsia" w:cs="Times New Roman"/>
          <w:b/>
          <w:bCs/>
          <w:color w:val="000000" w:themeColor="text1"/>
          <w:spacing w:val="-2"/>
          <w:sz w:val="32"/>
          <w:szCs w:val="32"/>
        </w:rPr>
        <w:t>P</w:t>
      </w:r>
      <w:r w:rsidRPr="00D828F7">
        <w:rPr>
          <w:rFonts w:eastAsiaTheme="majorEastAsia" w:cs="Times New Roman"/>
          <w:b/>
          <w:bCs/>
          <w:color w:val="000000" w:themeColor="text1"/>
          <w:spacing w:val="-2"/>
          <w:sz w:val="32"/>
          <w:szCs w:val="32"/>
        </w:rPr>
        <w:t xml:space="preserve">olicies </w:t>
      </w:r>
      <w:r w:rsidR="00B21125">
        <w:rPr>
          <w:rFonts w:eastAsiaTheme="majorEastAsia" w:cs="Times New Roman"/>
          <w:b/>
          <w:bCs/>
          <w:color w:val="000000" w:themeColor="text1"/>
          <w:spacing w:val="-2"/>
          <w:sz w:val="32"/>
          <w:szCs w:val="32"/>
        </w:rPr>
        <w:t>i</w:t>
      </w:r>
      <w:r w:rsidRPr="00D828F7">
        <w:rPr>
          <w:rFonts w:eastAsiaTheme="majorEastAsia" w:cs="Times New Roman"/>
          <w:b/>
          <w:bCs/>
          <w:color w:val="000000" w:themeColor="text1"/>
          <w:spacing w:val="-2"/>
          <w:sz w:val="32"/>
          <w:szCs w:val="32"/>
        </w:rPr>
        <w:t xml:space="preserve">n a </w:t>
      </w:r>
      <w:r>
        <w:rPr>
          <w:rFonts w:eastAsiaTheme="majorEastAsia" w:cs="Times New Roman"/>
          <w:b/>
          <w:bCs/>
          <w:color w:val="000000" w:themeColor="text1"/>
          <w:spacing w:val="-2"/>
          <w:sz w:val="32"/>
          <w:szCs w:val="32"/>
        </w:rPr>
        <w:t>H</w:t>
      </w:r>
      <w:r w:rsidRPr="00D828F7">
        <w:rPr>
          <w:rFonts w:eastAsiaTheme="majorEastAsia" w:cs="Times New Roman"/>
          <w:b/>
          <w:bCs/>
          <w:color w:val="000000" w:themeColor="text1"/>
          <w:spacing w:val="-2"/>
          <w:sz w:val="32"/>
          <w:szCs w:val="32"/>
        </w:rPr>
        <w:t xml:space="preserve">ealthcare </w:t>
      </w:r>
      <w:r>
        <w:rPr>
          <w:rFonts w:eastAsiaTheme="majorEastAsia" w:cs="Times New Roman"/>
          <w:b/>
          <w:bCs/>
          <w:color w:val="000000" w:themeColor="text1"/>
          <w:spacing w:val="-2"/>
          <w:sz w:val="32"/>
          <w:szCs w:val="32"/>
        </w:rPr>
        <w:t>S</w:t>
      </w:r>
      <w:r w:rsidRPr="00D828F7">
        <w:rPr>
          <w:rFonts w:eastAsiaTheme="majorEastAsia" w:cs="Times New Roman"/>
          <w:b/>
          <w:bCs/>
          <w:color w:val="000000" w:themeColor="text1"/>
          <w:spacing w:val="-2"/>
          <w:sz w:val="32"/>
          <w:szCs w:val="32"/>
        </w:rPr>
        <w:t xml:space="preserve">upply </w:t>
      </w:r>
      <w:r>
        <w:rPr>
          <w:rFonts w:eastAsiaTheme="majorEastAsia" w:cs="Times New Roman"/>
          <w:b/>
          <w:bCs/>
          <w:color w:val="000000" w:themeColor="text1"/>
          <w:spacing w:val="-2"/>
          <w:sz w:val="32"/>
          <w:szCs w:val="32"/>
        </w:rPr>
        <w:t>C</w:t>
      </w:r>
      <w:r w:rsidRPr="00D828F7">
        <w:rPr>
          <w:rFonts w:eastAsiaTheme="majorEastAsia" w:cs="Times New Roman"/>
          <w:b/>
          <w:bCs/>
          <w:color w:val="000000" w:themeColor="text1"/>
          <w:spacing w:val="-2"/>
          <w:sz w:val="32"/>
          <w:szCs w:val="32"/>
        </w:rPr>
        <w:t>hain</w:t>
      </w:r>
    </w:p>
    <w:p w14:paraId="5889FE6B" w14:textId="77777777" w:rsidR="006C2556" w:rsidRPr="007A0141" w:rsidRDefault="006C2556" w:rsidP="006C2556">
      <w:pPr>
        <w:pStyle w:val="Corpodetexto"/>
        <w:spacing w:before="0"/>
        <w:ind w:left="708" w:right="14"/>
        <w:jc w:val="both"/>
        <w:rPr>
          <w:rFonts w:eastAsiaTheme="majorEastAsia" w:cs="Times New Roman"/>
          <w:color w:val="000000" w:themeColor="text1"/>
          <w:spacing w:val="-2"/>
          <w:sz w:val="22"/>
          <w:szCs w:val="22"/>
          <w:lang w:val="pt-BR"/>
        </w:rPr>
      </w:pPr>
      <w:r w:rsidRPr="007A0141">
        <w:rPr>
          <w:rFonts w:eastAsiaTheme="majorEastAsia" w:cs="Times New Roman"/>
          <w:color w:val="000000" w:themeColor="text1"/>
          <w:spacing w:val="-2"/>
          <w:sz w:val="22"/>
          <w:szCs w:val="22"/>
          <w:lang w:val="pt-BR"/>
        </w:rPr>
        <w:t>Ricardo Coutinho Mello</w:t>
      </w:r>
      <w:r w:rsidRPr="00E91D70">
        <w:rPr>
          <w:rStyle w:val="Refdenotaderodap"/>
        </w:rPr>
        <w:footnoteReference w:id="1"/>
      </w:r>
      <w:r w:rsidRPr="007A0141">
        <w:rPr>
          <w:rFonts w:eastAsiaTheme="majorEastAsia" w:cs="Times New Roman"/>
          <w:color w:val="000000" w:themeColor="text1"/>
          <w:spacing w:val="-2"/>
          <w:sz w:val="22"/>
          <w:szCs w:val="22"/>
          <w:lang w:val="pt-BR"/>
        </w:rPr>
        <w:t xml:space="preserve"> </w:t>
      </w:r>
      <w:r w:rsidRPr="007A0141">
        <w:rPr>
          <w:rFonts w:eastAsiaTheme="majorEastAsia" w:cs="Times New Roman"/>
          <w:color w:val="000000" w:themeColor="text1"/>
          <w:spacing w:val="-2"/>
          <w:sz w:val="22"/>
          <w:szCs w:val="22"/>
          <w:lang w:val="pt-BR"/>
        </w:rPr>
        <w:tab/>
      </w:r>
      <w:r w:rsidRPr="007A0141">
        <w:rPr>
          <w:rFonts w:eastAsiaTheme="majorEastAsia" w:cs="Times New Roman"/>
          <w:color w:val="000000" w:themeColor="text1"/>
          <w:spacing w:val="-2"/>
          <w:sz w:val="22"/>
          <w:szCs w:val="22"/>
          <w:lang w:val="pt-BR"/>
        </w:rPr>
        <w:tab/>
        <w:t>Bo Chen</w:t>
      </w:r>
      <w:r w:rsidRPr="00E91D70">
        <w:rPr>
          <w:rStyle w:val="Refdenotaderodap"/>
        </w:rPr>
        <w:footnoteReference w:id="2"/>
      </w:r>
      <w:r w:rsidRPr="007A0141">
        <w:rPr>
          <w:rFonts w:eastAsiaTheme="majorEastAsia" w:cs="Times New Roman"/>
          <w:color w:val="000000" w:themeColor="text1"/>
          <w:spacing w:val="-2"/>
          <w:sz w:val="22"/>
          <w:szCs w:val="22"/>
          <w:lang w:val="pt-BR"/>
        </w:rPr>
        <w:t xml:space="preserve"> </w:t>
      </w:r>
      <w:r w:rsidRPr="007A0141">
        <w:rPr>
          <w:rFonts w:eastAsiaTheme="majorEastAsia" w:cs="Times New Roman"/>
          <w:color w:val="000000" w:themeColor="text1"/>
          <w:spacing w:val="-2"/>
          <w:sz w:val="22"/>
          <w:szCs w:val="22"/>
          <w:lang w:val="pt-BR"/>
        </w:rPr>
        <w:tab/>
      </w:r>
      <w:r w:rsidRPr="007A0141">
        <w:rPr>
          <w:rFonts w:eastAsiaTheme="majorEastAsia" w:cs="Times New Roman"/>
          <w:color w:val="000000" w:themeColor="text1"/>
          <w:spacing w:val="-2"/>
          <w:sz w:val="22"/>
          <w:szCs w:val="22"/>
          <w:lang w:val="pt-BR"/>
        </w:rPr>
        <w:tab/>
        <w:t>Felipe Schuler Fernandes</w:t>
      </w:r>
      <w:r w:rsidRPr="00E91D70">
        <w:rPr>
          <w:rStyle w:val="Refdenotaderodap"/>
        </w:rPr>
        <w:footnoteReference w:id="3"/>
      </w:r>
      <w:r w:rsidRPr="007A0141">
        <w:rPr>
          <w:rFonts w:eastAsiaTheme="majorEastAsia" w:cs="Times New Roman"/>
          <w:color w:val="000000" w:themeColor="text1"/>
          <w:spacing w:val="-2"/>
          <w:sz w:val="22"/>
          <w:szCs w:val="22"/>
          <w:lang w:val="pt-BR"/>
        </w:rPr>
        <w:t xml:space="preserve"> </w:t>
      </w:r>
    </w:p>
    <w:p w14:paraId="40F241A9" w14:textId="77777777" w:rsidR="006C2556" w:rsidRDefault="006C2556" w:rsidP="006C2556">
      <w:pPr>
        <w:pStyle w:val="Corpodetexto"/>
        <w:spacing w:before="0"/>
        <w:ind w:left="708" w:right="14"/>
        <w:jc w:val="both"/>
        <w:rPr>
          <w:rFonts w:eastAsiaTheme="majorEastAsia" w:cs="Times New Roman"/>
          <w:color w:val="000000" w:themeColor="text1"/>
          <w:spacing w:val="-2"/>
          <w:sz w:val="22"/>
          <w:szCs w:val="22"/>
          <w:lang w:val="pt-BR"/>
        </w:rPr>
      </w:pPr>
      <w:r>
        <w:rPr>
          <w:rFonts w:eastAsiaTheme="majorEastAsia" w:cs="Times New Roman"/>
          <w:color w:val="000000" w:themeColor="text1"/>
          <w:spacing w:val="-2"/>
          <w:sz w:val="22"/>
          <w:szCs w:val="22"/>
          <w:lang w:val="pt-BR"/>
        </w:rPr>
        <w:t>Daniela Barreiro Claro</w:t>
      </w:r>
      <w:r w:rsidRPr="00E91D70">
        <w:rPr>
          <w:rStyle w:val="Refdenotaderodap"/>
        </w:rPr>
        <w:footnoteReference w:id="4"/>
      </w:r>
      <w:r>
        <w:rPr>
          <w:rFonts w:eastAsiaTheme="majorEastAsia" w:cs="Times New Roman"/>
          <w:color w:val="000000" w:themeColor="text1"/>
          <w:spacing w:val="-2"/>
          <w:sz w:val="22"/>
          <w:szCs w:val="22"/>
          <w:lang w:val="pt-BR"/>
        </w:rPr>
        <w:tab/>
      </w:r>
      <w:r>
        <w:rPr>
          <w:rFonts w:eastAsiaTheme="majorEastAsia" w:cs="Times New Roman"/>
          <w:color w:val="000000" w:themeColor="text1"/>
          <w:spacing w:val="-2"/>
          <w:sz w:val="22"/>
          <w:szCs w:val="22"/>
          <w:lang w:val="pt-BR"/>
        </w:rPr>
        <w:tab/>
        <w:t>Antônio Sérgio Araújo Fernandes</w:t>
      </w:r>
      <w:r w:rsidRPr="00E91D70">
        <w:rPr>
          <w:rStyle w:val="Refdenotaderodap"/>
        </w:rPr>
        <w:footnoteReference w:id="5"/>
      </w:r>
      <w:r>
        <w:rPr>
          <w:rFonts w:eastAsiaTheme="majorEastAsia" w:cs="Times New Roman"/>
          <w:color w:val="000000" w:themeColor="text1"/>
          <w:spacing w:val="-2"/>
          <w:sz w:val="22"/>
          <w:szCs w:val="22"/>
          <w:lang w:val="pt-BR"/>
        </w:rPr>
        <w:t xml:space="preserve"> </w:t>
      </w:r>
      <w:r>
        <w:rPr>
          <w:rFonts w:eastAsiaTheme="majorEastAsia" w:cs="Times New Roman"/>
          <w:color w:val="000000" w:themeColor="text1"/>
          <w:spacing w:val="-2"/>
          <w:sz w:val="22"/>
          <w:szCs w:val="22"/>
          <w:lang w:val="pt-BR"/>
        </w:rPr>
        <w:tab/>
        <w:t>Rodrigo Ladeira</w:t>
      </w:r>
      <w:r w:rsidRPr="00E91D70">
        <w:rPr>
          <w:rStyle w:val="Refdenotaderodap"/>
        </w:rPr>
        <w:footnoteReference w:id="6"/>
      </w:r>
    </w:p>
    <w:p w14:paraId="28CDD4BA" w14:textId="77777777" w:rsidR="00EC2EF2" w:rsidRPr="00130595" w:rsidRDefault="00CB0AF5" w:rsidP="00130595">
      <w:pPr>
        <w:pStyle w:val="Ttulo1"/>
        <w:ind w:left="360" w:hanging="360"/>
      </w:pPr>
      <w:r w:rsidRPr="00130595">
        <w:t xml:space="preserve">Abstract </w:t>
      </w:r>
    </w:p>
    <w:p w14:paraId="018200C4" w14:textId="41F70B16" w:rsidR="004B3702" w:rsidRPr="004B3702" w:rsidRDefault="004B3702" w:rsidP="004B3702">
      <w:pPr>
        <w:pStyle w:val="text-base"/>
        <w:spacing w:before="0" w:after="0"/>
        <w:jc w:val="both"/>
        <w:rPr>
          <w:color w:val="77206D" w:themeColor="accent5" w:themeShade="BF"/>
          <w:lang w:val="en-US"/>
        </w:rPr>
      </w:pPr>
      <w:r w:rsidRPr="004B3702">
        <w:rPr>
          <w:color w:val="77206D" w:themeColor="accent5" w:themeShade="BF"/>
          <w:lang w:val="en-US"/>
        </w:rPr>
        <w:t xml:space="preserve">Decentralized medicine stock networks in the Brazilian Unified Health System face compounding pressures from demand volatility and supply fragility, yet systematic comparisons between hybrid artificial intelligence architectures and classical inventory controls under such conditions remain scarce. We evaluate one such architecture across four stress-tested demand regimes and two decision horizons, using paired Monte Carlo replications with common random numbers, Wilcoxon signed-rank tests with Holm correction, and bootstrap confidence intervals (B = 1,000 resamples). Statistical power is limited (≈45% for medium effects), a constraint inherent to the exploratory design that favors </w:t>
      </w:r>
      <w:r w:rsidR="00173991">
        <w:rPr>
          <w:color w:val="77206D" w:themeColor="accent5" w:themeShade="BF"/>
          <w:lang w:val="en-US"/>
        </w:rPr>
        <w:t xml:space="preserve">the </w:t>
      </w:r>
      <w:r w:rsidRPr="004B3702">
        <w:rPr>
          <w:color w:val="77206D" w:themeColor="accent5" w:themeShade="BF"/>
          <w:lang w:val="en-US"/>
        </w:rPr>
        <w:t>detection of large regime-level differences rather than moderate ones. The results follow a regime-dependent pattern. Under nominal demand, the hybrid policy reduces total cost relative to tuned classical baselines; under High Volatility, performance converges with those baselines; under Supply Disruption</w:t>
      </w:r>
      <w:r>
        <w:rPr>
          <w:color w:val="77206D" w:themeColor="accent5" w:themeShade="BF"/>
          <w:lang w:val="en-US"/>
        </w:rPr>
        <w:t xml:space="preserve">, </w:t>
      </w:r>
      <w:r w:rsidRPr="004B3702">
        <w:rPr>
          <w:color w:val="77206D" w:themeColor="accent5" w:themeShade="BF"/>
          <w:lang w:val="en-US"/>
        </w:rPr>
        <w:t>when the policy is trained and evaluated without explicit safety constraints</w:t>
      </w:r>
      <w:r>
        <w:rPr>
          <w:color w:val="77206D" w:themeColor="accent5" w:themeShade="BF"/>
          <w:lang w:val="en-US"/>
        </w:rPr>
        <w:t xml:space="preserve">, </w:t>
      </w:r>
      <w:r w:rsidRPr="004B3702">
        <w:rPr>
          <w:color w:val="77206D" w:themeColor="accent5" w:themeShade="BF"/>
          <w:lang w:val="en-US"/>
        </w:rPr>
        <w:t>fill rates approach zero</w:t>
      </w:r>
      <w:r w:rsidR="00173991">
        <w:rPr>
          <w:color w:val="77206D" w:themeColor="accent5" w:themeShade="BF"/>
          <w:lang w:val="en-US"/>
        </w:rPr>
        <w:t>,</w:t>
      </w:r>
      <w:r w:rsidRPr="004B3702">
        <w:rPr>
          <w:color w:val="77206D" w:themeColor="accent5" w:themeShade="BF"/>
          <w:lang w:val="en-US"/>
        </w:rPr>
        <w:t xml:space="preserve"> and total costs rise sharply. Cost reductions observed under stable conditions do not offset the risk of operational failure during supply interruptions. Deployment of hybrid AI architectures in the SUS should therefore incorporate service-level floors and fallback rules as explicit safety mechanisms prior to any live implementation.</w:t>
      </w:r>
      <w:r w:rsidR="003C040A" w:rsidRPr="004B3702">
        <w:rPr>
          <w:color w:val="77206D" w:themeColor="accent5" w:themeShade="BF"/>
          <w:lang w:val="en-US"/>
        </w:rPr>
        <w:t xml:space="preserve"> </w:t>
      </w:r>
    </w:p>
    <w:p w14:paraId="2AFC8AAD" w14:textId="6FED667F" w:rsidR="00CB0AF5" w:rsidRPr="00A6073E" w:rsidRDefault="00CB0AF5" w:rsidP="00016824">
      <w:pPr>
        <w:pStyle w:val="Ttulo1"/>
        <w:numPr>
          <w:ilvl w:val="0"/>
          <w:numId w:val="32"/>
        </w:numPr>
      </w:pPr>
      <w:r w:rsidRPr="00A6073E">
        <w:t>Introduction</w:t>
      </w:r>
    </w:p>
    <w:p w14:paraId="7E9921C1" w14:textId="25CAD899" w:rsidR="00687BC8" w:rsidRPr="0004547D" w:rsidRDefault="00A93345" w:rsidP="00D7283E">
      <w:pPr>
        <w:pStyle w:val="text-base"/>
        <w:spacing w:before="0" w:after="0"/>
        <w:jc w:val="both"/>
        <w:rPr>
          <w:color w:val="000000" w:themeColor="text1"/>
          <w:lang w:val="en-US"/>
        </w:rPr>
      </w:pPr>
      <w:r w:rsidRPr="00A93345">
        <w:rPr>
          <w:color w:val="D86DCB" w:themeColor="accent5" w:themeTint="99"/>
          <w:lang w:val="en-US"/>
        </w:rPr>
        <w:t xml:space="preserve">Public health supply chains operate under persistent structural pressure. Service obligations are stringent, stockouts have immediate clinical consequences, and the data available for planning are often sparse. In these low-data settings, managers must balance shortage risk against holding and ordering costs, even though routine dashboards usually cover only 12 to 24 months and therefore permit only limited calibration of forecasting and control parameters </w:t>
      </w:r>
      <w:r w:rsidRPr="00A93345">
        <w:rPr>
          <w:color w:val="D86DCB" w:themeColor="accent5" w:themeTint="99"/>
        </w:rPr>
        <w:fldChar w:fldCharType="begin"/>
      </w:r>
      <w:r w:rsidRPr="00A93345">
        <w:rPr>
          <w:color w:val="D86DCB" w:themeColor="accent5" w:themeTint="99"/>
          <w:lang w:val="en-US"/>
        </w:rPr>
        <w:instrText xml:space="preserve"> ADDIN ZOTERO_ITEM CSL_CITATION {"citationID":"pF7jIMBB","properties":{"formattedCitation":"(Fan et al., 2024; Stranieri et al., 2024; Ye et al., 2022)","plainCitation":"(Fan et al., 2024; Stranieri et al., 2024; Ye et al., 2022)","dontUpdate":true,"noteIndex":0},"citationItems":[{"id":3275,"uris":["http://zotero.org/users/12903205/items/2WEUK6NZ"],"itemData":{"id":3275,"type":"article","abstract":"The rapid advancement of artificial intelligence (AI) techniques has opened up new opportunities to revolutionize various fields, including operations research (OR). This survey paper explores the integration of AI within the OR process (AI4OR) to enhance its effectiveness and efficiency across multiple stages, such as parameter generation, model formulation, and model optimization. By providing a comprehensive overview of the state-of-the-art and examining the potential of AI to transform OR, this paper aims to inspire further research and innovation in the development of AI-enhanced OR methods and tools. The synergy between AI and OR is poised to drive significant advancements and novel solutions in a multitude of domains, ultimately leading to more effective and efficient decision-making.","DOI":"10.48550/ARXIV.2401.03244","license":"arXiv.org perpetual, non-exclusive license","note":"version: 2","publisher":"arXiv","source":"DOI.org (Datacite)","title":"Artificial Intelligence for Operations Research: Revolutionizing the Operations Research Process","title-short":"Artificial Intelligence for Operations Research","URL":"https://arxiv.org/abs/2401.03244","author":[{"family":"Fan","given":"Zhenan"},{"family":"Ghaddar","given":"Bissan"},{"family":"Wang","given":"Xinglu"},{"family":"Xing","given":"Linzi"},{"family":"Zhang","given":"Yong"},{"family":"Zhou","given":"Zirui"}],"accessed":{"date-parts":[["2025",9,14]]},"issued":{"date-parts":[["2024"]]}},"label":"page"},{"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label":"page"},{"id":3507,"uris":["http://zotero.org/users/12903205/items/R3859PQS"],"itemData":{"id":3507,"type":"article-journal","container-title":"European Journal of Operational Research","DOI":"10.1016/j.ejor.2022.02.033","ISSN":"03772217","issue":"1","journalAbbreviation":"European Journal of Operational Research","language":"en","page":"255-272","source":"DOI.org (Crossref)","title":"An empirical Bayes approach to incorporating demand intermittency and irregularity into inventory control","volume":"303","author":[{"family":"Ye","given":"Yuan"},{"family":"Lu","given":"Yonggang"},{"family":"Robinson","given":"Powell"},{"family":"Narayanan","given":"Arunachalam"}],"issued":{"date-parts":[["2022",11]]}},"label":"page"}],"schema":"https://github.com/citation-style-language/schema/raw/master/csl-citation.json"} </w:instrText>
      </w:r>
      <w:r w:rsidRPr="00A93345">
        <w:rPr>
          <w:color w:val="D86DCB" w:themeColor="accent5" w:themeTint="99"/>
        </w:rPr>
        <w:fldChar w:fldCharType="separate"/>
      </w:r>
      <w:r w:rsidRPr="00A93345">
        <w:rPr>
          <w:color w:val="D86DCB" w:themeColor="accent5" w:themeTint="99"/>
          <w:lang w:val="en-US"/>
        </w:rPr>
        <w:t>(Fan et al., 2024; Stranieri et al., 2024; Ye et al., 2022).</w:t>
      </w:r>
      <w:r w:rsidRPr="00A93345">
        <w:rPr>
          <w:color w:val="D86DCB" w:themeColor="accent5" w:themeTint="99"/>
        </w:rPr>
        <w:fldChar w:fldCharType="end"/>
      </w:r>
      <w:r w:rsidRPr="00A93345">
        <w:rPr>
          <w:color w:val="D86DCB" w:themeColor="accent5" w:themeTint="99"/>
          <w:lang w:val="en-US"/>
        </w:rPr>
        <w:t xml:space="preserve"> Classical policies, including base-stock and reactive replenishment rules, remain analytically grounded and operationally interpretable. For machine-learning-based controllers, by contrast, the empirical record </w:t>
      </w:r>
      <w:r w:rsidR="00B80099">
        <w:rPr>
          <w:color w:val="D86DCB" w:themeColor="accent5" w:themeTint="99"/>
          <w:lang w:val="en-US"/>
        </w:rPr>
        <w:t>remains limited, particularly regarding</w:t>
      </w:r>
      <w:r w:rsidRPr="00A93345">
        <w:rPr>
          <w:color w:val="D86DCB" w:themeColor="accent5" w:themeTint="99"/>
          <w:lang w:val="en-US"/>
        </w:rPr>
        <w:t xml:space="preserve"> whether their use justifies the added demands of training, monitoring, and governance</w:t>
      </w:r>
      <w:r w:rsidR="008B31E2" w:rsidRPr="00A93345">
        <w:rPr>
          <w:color w:val="D86DCB" w:themeColor="accent5" w:themeTint="99"/>
          <w:lang w:val="en-US"/>
        </w:rPr>
        <w:t xml:space="preserve"> </w:t>
      </w:r>
      <w:r w:rsidR="008B31E2" w:rsidRPr="00A93345">
        <w:rPr>
          <w:color w:val="D86DCB" w:themeColor="accent5" w:themeTint="99"/>
        </w:rPr>
        <w:fldChar w:fldCharType="begin"/>
      </w:r>
      <w:r w:rsidR="00545BF6" w:rsidRPr="00A93345">
        <w:rPr>
          <w:color w:val="D86DCB" w:themeColor="accent5" w:themeTint="99"/>
          <w:lang w:val="en-US"/>
        </w:rPr>
        <w:instrText xml:space="preserve"> ADDIN ZOTERO_ITEM CSL_CITATION {"citationID":"1RND75vE","properties":{"formattedCitation":"(Batsis and Samothrakis, 2024)","plainCitation":"(Batsis and Samothrakis, 2024)","dontUpdate":true,"noteIndex":0},"citationItems":[{"id":3539,"uris":["http://zotero.org/users/12903205/items/Q45RT23U"],"itemData":{"id":3539,"type":"article-journal","container-title":"Expert Systems with Applications","DOI":"10.1016/j.eswa.2024.123541","ISSN":"09574174","journalAbbreviation":"Expert Systems with Applications","language":"en","page":"123541","source":"DOI.org (Crossref)","title":"Contextual reinforcement learning for supply chain management","volume":"249","author":[{"family":"Batsis","given":"Alex"},{"family":"Samothrakis","given":"Spyridon"}],"issued":{"date-parts":[["2024",9]]}}}],"schema":"https://github.com/citation-style-language/schema/raw/master/csl-citation.json"} </w:instrText>
      </w:r>
      <w:r w:rsidR="008B31E2" w:rsidRPr="00A93345">
        <w:rPr>
          <w:color w:val="D86DCB" w:themeColor="accent5" w:themeTint="99"/>
        </w:rPr>
        <w:fldChar w:fldCharType="separate"/>
      </w:r>
      <w:r w:rsidR="008B31E2" w:rsidRPr="00A93345">
        <w:rPr>
          <w:color w:val="D86DCB" w:themeColor="accent5" w:themeTint="99"/>
          <w:lang w:val="en-US"/>
        </w:rPr>
        <w:t>(Batsis and Samothrakis, 2024).</w:t>
      </w:r>
      <w:r w:rsidR="008B31E2" w:rsidRPr="00A93345">
        <w:rPr>
          <w:color w:val="D86DCB" w:themeColor="accent5" w:themeTint="99"/>
        </w:rPr>
        <w:fldChar w:fldCharType="end"/>
      </w:r>
      <w:r w:rsidR="008B31E2" w:rsidRPr="00A93345">
        <w:rPr>
          <w:color w:val="D86DCB" w:themeColor="accent5" w:themeTint="99"/>
          <w:lang w:val="en-US"/>
        </w:rPr>
        <w:t xml:space="preserve"> </w:t>
      </w:r>
      <w:r w:rsidR="00687BC8" w:rsidRPr="00687BC8">
        <w:rPr>
          <w:color w:val="000000" w:themeColor="text1"/>
          <w:lang w:val="en-US"/>
        </w:rPr>
        <w:t>Against this background, the present study takes an exploratory approach focused on performance regimes and failure modes.</w:t>
      </w:r>
    </w:p>
    <w:p w14:paraId="78EBB235" w14:textId="73EEA1C4" w:rsidR="008F641F" w:rsidRPr="0004547D" w:rsidRDefault="008F641F" w:rsidP="00017411">
      <w:pPr>
        <w:pStyle w:val="text-base"/>
        <w:spacing w:before="0" w:after="0"/>
        <w:jc w:val="both"/>
        <w:rPr>
          <w:color w:val="000000" w:themeColor="text1"/>
          <w:lang w:val="en-US"/>
        </w:rPr>
      </w:pPr>
      <w:r w:rsidRPr="0004547D">
        <w:rPr>
          <w:lang w:val="en-US"/>
        </w:rPr>
        <w:t>The Unified Health System (SUS) of Brazil was used as a case study for the research due to its decentralized care network, which covers 5,570 municipalities and serves about 215 million people. Under these conditions, the erratic demand for medicines tends to cause shortages and surpluses within the same planning cycle. The central issue is not just the forecast. Managers are required to adopt a rule that allows them to choose between classic inventory control and learning-based control when data is scarce, and service obligations are non-negotiable. We examined this choice in the context of the SUS through decision thresholds (DTs).</w:t>
      </w:r>
    </w:p>
    <w:p w14:paraId="36B5D20F" w14:textId="77C6ABCF" w:rsidR="008F641F" w:rsidRPr="0004547D" w:rsidRDefault="008F641F" w:rsidP="00067F3C">
      <w:pPr>
        <w:pStyle w:val="text-base"/>
        <w:spacing w:before="0" w:after="0"/>
        <w:jc w:val="both"/>
        <w:rPr>
          <w:lang w:val="en-US"/>
        </w:rPr>
      </w:pPr>
      <w:r w:rsidRPr="0004547D">
        <w:rPr>
          <w:lang w:val="en-US"/>
        </w:rPr>
        <w:t xml:space="preserve">The same evaluation logic can be applied to other environments with limited resources, not only in the health sector. In this context, in addition to pharmaceutical distribution, spaces that require local calibration can be considered, reflecting deadline profiles, regulatory limits and service mandates, as is the case with automotive spare parts and humanitarian logistics. The validity of the applicability of the findings is therefore not based on the circumstances inherent to each organizational space, but on problems common to all, such as </w:t>
      </w:r>
      <w:r w:rsidR="00BF4BF7" w:rsidRPr="0004547D">
        <w:rPr>
          <w:lang w:val="en-US"/>
        </w:rPr>
        <w:t>demand volatility, order volume variability</w:t>
      </w:r>
      <w:r w:rsidRPr="0004547D">
        <w:rPr>
          <w:lang w:val="en-US"/>
        </w:rPr>
        <w:t xml:space="preserve"> and the cost of scarcity.</w:t>
      </w:r>
    </w:p>
    <w:p w14:paraId="15498CB5" w14:textId="68521D00" w:rsidR="00BF4BF7" w:rsidRPr="0004547D" w:rsidRDefault="00BF4BF7" w:rsidP="00BF4BF7">
      <w:pPr>
        <w:pStyle w:val="text-base"/>
        <w:spacing w:before="0" w:after="0"/>
        <w:jc w:val="both"/>
        <w:rPr>
          <w:color w:val="000000" w:themeColor="text1"/>
          <w:lang w:val="en-US"/>
        </w:rPr>
      </w:pPr>
      <w:r w:rsidRPr="0004547D">
        <w:rPr>
          <w:color w:val="000000" w:themeColor="text1"/>
          <w:lang w:val="en-US"/>
        </w:rPr>
        <w:t xml:space="preserve">The production economics literature has a tradition of applying Markov decision processes, </w:t>
      </w:r>
      <w:r w:rsidRPr="0004547D">
        <w:rPr>
          <w:lang w:val="en-US"/>
        </w:rPr>
        <w:t xml:space="preserve">Reinforcement Learning (RL), </w:t>
      </w:r>
      <w:r w:rsidRPr="0004547D">
        <w:rPr>
          <w:color w:val="000000" w:themeColor="text1"/>
          <w:lang w:val="en-US"/>
        </w:rPr>
        <w:t xml:space="preserve">and stochastic optimization to design inventory policies and supply chain control rules under uncertainty </w:t>
      </w:r>
      <w:r w:rsidRPr="0004547D">
        <w:rPr>
          <w:color w:val="000000" w:themeColor="text1"/>
        </w:rPr>
        <w:fldChar w:fldCharType="begin"/>
      </w:r>
      <w:r w:rsidR="00545BF6">
        <w:rPr>
          <w:color w:val="000000" w:themeColor="text1"/>
          <w:lang w:val="en-US"/>
        </w:rPr>
        <w:instrText xml:space="preserve"> ADDIN ZOTERO_ITEM CSL_CITATION {"citationID":"gni0KEjZ","properties":{"formattedCitation":"(Stranieri et al., 2024)","plainCitation":"(Stranieri et al., 2024)","dontUpdate":true,"noteIndex":0},"citationItems":[{"id":3483,"uris":["http://zotero.org/users/12903205/items/EGMTTSVU"],"itemData":{"id":3483,"type":"article-journal","container-title":"International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schema":"https://github.com/citation-style-language/schema/raw/master/csl-citation.json"} </w:instrText>
      </w:r>
      <w:r w:rsidRPr="0004547D">
        <w:rPr>
          <w:color w:val="000000" w:themeColor="text1"/>
        </w:rPr>
        <w:fldChar w:fldCharType="separate"/>
      </w:r>
      <w:r w:rsidRPr="0004547D">
        <w:rPr>
          <w:lang w:val="en-US"/>
        </w:rPr>
        <w:t xml:space="preserve">(Stranieri et al., </w:t>
      </w:r>
      <w:r w:rsidRPr="0004547D">
        <w:rPr>
          <w:lang w:val="en-US"/>
        </w:rPr>
        <w:lastRenderedPageBreak/>
        <w:t>2024).</w:t>
      </w:r>
      <w:r w:rsidRPr="0004547D">
        <w:rPr>
          <w:color w:val="000000" w:themeColor="text1"/>
        </w:rPr>
        <w:fldChar w:fldCharType="end"/>
      </w:r>
      <w:r w:rsidRPr="0004547D">
        <w:rPr>
          <w:color w:val="000000" w:themeColor="text1"/>
          <w:lang w:val="en-US"/>
        </w:rPr>
        <w:t xml:space="preserve"> Hybrid Monte Carlo analysis and stress testing architectures are increasingly used to analyze cost-resilience trade-offs in multi-echelon supply chains and network design </w:t>
      </w:r>
      <w:r w:rsidRPr="0004547D">
        <w:rPr>
          <w:color w:val="000000" w:themeColor="text1"/>
        </w:rPr>
        <w:fldChar w:fldCharType="begin"/>
      </w:r>
      <w:r w:rsidR="00545BF6">
        <w:rPr>
          <w:color w:val="000000" w:themeColor="text1"/>
          <w:lang w:val="en-US"/>
        </w:rPr>
        <w:instrText xml:space="preserve"> ADDIN ZOTERO_ITEM CSL_CITATION {"citationID":"U6mdjsS0","properties":{"formattedCitation":"(Aldrighetti et al., 2023; Rolf et al., 2023)","plainCitation":"(Aldrighetti et al., 2023; Rolf et al., 2023)","dontUpdate":true,"noteIndex":0},"citationItems":[{"id":3545,"uris":["http://zotero.org/users/12903205/items/T2CK3TRS"],"itemData":{"id":3545,"type":"article-journal","container-title":"Omega","DOI":"10.1016/j.omega.2023.102841","ISSN":"03050483","journalAbbreviation":"Omega","language":"en","page":"102841","source":"DOI.org (Crossref)","title":"Efficient resilience portfolio design in the supply chain with consideration of preparedness and recovery investments","volume":"117","author":[{"family":"Aldrighetti","given":"Riccardo"},{"family":"Battini","given":"Daria"},{"family":"Ivanov","given":"Dmitry"}],"issued":{"date-parts":[["2023",6]]}},"label":"page"},{"id":3189,"uris":["http://zotero.org/users/12903205/items/T4A3KHNY"],"itemData":{"id":3189,"type":"article-journal","container-title":"International Journal of Production Research","DOI":"10.1080/00207543.2022.2140221","ISSN":"0020-7543, 1366-588X","issue":"20","journalAbbreviation":"International Journal of Production Research","language":"en","page":"7151-7179","source":"DOI.org (Crossref)","title":"A review on reinforcement learning algorithms and applications in supply chain management","volume":"61","author":[{"family":"Rolf","given":"Benjamin"},{"family":"Jackson","given":"Ilya"},{"family":"Müller","given":"Marcel"},{"family":"Lang","given":"Sebastian"},{"family":"Reggelin","given":"Tobias"},{"family":"Ivanov","given":"Dmitry"}],"issued":{"date-parts":[["2023",10,18]]}},"label":"page"}],"schema":"https://github.com/citation-style-language/schema/raw/master/csl-citation.json"} </w:instrText>
      </w:r>
      <w:r w:rsidRPr="0004547D">
        <w:rPr>
          <w:color w:val="000000" w:themeColor="text1"/>
        </w:rPr>
        <w:fldChar w:fldCharType="separate"/>
      </w:r>
      <w:r w:rsidRPr="0004547D">
        <w:rPr>
          <w:lang w:val="en-US"/>
        </w:rPr>
        <w:t>(Aldrighetti et al., 2023; Rolf et al., 2023).</w:t>
      </w:r>
      <w:r w:rsidRPr="0004547D">
        <w:rPr>
          <w:color w:val="000000" w:themeColor="text1"/>
        </w:rPr>
        <w:fldChar w:fldCharType="end"/>
      </w:r>
      <w:r w:rsidRPr="0004547D">
        <w:rPr>
          <w:color w:val="000000" w:themeColor="text1"/>
          <w:lang w:val="en-US"/>
        </w:rPr>
        <w:t xml:space="preserve"> </w:t>
      </w:r>
    </w:p>
    <w:p w14:paraId="0F1F8FF0" w14:textId="182C252C" w:rsidR="00BF4BF7" w:rsidRPr="0004547D" w:rsidRDefault="00BF4BF7" w:rsidP="00C14618">
      <w:pPr>
        <w:pStyle w:val="text-base"/>
        <w:spacing w:before="0" w:after="0"/>
        <w:jc w:val="both"/>
        <w:rPr>
          <w:lang w:val="en-US"/>
        </w:rPr>
      </w:pPr>
      <w:r w:rsidRPr="0004547D">
        <w:rPr>
          <w:lang w:val="en-US"/>
        </w:rPr>
        <w:t xml:space="preserve">In logistics, Artificial Intelligence (AI) has been used to improve forecasting, replenishment control, and inventory distribution planning </w:t>
      </w:r>
      <w:r w:rsidRPr="0004547D">
        <w:fldChar w:fldCharType="begin"/>
      </w:r>
      <w:r w:rsidR="00545BF6">
        <w:rPr>
          <w:lang w:val="en-US"/>
        </w:rPr>
        <w:instrText xml:space="preserve"> ADDIN ZOTERO_ITEM CSL_CITATION {"citationID":"uNYlwi4P","properties":{"formattedCitation":"(Cannas et al., 2024; Helo and Hao, 2022)","plainCitation":"(Cannas et al., 2024; Helo and Hao, 2022)","dontUpdate":true,"noteIndex":0},"citationItems":[{"id":3416,"uris":["http://zotero.org/users/12903205/items/53QALC7V"],"itemData":{"id":3416,"type":"article-journal","container-title":"International Journal of Production Research","DOI":"10.1080/00207543.2023.2232050","ISSN":"0020-7543, 1366-588X","issue":"9","page":"3333–3360","title":"Artificial intelligence in supply chain and operations management: a multiple case study research","volume":"62","author":[{"family":"Cannas","given":"Violetta Giada"},{"family":"Ciano","given":"Maria Pia"},{"family":"Saltalamacchia","given":"Mattia"},{"family":"Secchi","given":"Raffaele"}],"issued":{"date-parts":[["2024",5,2]]}},"label":"page"},{"id":3417,"uris":["http://zotero.org/users/12903205/items/8Z4ZERPR"],"itemData":{"id":3417,"type":"article-journal","container-title":"Production Planning &amp; Control","DOI":"10.1080/09537287.2021.1882690","ISSN":"0953-7287, 1366-5871","issue":"16","page":"1573–1590","title":"Artificial intelligence in operations management and supply chain management: an exploratory case study","volume":"33","author":[{"family":"Helo","given":"Petri"},{"family":"Hao","given":"Yuqiuge"}],"issued":{"date-parts":[["2022",12,10]]}},"label":"page"}],"schema":"https://github.com/citation-style-language/schema/raw/master/csl-citation.json"} </w:instrText>
      </w:r>
      <w:r w:rsidRPr="0004547D">
        <w:fldChar w:fldCharType="separate"/>
      </w:r>
      <w:r w:rsidRPr="0004547D">
        <w:rPr>
          <w:lang w:val="en-US"/>
        </w:rPr>
        <w:t>(Cannas et al., 2024; Helo and Hao, 2022).</w:t>
      </w:r>
      <w:r w:rsidRPr="0004547D">
        <w:fldChar w:fldCharType="end"/>
      </w:r>
      <w:r w:rsidRPr="0004547D">
        <w:rPr>
          <w:lang w:val="en-US"/>
        </w:rPr>
        <w:t xml:space="preserve"> From an operational management perspective, it is expected that the use of technological instruments will integrate policies with structural inventory control or mathematical programming to address combinatorial actions and constraints </w:t>
      </w:r>
      <w:r w:rsidRPr="0004547D">
        <w:fldChar w:fldCharType="begin"/>
      </w:r>
      <w:r w:rsidR="00545BF6">
        <w:rPr>
          <w:lang w:val="en-US"/>
        </w:rPr>
        <w:instrText xml:space="preserve"> ADDIN ZOTERO_ITEM CSL_CITATION {"citationID":"TKSoEBc7","properties":{"formattedCitation":"(Harsha et al., 2025; Temiz\\uc0\\u246{}z et al., 2025)","plainCitation":"(Harsha et al., 2025; Temizöz et al., 2025)","dontUpdate":true,"noteIndex":0},"citationItems":[{"id":3429,"uris":["http://zotero.org/users/12903205/items/2MYMBLJ3"],"itemData":{"id":3429,"type":"article-journal","container-title":"Manufacturing &amp; Service Operations Management","DOI":"10.1287/msom.2022.0617","ISSN":"1523-4614, 1526-5498","issue":"2","page":"369–388","title":"Deep Policy Iteration with Integer Programming for Inventory Management","volume":"27","author":[{"family":"Harsha","given":"Pavithra"},{"family":"Jagmohan","given":"Ashish"},{"family":"Kalagnanam","given":"Jayant"},{"family":"Quanz","given":"Brian"},{"family":"Singhvi","given":"Divya"}],"issued":{"date-parts":[["2025",3]]}},"label":"page"},{"id":3358,"uris":["http://zotero.org/users/12903205/items/RUWAPBI4"],"itemData":{"id":3358,"type":"article-journal","container-title":"European Journal of Operational Research","DOI":"10.1016/j.ejor.2025.01.026","ISSN":"03772217","issue":"1","journalAbbreviation":"European Journal of Operational Research","language":"en","page":"104-117","source":"DOI.org (Crossref)","title":"Deep Controlled Learning for Inventory Control","volume":"324","author":[{"family":"Temizöz","given":"Tarkan"},{"family":"Imdahl","given":"Christina"},{"family":"Dijkman","given":"Remco"},{"family":"Lamghari-Idrissi","given":"Douniel"},{"family":"Van Jaarsveld","given":"Willem"}],"issued":{"date-parts":[["2025",7]]}},"label":"page"}],"schema":"https://github.com/citation-style-language/schema/raw/master/csl-citation.json"} </w:instrText>
      </w:r>
      <w:r w:rsidRPr="0004547D">
        <w:fldChar w:fldCharType="separate"/>
      </w:r>
      <w:r w:rsidRPr="0004547D">
        <w:rPr>
          <w:lang w:val="en-US"/>
        </w:rPr>
        <w:t>(Harsha et al., 2025; Temizöz et al., 2025).</w:t>
      </w:r>
      <w:r w:rsidRPr="0004547D">
        <w:fldChar w:fldCharType="end"/>
      </w:r>
      <w:r w:rsidRPr="0004547D">
        <w:rPr>
          <w:lang w:val="en-US"/>
        </w:rPr>
        <w:t xml:space="preserve"> An example in decentralized networks is the use of RL and graph-aware multi-agent methods to parameterize inventory-heuristic rules rather than enumerating discrete actions </w:t>
      </w:r>
      <w:r w:rsidRPr="0004547D">
        <w:fldChar w:fldCharType="begin"/>
      </w:r>
      <w:r w:rsidR="00545BF6">
        <w:rPr>
          <w:lang w:val="en-US"/>
        </w:rPr>
        <w:instrText xml:space="preserve"> ADDIN ZOTERO_ITEM CSL_CITATION {"citationID":"djQoFMue","properties":{"custom":"(Kotecha and Chanona, 2025)","formattedCitation":"(Kotecha and Chanona, 2025)","plainCitation":"(Kotecha and Chanona, 2025)","dontUpdate":true,"noteIndex":0},"citationItems":[{"id":3520,"uris":["http://zotero.org/users/12903205/items/WPFSHKDR"],"itemData":{"id":3520,"type":"article-journal","container-title":"Computers &amp; Chemical Engineering","DOI":"10.1016/j.compchemeng.2025.109111","ISSN":"00981354","journalAbbreviation":"Computers &amp; Chemical Engineering","language":"en","page":"109111","source":"DOI.org (Crossref)","title":"Leveraging graph neural networks and multi-agent reinforcement learning for inventory control in supply chains","volume":"199","author":[{"family":"Kotecha","given":"Niki"},{"family":"Del Rio Chanona","given":"Antonio"}],"issued":{"date-parts":[["2025",8]]}}}],"schema":"https://github.com/citation-style-language/schema/raw/master/csl-citation.json"} </w:instrText>
      </w:r>
      <w:r w:rsidRPr="0004547D">
        <w:fldChar w:fldCharType="separate"/>
      </w:r>
      <w:r w:rsidRPr="0004547D">
        <w:rPr>
          <w:lang w:val="en-US"/>
        </w:rPr>
        <w:t>(Kotecha and Chanona, 2025).</w:t>
      </w:r>
      <w:r w:rsidRPr="0004547D">
        <w:fldChar w:fldCharType="end"/>
      </w:r>
      <w:r w:rsidRPr="0004547D">
        <w:rPr>
          <w:lang w:val="en-US"/>
        </w:rPr>
        <w:t xml:space="preserve"> </w:t>
      </w:r>
    </w:p>
    <w:p w14:paraId="09A653AE" w14:textId="395F4011" w:rsidR="00BF4BF7" w:rsidRPr="007C51DF" w:rsidRDefault="00BF4BF7" w:rsidP="00216514">
      <w:pPr>
        <w:pStyle w:val="text-base"/>
        <w:spacing w:before="0" w:after="0"/>
        <w:jc w:val="both"/>
        <w:rPr>
          <w:color w:val="000000" w:themeColor="text1"/>
          <w:lang w:val="en-US"/>
        </w:rPr>
      </w:pPr>
      <w:r w:rsidRPr="0004547D">
        <w:rPr>
          <w:lang w:val="en-US"/>
        </w:rPr>
        <w:t>However, research on AI in Supply Chain Management (SCM) tends to overestimate the advantages of AI for organizations (Harsha et al., 2025; Stranieri et al., 2024), without comparing it with basic policies (e.g., fixed points of reordering and manual inventory controls)</w:t>
      </w:r>
      <w:r w:rsidR="00B36A53">
        <w:rPr>
          <w:lang w:val="en-US"/>
        </w:rPr>
        <w:t xml:space="preserve"> </w:t>
      </w:r>
      <w:r w:rsidRPr="0004547D">
        <w:fldChar w:fldCharType="begin"/>
      </w:r>
      <w:r w:rsidRPr="0004547D">
        <w:rPr>
          <w:lang w:val="en-US"/>
        </w:rPr>
        <w:instrText xml:space="preserve"> ADDIN ZOTERO_ITEM CSL_CITATION {"citationID":"P47jKj3H","properties":{"formattedCitation":"(Chen et al., 2025)","plainCitation":"(Chen et al., 2025)","noteIndex":0},"citationItems":[{"id":3538,"uris":["http://zotero.org/users/12903205/items/KZKZ3RV8"],"itemData":{"id":3538,"type":"article-journal","abstract":"SYNOPSIS\n            A limited understanding of artificial intelligence (AI) behavior leads to the gap between academic research on developing inventory management models and practical applications. In this study, we employ reinforcement learning (RL)—a branch of AI that focuses on learning optimal actions through trial and error within an environment—to develop an artifact for inventory decision-making. Through a laboratory experiment involving supply chain professionals and a field experiment, our RL-based artifact demonstrates superior capability in reducing inventory costs under stable conditions, while exhibiting limitations in volatile ones. Practitioner interviews reveal both support and concerns about the artifact, offering insights into enhancing managerial adoption of RL-driven technologies. Whereas these findings are specific to the inventory application, the lessons learned can apply to other judgment and decision-making contexts. Overall, our findings underscore the potential of AI in improving management quality and provide new insights into the alignment between emerging technologies and management practices.\n            Data Availability: Data are available from the authors upon request.\n            JEL Classifications: C52; D25; M11; M41.","container-title":"Accounting Horizons","DOI":"10.2308/HORIZONS-2024-121","ISSN":"0888-7993, 1558-7975","language":"en","page":"1-18","source":"DOI.org (Crossref)","title":"Improving Inventory Management Quality with Reinforcement Learning: AI versus Human Decision-Making","title-short":"Improving Inventory Management Quality with Reinforcement Learning","author":[{"family":"Chen","given":"Yasheng"},{"family":"Xu","given":"Xin"},{"family":"Zhang","given":"Joseph H."}],"issued":{"date-parts":[["2025",11,1]]}}}],"schema":"https://github.com/citation-style-language/schema/raw/master/csl-citation.json"} </w:instrText>
      </w:r>
      <w:r w:rsidRPr="0004547D">
        <w:fldChar w:fldCharType="separate"/>
      </w:r>
      <w:r w:rsidR="00545BF6" w:rsidRPr="00545BF6">
        <w:rPr>
          <w:lang w:val="en-US"/>
        </w:rPr>
        <w:t>(Chen et al., 2025)</w:t>
      </w:r>
      <w:r w:rsidRPr="0004547D">
        <w:fldChar w:fldCharType="end"/>
      </w:r>
      <w:r w:rsidRPr="0004547D">
        <w:rPr>
          <w:lang w:val="en-US"/>
        </w:rPr>
        <w:t xml:space="preserve"> There is a lack of literature comparing AI (e.g., machine learning) strategies with classical Operations Research (OR) methods under the same conditions </w:t>
      </w:r>
      <w:r w:rsidRPr="0004547D">
        <w:rPr>
          <w:lang w:val="en-US"/>
        </w:rPr>
        <w:fldChar w:fldCharType="begin"/>
      </w:r>
      <w:r w:rsidRPr="0004547D">
        <w:rPr>
          <w:lang w:val="en-US"/>
        </w:rPr>
        <w:instrText xml:space="preserve"> ADDIN ZOTERO_ITEM CSL_CITATION {"citationID":"4tGziNrf","properties":{"formattedCitation":"(Fan et al., 2024; Iftikhar et al., 2024; Maharjan and Kato, 2022)","plainCitation":"(Fan et al., 2024; Iftikhar et al., 2024; Maharjan and Kato, 2022)","noteIndex":0},"citationItems":[{"id":3275,"uris":["http://zotero.org/users/12903205/items/2WEUK6NZ"],"itemData":{"id":3275,"type":"article","abstract":"The rapid advancement of artificial intelligence (AI) techniques has opened up new opportunities to revolutionize various fields, including operations research (OR). This survey paper explores the integration of AI within the OR process (AI4OR) to enhance its effectiveness and efficiency across multiple stages, such as parameter generation, model formulation, and model optimization. By providing a comprehensive overview of the state-of-the-art and examining the potential of AI to transform OR, this paper aims to inspire further research and innovation in the development of AI-enhanced OR methods and tools. The synergy between AI and OR is poised to drive significant advancements and novel solutions in a multitude of domains, ultimately leading to more effective and efficient decision-making.","DOI":"10.48550/ARXIV.2401.03244","license":"arXiv.org perpetual, non-exclusive license","note":"version: 2","publisher":"arXiv","source":"DOI.org (Datacite)","title":"Artificial Intelligence for Operations Research: Revolutionizing the Operations Research Process","title-short":"Artificial Intelligence for Operations Research","URL":"https://arxiv.org/abs/2401.03244","author":[{"family":"Fan","given":"Zhenan"},{"family":"Ghaddar","given":"Bissan"},{"family":"Wang","given":"Xinglu"},{"family":"Xing","given":"Linzi"},{"family":"Zhang","given":"Yong"},{"family":"Zhou","given":"Zirui"}],"accessed":{"date-parts":[["2025",9,14]]},"issued":{"date-parts":[["2024"]]}},"label":"page"},{"id":3542,"uris":["http://zotero.org/users/12903205/items/NYW8LQS4"],"itemData":{"id":3542,"type":"article-journal","abstract":"Abstract\n            In recent times, the literature has seen considerable growth in research at the intersection of digital innovation, data analytics, and supply chain resilience. While the number of studies on the topic has been burgeoning, due to the absence of a comprehensive literature review, it remains unclear what aspects of the subject have already been investigated and what are the avenues for impactful future research. Integrating bibliometric analysis with a systematic review approach, this paper offers the review of 262 articles at the nexus of innovative technologies, data analytics, and supply chain resiliency. The analysis uncovers the critical research clusters, the evolution of research over time, knowledge trajectories and methodological development in the area. Our thorough analysis enriches contemporary knowledge on the subject by consolidating the dispersed literature on the significance of innovative technologies, data analytics and supply chain resilience thereby recognizing major research clusters or domains and fruitful paths for future research. The review also helps improve practitioners’ awareness of the recent research on the topic by recapping key findings of a large amount of literature in one place.","container-title":"Annals of Operations Research","DOI":"10.1007/s10479-022-04765-6","ISSN":"0254-5330, 1572-9338","issue":"2-3","journalAbbreviation":"Ann Oper Res","language":"en","page":"825-848","source":"DOI.org (Crossref)","title":"Digital Innovation, Data Analytics, and Supply Chain Resiliency: A Bibliometric-based Systematic Literature Review","title-short":"Digital Innovation, Data Analytics, and Supply Chain Resiliency","volume":"333","author":[{"family":"Iftikhar","given":"Anas"},{"family":"Ali","given":"Imran"},{"family":"Arslan","given":"Ahmad"},{"family":"Tarba","given":"Shlomo"}],"issued":{"date-parts":[["2024",2]]}},"label":"page"},{"id":3546,"uris":["http://zotero.org/users/12903205/items/65Z77BQX"],"itemData":{"id":3546,"type":"article-journal","container-title":"Transport Reviews","DOI":"10.1080/01441647.2022.2080773","ISSN":"0144-1647, 1464-5327","issue":"6","journalAbbreviation":"Transport Reviews","language":"en","page":"739-761","source":"DOI.org (Crossref)","title":"Resilient supply chain network design: a systematic literature review","title-short":"Resilient supply chain network design","volume":"42","author":[{"family":"Maharjan","given":"Rajali"},{"family":"Kato","given":"Hironori"}],"issued":{"date-parts":[["2022",11,2]]}},"label":"page"}],"schema":"https://github.com/citation-style-language/schema/raw/master/csl-citation.json"} </w:instrText>
      </w:r>
      <w:r w:rsidRPr="0004547D">
        <w:rPr>
          <w:lang w:val="en-US"/>
        </w:rPr>
        <w:fldChar w:fldCharType="separate"/>
      </w:r>
      <w:r w:rsidRPr="0004547D">
        <w:rPr>
          <w:lang w:val="en-US"/>
        </w:rPr>
        <w:t>(Fan et al., 2024; Iftikhar et al., 2024; Maharjan and Kato, 2022)</w:t>
      </w:r>
      <w:r w:rsidRPr="0004547D">
        <w:rPr>
          <w:lang w:val="en-US"/>
        </w:rPr>
        <w:fldChar w:fldCharType="end"/>
      </w:r>
      <w:r w:rsidRPr="0004547D">
        <w:rPr>
          <w:lang w:val="en-US"/>
        </w:rPr>
        <w:t xml:space="preserve">. </w:t>
      </w:r>
      <w:r w:rsidRPr="0004547D">
        <w:rPr>
          <w:color w:val="000000" w:themeColor="text1"/>
          <w:lang w:val="en-US"/>
        </w:rPr>
        <w:t xml:space="preserve">Our study contributes to broadening the understanding of the topic by exploring conditions under which a hybrid AI policy can achieve superior performance in terms of cost and resilience in controlled simulations, </w:t>
      </w:r>
      <w:r w:rsidRPr="007C51DF">
        <w:rPr>
          <w:color w:val="000000" w:themeColor="text1"/>
          <w:lang w:val="en-US"/>
        </w:rPr>
        <w:t>while imposing identical information constraints to better assess the value of incorporating AI into management processes.</w:t>
      </w:r>
    </w:p>
    <w:p w14:paraId="295F371A" w14:textId="6F627C6C" w:rsidR="00D75BAD" w:rsidRPr="006D7D23" w:rsidRDefault="0075604D" w:rsidP="009A0D16">
      <w:pPr>
        <w:pStyle w:val="text-base"/>
        <w:spacing w:before="0" w:after="0"/>
        <w:jc w:val="both"/>
        <w:rPr>
          <w:color w:val="000000" w:themeColor="text1"/>
          <w:lang w:val="en-US"/>
        </w:rPr>
      </w:pPr>
      <w:r w:rsidRPr="007C51DF">
        <w:rPr>
          <w:color w:val="000000" w:themeColor="text1"/>
          <w:lang w:val="en-US"/>
        </w:rPr>
        <w:t>In this study, we evaluate these implications by benchmarking the hybrid AI policy against OR baselines across stress-tested demand regimes designed to reflect decentralized logistics conditions. Rather than asking only whether AI outperforms classical rules on average, we examine how performance varies across regimes and where failure emerges relative to established controls. Previous work reports AI gains under disruption in some settings</w:t>
      </w:r>
      <w:r w:rsidR="00C551B4" w:rsidRPr="007C51DF">
        <w:rPr>
          <w:color w:val="000000" w:themeColor="text1"/>
          <w:lang w:val="en-US"/>
        </w:rPr>
        <w:t>. However,</w:t>
      </w:r>
      <w:r w:rsidRPr="007C51DF">
        <w:rPr>
          <w:color w:val="000000" w:themeColor="text1"/>
          <w:lang w:val="en-US"/>
        </w:rPr>
        <w:t xml:space="preserve"> such gains appear to depend on the specification of the objective function and on the operational constraints imposed during training and evaluation </w:t>
      </w:r>
      <w:r w:rsidRPr="007C51DF">
        <w:rPr>
          <w:color w:val="000000" w:themeColor="text1"/>
        </w:rPr>
        <w:fldChar w:fldCharType="begin"/>
      </w:r>
      <w:r w:rsidRPr="007C51DF">
        <w:rPr>
          <w:color w:val="000000" w:themeColor="text1"/>
          <w:lang w:val="en-US"/>
        </w:rPr>
        <w:instrText xml:space="preserve"> ADDIN ZOTERO_ITEM CSL_CITATION {"citationID":"DDmjSjsb","properties":{"formattedCitation":"(Smyth et al., 2024)","plainCitation":"(Smyth et al., 2024)","noteIndex":0},"citationItems":[{"id":3553,"uris":["http://zotero.org/users/12903205/items/TIECWFDE"],"itemData":{"id":3553,"type":"article-journal","container-title":"International Journal of Production Research","DOI":"10.1080/00207543.2024.2341415","ISSN":"0020-7543, 1366-588X","issue":"23","journalAbbreviation":"International Journal of Production Research","language":"en","page":"8537-8561","source":"DOI.org (Crossref)","title":"Artificial intelligence and prescriptive analytics for supply chain resilience: a systematic literature review and research agenda","title-short":"Artificial intelligence and prescriptive analytics for supply chain resilience","volume":"62","author":[{"family":"Smyth","given":"Conn"},{"family":"Dennehy","given":"Denis"},{"family":"Fosso Wamba","given":"Samuel"},{"family":"Scott","given":"Murray"},{"family":"Harfouche","given":"Antoine"}],"issued":{"date-parts":[["2024",12]]}}}],"schema":"https://github.com/citation-style-language/schema/raw/master/csl-citation.json"} </w:instrText>
      </w:r>
      <w:r w:rsidRPr="007C51DF">
        <w:rPr>
          <w:color w:val="000000" w:themeColor="text1"/>
        </w:rPr>
        <w:fldChar w:fldCharType="separate"/>
      </w:r>
      <w:r w:rsidR="00545BF6" w:rsidRPr="007C51DF">
        <w:rPr>
          <w:color w:val="000000" w:themeColor="text1"/>
          <w:lang w:val="en-US"/>
        </w:rPr>
        <w:t>(Smyth et al., 2024)</w:t>
      </w:r>
      <w:r w:rsidRPr="007C51DF">
        <w:rPr>
          <w:color w:val="000000" w:themeColor="text1"/>
        </w:rPr>
        <w:fldChar w:fldCharType="end"/>
      </w:r>
      <w:r w:rsidRPr="007C51DF">
        <w:rPr>
          <w:color w:val="000000" w:themeColor="text1"/>
          <w:lang w:val="en-US"/>
        </w:rPr>
        <w:t xml:space="preserve"> Our analysis</w:t>
      </w:r>
      <w:r w:rsidR="00563C1C" w:rsidRPr="007C51DF">
        <w:rPr>
          <w:color w:val="000000" w:themeColor="text1"/>
          <w:lang w:val="en-US"/>
        </w:rPr>
        <w:t>, therefore, also informs deployment design, particularly the definition of monitoring rules, service-level guardrails, and retraining triggers tailor</w:t>
      </w:r>
      <w:r w:rsidRPr="007C51DF">
        <w:rPr>
          <w:color w:val="000000" w:themeColor="text1"/>
          <w:lang w:val="en-US"/>
        </w:rPr>
        <w:t xml:space="preserve">ed to context </w:t>
      </w:r>
      <w:r w:rsidRPr="007C51DF">
        <w:rPr>
          <w:color w:val="000000" w:themeColor="text1"/>
        </w:rPr>
        <w:fldChar w:fldCharType="begin"/>
      </w:r>
      <w:r w:rsidRPr="007C51DF">
        <w:rPr>
          <w:color w:val="000000" w:themeColor="text1"/>
          <w:lang w:val="en-US"/>
        </w:rPr>
        <w:instrText xml:space="preserve"> ADDIN ZOTERO_ITEM CSL_CITATION {"citationID":"kObqyRvC","properties":{"formattedCitation":"(Aldrighetti et al., 2023)","plainCitation":"(Aldrighetti et al., 2023)","noteIndex":0},"citationItems":[{"id":3545,"uris":["http://zotero.org/users/12903205/items/T2CK3TRS"],"itemData":{"id":3545,"type":"article-journal","container-title":"Omega","DOI":"10.1016/j.omega.2023.102841","ISSN":"03050483","journalAbbreviation":"Omega","language":"en","page":"102841","source":"DOI.org (Crossref)","title":"Efficient resilience portfolio design in the supply chain with consideration of preparedness and recovery investments","volume":"117","author":[{"family":"Aldrighetti","given":"Riccardo"},{"family":"Battini","given":"Daria"},{"family":"Ivanov","given":"Dmitry"}],"issued":{"date-parts":[["2023",6]]}}}],"schema":"https://github.com/citation-style-language/schema/raw/master/csl-citation.json"} </w:instrText>
      </w:r>
      <w:r w:rsidRPr="007C51DF">
        <w:rPr>
          <w:color w:val="000000" w:themeColor="text1"/>
        </w:rPr>
        <w:fldChar w:fldCharType="separate"/>
      </w:r>
      <w:r w:rsidR="00545BF6" w:rsidRPr="007C51DF">
        <w:rPr>
          <w:color w:val="000000" w:themeColor="text1"/>
          <w:lang w:val="en-US"/>
        </w:rPr>
        <w:t>(Aldrighetti et al., 2023)</w:t>
      </w:r>
      <w:r w:rsidRPr="007C51DF">
        <w:rPr>
          <w:color w:val="000000" w:themeColor="text1"/>
        </w:rPr>
        <w:fldChar w:fldCharType="end"/>
      </w:r>
      <w:r w:rsidRPr="007C51DF">
        <w:rPr>
          <w:color w:val="000000" w:themeColor="text1"/>
          <w:lang w:val="en-US"/>
        </w:rPr>
        <w:t xml:space="preserve"> This paper addresses three related questions: </w:t>
      </w:r>
      <w:r w:rsidR="00DD1387" w:rsidRPr="007C51DF">
        <w:rPr>
          <w:color w:val="000000" w:themeColor="text1"/>
          <w:lang w:val="en-US"/>
        </w:rPr>
        <w:t>(</w:t>
      </w:r>
      <w:proofErr w:type="spellStart"/>
      <w:r w:rsidR="00DD1387" w:rsidRPr="007C51DF">
        <w:rPr>
          <w:color w:val="000000" w:themeColor="text1"/>
          <w:lang w:val="en-US"/>
        </w:rPr>
        <w:t>i</w:t>
      </w:r>
      <w:proofErr w:type="spellEnd"/>
      <w:r w:rsidR="00DD1387" w:rsidRPr="007C51DF">
        <w:rPr>
          <w:color w:val="000000" w:themeColor="text1"/>
          <w:lang w:val="en-US"/>
        </w:rPr>
        <w:t>) How does a hybri</w:t>
      </w:r>
      <w:r w:rsidR="00DD1387" w:rsidRPr="00DD1387">
        <w:rPr>
          <w:color w:val="000000" w:themeColor="text1"/>
          <w:lang w:val="en-US"/>
        </w:rPr>
        <w:t xml:space="preserve">d AI policy perform relative to static, dynamic, and analytical inventory policies </w:t>
      </w:r>
      <w:r w:rsidR="00DD1387" w:rsidRPr="006D7D23">
        <w:rPr>
          <w:color w:val="000000" w:themeColor="text1"/>
          <w:lang w:val="en-US"/>
        </w:rPr>
        <w:t>under both stable and disrupted demand conditions? (ii) At what demand volatility and cost levels does the hybrid AI policy provide an economic advantage over classical policies? (iii) What cost–resilience trade-offs characterize the choice between classical and AI-based inventory policies</w:t>
      </w:r>
      <w:r w:rsidR="009A0D16" w:rsidRPr="006D7D23">
        <w:rPr>
          <w:color w:val="000000" w:themeColor="text1"/>
          <w:lang w:val="en-US"/>
        </w:rPr>
        <w:t>?</w:t>
      </w:r>
    </w:p>
    <w:p w14:paraId="77737AAB" w14:textId="079BE387" w:rsidR="00D5495F" w:rsidRPr="008D3FFF" w:rsidRDefault="00D5495F" w:rsidP="00D5495F">
      <w:pPr>
        <w:pStyle w:val="text-base"/>
        <w:spacing w:before="0" w:after="0"/>
        <w:jc w:val="both"/>
        <w:rPr>
          <w:color w:val="000000" w:themeColor="text1"/>
          <w:lang w:val="en-US"/>
        </w:rPr>
      </w:pPr>
      <w:r w:rsidRPr="008D3FFF">
        <w:rPr>
          <w:color w:val="000000" w:themeColor="text1"/>
          <w:lang w:val="en-US"/>
        </w:rPr>
        <w:t>We use operational data from SUS facilities in Brazil and evaluate 100 paired Monte Carlo replications over 90- and 180-day decision horizons, enabling systematic comparison of total cost, service levels, and resilience outcomes. Stress-tested scenarios examine policy behavior under high volatility, supply disruptions, and seasonal surges.</w:t>
      </w:r>
    </w:p>
    <w:p w14:paraId="44D19B44" w14:textId="2435FA58" w:rsidR="003F2BFF" w:rsidRPr="00A70916" w:rsidRDefault="003F2BFF" w:rsidP="00D75BAD">
      <w:pPr>
        <w:pStyle w:val="text-base"/>
        <w:spacing w:before="0" w:after="0"/>
        <w:jc w:val="both"/>
        <w:rPr>
          <w:color w:val="000000" w:themeColor="text1"/>
          <w:lang w:val="en-US"/>
        </w:rPr>
      </w:pPr>
      <w:r w:rsidRPr="00F34B55">
        <w:rPr>
          <w:lang w:val="en-US"/>
        </w:rPr>
        <w:t xml:space="preserve">High volatility means a 50% increase in demand variation. Disrupting supply means that 20% of orders will be interrupted, with a longer lead time of 8 to 10 weeks. Seasonal surge conditions assume demand spikes of 180% in March and April, with a percentage increase of up to 220% over the base in early or mid-November. These situations stem from events during SUS crises associated with H1N1, Zika, and </w:t>
      </w:r>
      <w:r w:rsidR="002B74AA">
        <w:rPr>
          <w:lang w:val="en-US"/>
        </w:rPr>
        <w:t>the COVID-19 pandemic</w:t>
      </w:r>
      <w:r w:rsidRPr="00F34B55">
        <w:rPr>
          <w:lang w:val="en-US"/>
        </w:rPr>
        <w:t>.</w:t>
      </w:r>
    </w:p>
    <w:p w14:paraId="5199CF04" w14:textId="60E1BB13" w:rsidR="00D34DF8" w:rsidRPr="007C51DF" w:rsidRDefault="00D34DF8" w:rsidP="00AF7148">
      <w:pPr>
        <w:pStyle w:val="text-base"/>
        <w:spacing w:before="0" w:after="0"/>
        <w:jc w:val="both"/>
        <w:rPr>
          <w:color w:val="000000" w:themeColor="text1"/>
          <w:lang w:val="en-US"/>
        </w:rPr>
      </w:pPr>
      <w:r w:rsidRPr="00D34DF8">
        <w:rPr>
          <w:lang w:val="en-US"/>
        </w:rPr>
        <w:t>This study is exploratory and has limited statistical power (≈45% for average effects). Given the empirical demand panel and synthetic supply-side inputs, the results support hypothesis generation and stress</w:t>
      </w:r>
      <w:r>
        <w:rPr>
          <w:lang w:val="en-US"/>
        </w:rPr>
        <w:t>-testing of failure modes</w:t>
      </w:r>
      <w:r w:rsidRPr="00D34DF8">
        <w:rPr>
          <w:lang w:val="en-US"/>
        </w:rPr>
        <w:t xml:space="preserve"> rather than deployment claims. </w:t>
      </w:r>
      <w:r w:rsidR="00175380" w:rsidRPr="007C51DF">
        <w:rPr>
          <w:color w:val="000000" w:themeColor="text1"/>
          <w:lang w:val="en-US"/>
        </w:rPr>
        <w:t>Before any operational adoption, however, these findings require confirmation under larger replication budgets, approximately n ≥ 285 replications per condition for medium effects, and under facility-specific calibration. Given the exploratory character of the present design, such confirmatory work should precede managerial and policy decisions</w:t>
      </w:r>
      <w:r w:rsidRPr="007C51DF">
        <w:rPr>
          <w:color w:val="000000" w:themeColor="text1"/>
          <w:lang w:val="en-US"/>
        </w:rPr>
        <w:t>.</w:t>
      </w:r>
    </w:p>
    <w:p w14:paraId="52F468D9" w14:textId="4F7C881B" w:rsidR="00D5495F" w:rsidRPr="00D5495F" w:rsidRDefault="00175380" w:rsidP="00AF7148">
      <w:pPr>
        <w:pStyle w:val="text-base"/>
        <w:spacing w:before="0" w:after="0"/>
        <w:jc w:val="both"/>
        <w:rPr>
          <w:color w:val="D86DCB" w:themeColor="accent5" w:themeTint="99"/>
          <w:lang w:val="en-US"/>
        </w:rPr>
      </w:pPr>
      <w:r w:rsidRPr="007C51DF">
        <w:rPr>
          <w:color w:val="000000" w:themeColor="text1"/>
          <w:lang w:val="en-US"/>
        </w:rPr>
        <w:t>Drawing on field-derived evidence, the study contributes to current discussions on AI in supply chain management in three respects.</w:t>
      </w:r>
      <w:r w:rsidRPr="00175380">
        <w:rPr>
          <w:color w:val="60CAF3" w:themeColor="accent4" w:themeTint="99"/>
          <w:lang w:val="en-US"/>
        </w:rPr>
        <w:t xml:space="preserve"> </w:t>
      </w:r>
      <w:r w:rsidR="00C63295" w:rsidRPr="008D3FFF">
        <w:rPr>
          <w:color w:val="000000" w:themeColor="text1"/>
          <w:lang w:val="en-US"/>
        </w:rPr>
        <w:t xml:space="preserve">Three features of </w:t>
      </w:r>
      <w:proofErr w:type="gramStart"/>
      <w:r w:rsidR="00C63295" w:rsidRPr="008D3FFF">
        <w:rPr>
          <w:color w:val="000000" w:themeColor="text1"/>
          <w:lang w:val="en-US"/>
        </w:rPr>
        <w:t>the experimental</w:t>
      </w:r>
      <w:proofErr w:type="gramEnd"/>
      <w:r w:rsidR="00C63295" w:rsidRPr="008D3FFF">
        <w:rPr>
          <w:color w:val="000000" w:themeColor="text1"/>
          <w:lang w:val="en-US"/>
        </w:rPr>
        <w:t xml:space="preserve"> design distinguish this study from prior comparisons. </w:t>
      </w:r>
      <w:r w:rsidR="00C63295" w:rsidRPr="00C63295">
        <w:rPr>
          <w:color w:val="D86DCB" w:themeColor="accent5" w:themeTint="99"/>
          <w:lang w:val="en-US"/>
        </w:rPr>
        <w:t xml:space="preserve">Performance is evaluated on identical stochastic trajectories shared across policies, which makes downside exposure and failure modes directly observable rather than inferred from mean outcomes, a distinction that matters when tail behavior determines operational viability. Governance is incorporated into the design itself through a runtime safety gate with reservation logic, treating oversight as a structural component of the control architecture rather than an </w:t>
      </w:r>
      <w:proofErr w:type="gramStart"/>
      <w:r w:rsidR="00C63295" w:rsidRPr="00C63295">
        <w:rPr>
          <w:i/>
          <w:iCs/>
          <w:color w:val="D86DCB" w:themeColor="accent5" w:themeTint="99"/>
          <w:lang w:val="en-US"/>
        </w:rPr>
        <w:t>ex post</w:t>
      </w:r>
      <w:proofErr w:type="gramEnd"/>
      <w:r w:rsidR="00C63295" w:rsidRPr="00C63295">
        <w:rPr>
          <w:color w:val="D86DCB" w:themeColor="accent5" w:themeTint="99"/>
          <w:lang w:val="en-US"/>
        </w:rPr>
        <w:t xml:space="preserve"> recommendation; such design choices remain uncommon in the inventory AI literature. Instead, the evidence does not sustain a general claim of AI superiority. It delineates the demand regimes in which the evaluated controller remains competitive and those in which deployment would require explicit safeguards, a framing seldom adopted in the current literature</w:t>
      </w:r>
      <w:r w:rsidR="00D5495F" w:rsidRPr="00D5495F">
        <w:rPr>
          <w:color w:val="D86DCB" w:themeColor="accent5" w:themeTint="99"/>
          <w:lang w:val="en-US"/>
        </w:rPr>
        <w:t>.</w:t>
      </w:r>
    </w:p>
    <w:p w14:paraId="28903315" w14:textId="77777777" w:rsidR="003F2BFF" w:rsidRPr="00130595" w:rsidRDefault="00CB0AF5" w:rsidP="00130595">
      <w:pPr>
        <w:pStyle w:val="Ttulo1"/>
        <w:numPr>
          <w:ilvl w:val="0"/>
          <w:numId w:val="32"/>
        </w:numPr>
      </w:pPr>
      <w:r w:rsidRPr="00130595">
        <w:t>Literature Review</w:t>
      </w:r>
    </w:p>
    <w:p w14:paraId="3F047888" w14:textId="4FDCD148" w:rsidR="00D75BAD" w:rsidRPr="00412DBF" w:rsidRDefault="00D5495F" w:rsidP="00D5495F">
      <w:pPr>
        <w:pStyle w:val="text-base"/>
        <w:spacing w:before="0" w:after="0"/>
        <w:jc w:val="both"/>
        <w:rPr>
          <w:color w:val="000000" w:themeColor="text1"/>
          <w:lang w:val="en-US"/>
        </w:rPr>
      </w:pPr>
      <w:r w:rsidRPr="00D5495F">
        <w:rPr>
          <w:color w:val="D86DCB" w:themeColor="accent5" w:themeTint="99"/>
          <w:lang w:val="en-US"/>
        </w:rPr>
        <w:t xml:space="preserve">The healthcare supply chain literature has long examined how to sustain service levels under uncertain demand and limited capacity while keeping logistics and inventory costs within budget. Reviews commonly cover demand forecasting, inventory control, and routing decisions, though usually as partially separate strands of work. At the intersection of </w:t>
      </w:r>
      <w:r w:rsidRPr="00D5495F">
        <w:rPr>
          <w:color w:val="D86DCB" w:themeColor="accent5" w:themeTint="99"/>
          <w:lang w:val="en-US"/>
        </w:rPr>
        <w:lastRenderedPageBreak/>
        <w:t>operations research, production economics, and health logistics, however, only a limited number of studies have compared AI-based policies with contemporary stochastic inventory policies under matched operating conditions</w:t>
      </w:r>
      <w:r w:rsidR="002B180B" w:rsidRPr="00D5495F">
        <w:rPr>
          <w:color w:val="000000" w:themeColor="text1"/>
          <w:lang w:val="en-US"/>
        </w:rPr>
        <w:t xml:space="preserve"> </w:t>
      </w:r>
      <w:r w:rsidR="00F34B55" w:rsidRPr="00D5495F">
        <w:rPr>
          <w:color w:val="000000" w:themeColor="text1"/>
          <w:lang w:val="en-US"/>
        </w:rPr>
        <w:fldChar w:fldCharType="begin"/>
      </w:r>
      <w:r w:rsidR="00F34B55" w:rsidRPr="00D5495F">
        <w:rPr>
          <w:color w:val="000000" w:themeColor="text1"/>
          <w:lang w:val="en-US"/>
        </w:rPr>
        <w:instrText xml:space="preserve"> ADDIN ZOTERO_ITEM CSL_CITATION {"citationID":"2enFmn65","properties":{"formattedCitation":"(Iftikhar et al., 2024; Maharjan and Kato, 2022)","plainCitation":"(Iftikhar et al., 2024; Maharjan and Kato, 2022)","noteIndex":0},"citationItems":[{"id":3542,"uris":["http://zotero.org/users/12903205/items/NYW8LQS4"],"itemData":{"id":3542,"type":"article-journal","abstract":"Abstract\n            In recent times, the literature has seen considerable growth in research at the intersection of digital innovation, data analytics, and supply chain resilience. While the number of studies on the topic has been burgeoning, due to the absence of a comprehensive literature review, it remains unclear what aspects of the subject have already been investigated and what are the avenues for impactful future research. Integrating bibliometric analysis with a systematic review approach, this paper offers the review of 262 articles at the nexus of innovative technologies, data analytics, and supply chain resiliency. The analysis uncovers the critical research clusters, the evolution of research over time, knowledge trajectories and methodological development in the area. Our thorough analysis enriches contemporary knowledge on the subject by consolidating the dispersed literature on the significance of innovative technologies, data analytics and supply chain resilience thereby recognizing major research clusters or domains and fruitful paths for future research. The review also helps improve practitioners’ awareness of the recent research on the topic by recapping key findings of a large amount of literature in one place.","container-title":"Annals of Operations Research","DOI":"10.1007/s10479-022-04765-6","ISSN":"0254-5330, 1572-9338","issue":"2-3","journalAbbreviation":"Ann Oper Res","language":"en","page":"825-848","source":"DOI.org (Crossref)","title":"Digital Innovation, Data Analytics, and Supply Chain Resiliency: A Bibliometric-based Systematic Literature Review","title-short":"Digital Innovation, Data Analytics, and Supply Chain Resiliency","volume":"333","author":[{"family":"Iftikhar","given":"Anas"},{"family":"Ali","given":"Imran"},{"family":"Arslan","given":"Ahmad"},{"family":"Tarba","given":"Shlomo"}],"issued":{"date-parts":[["2024",2]]}},"label":"page"},{"id":3546,"uris":["http://zotero.org/users/12903205/items/65Z77BQX"],"itemData":{"id":3546,"type":"article-journal","container-title":"Transport Reviews","DOI":"10.1080/01441647.2022.2080773","ISSN":"0144-1647, 1464-5327","issue":"6","journalAbbreviation":"Transport Reviews","language":"en","page":"739-761","source":"DOI.org (Crossref)","title":"Resilient supply chain network design: a systematic literature review","title-short":"Resilient supply chain network design","volume":"42","author":[{"family":"Maharjan","given":"Rajali"},{"family":"Kato","given":"Hironori"}],"issued":{"date-parts":[["2022",11,2]]}},"label":"page"}],"schema":"https://github.com/citation-style-language/schema/raw/master/csl-citation.json"} </w:instrText>
      </w:r>
      <w:r w:rsidR="00F34B55" w:rsidRPr="00D5495F">
        <w:rPr>
          <w:color w:val="000000" w:themeColor="text1"/>
          <w:lang w:val="en-US"/>
        </w:rPr>
        <w:fldChar w:fldCharType="separate"/>
      </w:r>
      <w:r w:rsidR="00F34B55" w:rsidRPr="00D5495F">
        <w:rPr>
          <w:color w:val="000000" w:themeColor="text1"/>
          <w:lang w:val="en-US"/>
        </w:rPr>
        <w:t>(Iftikhar et al., 2024; Maharjan and Kato, 2022)</w:t>
      </w:r>
      <w:r w:rsidR="00F34B55" w:rsidRPr="00D5495F">
        <w:rPr>
          <w:color w:val="000000" w:themeColor="text1"/>
          <w:lang w:val="en-US"/>
        </w:rPr>
        <w:fldChar w:fldCharType="end"/>
      </w:r>
      <w:r w:rsidR="0066644E" w:rsidRPr="00D5495F">
        <w:rPr>
          <w:color w:val="000000" w:themeColor="text1"/>
          <w:lang w:val="en-US"/>
        </w:rPr>
        <w:t>.</w:t>
      </w:r>
    </w:p>
    <w:p w14:paraId="2990D352" w14:textId="77777777" w:rsidR="00DF4A3F" w:rsidRPr="00780847" w:rsidRDefault="002875A0" w:rsidP="00DD5FF3">
      <w:pPr>
        <w:pStyle w:val="Ttulo2"/>
      </w:pPr>
      <w:r w:rsidRPr="00780847">
        <w:t xml:space="preserve">2.1 </w:t>
      </w:r>
      <w:r w:rsidR="00DF4A3F" w:rsidRPr="00780847">
        <w:t>AI Applications in Healthcare Supply Chain Management</w:t>
      </w:r>
    </w:p>
    <w:p w14:paraId="25AE1454" w14:textId="2203AE96" w:rsidR="00563C1C" w:rsidRPr="00D5495F" w:rsidRDefault="00D5495F" w:rsidP="00D5495F">
      <w:pPr>
        <w:pStyle w:val="text-base"/>
        <w:jc w:val="both"/>
        <w:rPr>
          <w:color w:val="D86DCB" w:themeColor="accent5" w:themeTint="99"/>
          <w:lang w:val="en-US"/>
        </w:rPr>
      </w:pPr>
      <w:r w:rsidRPr="00D5495F">
        <w:rPr>
          <w:color w:val="D86DCB" w:themeColor="accent5" w:themeTint="99"/>
          <w:lang w:val="en-US"/>
        </w:rPr>
        <w:t>Recent applied work in healthcare supply chains has increasingly shifted toward integrated architectures that combine machine-learning forecasting with replenishment control and vehicle routing</w:t>
      </w:r>
      <w:r w:rsidR="00563C1C" w:rsidRPr="00D5495F">
        <w:rPr>
          <w:color w:val="000000" w:themeColor="text1"/>
          <w:lang w:val="en-US"/>
        </w:rPr>
        <w:t xml:space="preserve"> </w:t>
      </w:r>
      <w:r w:rsidR="005F17A4" w:rsidRPr="00D5495F">
        <w:rPr>
          <w:color w:val="000000" w:themeColor="text1"/>
        </w:rPr>
        <w:fldChar w:fldCharType="begin"/>
      </w:r>
      <w:r w:rsidR="005F17A4" w:rsidRPr="00D5495F">
        <w:rPr>
          <w:color w:val="000000" w:themeColor="text1"/>
          <w:lang w:val="en-US"/>
        </w:rPr>
        <w:instrText xml:space="preserve"> ADDIN ZOTERO_ITEM CSL_CITATION {"citationID":"LQx7SXMh","properties":{"formattedCitation":"(Bogyrbayeva et al., 2024; Correll et al., 2023)","plainCitation":"(Bogyrbayeva et al., 2024; Correll et al., 2023)","noteIndex":0},"citationItems":[{"id":3550,"uris":["http://zotero.org/users/12903205/items/XE4MK2GB"],"itemData":{"id":3550,"type":"article-journal","container-title":"IEEE Transactions on Intelligent Transportation Systems","DOI":"10.1109/TITS.2023.3334976","ISSN":"1524-9050, 1558-0016","issue":"6","journalAbbreviation":"IEEE Trans. Intell. Transport. Syst.","license":"https://ieeexplore.ieee.org/Xplorehelp/downloads/license-information/IEEE.html","page":"4754-4772","source":"DOI.org (Crossref)","title":"Machine Learning to Solve Vehicle Routing Problems: A Survey","title-short":"Machine Learning to Solve Vehicle Routing Problems","volume":"25","author":[{"family":"Bogyrbayeva","given":"Aigerim"},{"family":"Meraliyev","given":"Meraryslan"},{"family":"Mustakhov","given":"Taukekhan"},{"family":"Dauletbayev","given":"Bissenbay"}],"issued":{"date-parts":[["2024",6]]}},"label":"page"},{"id":3547,"uris":["http://zotero.org/users/12903205/items/4FK2QU4X"],"itemData":{"id":3547,"type":"article-journal","abstract":"Abstract\n            Problem instances of a size suitable for practical applications are not likely to be addressed during the noisy intermediate‐scale quantum (NISQ) period with (almost) pure quantum algorithms. Hybrid classical‐quantum algorithms have potential, however, to achieve good performance on much larger problem instances. One such hybrid algorithm on a problem of substantial importance: vehicle routing for supply chain logistics with multiple trucks and complex demand structure is investigated. Reinforcement learning with neural networks with embedded quantum circuits is used. In such neural networks, projecting high‐dimensional feature vectors down to smaller vectors is necessary to accommodate restrictions on the number of qubits of NISQ hardware. However, a multi‐head attention mechanism is used where, even in classical machine learning, such projections are natural and desirable. Data from the truck routing logistics of a company in the automotive sector is considered, and the methodology is applied by decomposing into small teams of trucks and results are found comparable to human truck assignment.","container-title":"Advanced Quantum Technologies","DOI":"10.1002/qute.202200183","ISSN":"2511-9044, 2511-9044","issue":"7","journalAbbreviation":"Adv Quantum Tech","language":"en","page":"2200183","source":"DOI.org (Crossref)","title":"Quantum Neural Networks for a Supply Chain Logistics Application","volume":"6","author":[{"family":"Correll","given":"Randall"},{"family":"Weinberg","given":"Sean J."},{"family":"Sanches","given":"Fabio"},{"family":"Ide","given":"Takanori"},{"family":"Suzuki","given":"Takafumi"}],"issued":{"date-parts":[["2023",7]]}},"label":"page"}],"schema":"https://github.com/citation-style-language/schema/raw/master/csl-citation.json"} </w:instrText>
      </w:r>
      <w:r w:rsidR="005F17A4" w:rsidRPr="00D5495F">
        <w:rPr>
          <w:color w:val="000000" w:themeColor="text1"/>
        </w:rPr>
        <w:fldChar w:fldCharType="separate"/>
      </w:r>
      <w:r w:rsidR="005F17A4" w:rsidRPr="00D5495F">
        <w:rPr>
          <w:color w:val="000000" w:themeColor="text1"/>
          <w:lang w:val="en-US"/>
        </w:rPr>
        <w:t>(Bogyrbayeva et al., 2024; Correll et al., 2023)</w:t>
      </w:r>
      <w:r w:rsidR="005F17A4" w:rsidRPr="00D5495F">
        <w:rPr>
          <w:color w:val="000000" w:themeColor="text1"/>
        </w:rPr>
        <w:fldChar w:fldCharType="end"/>
      </w:r>
      <w:r w:rsidRPr="00D5495F">
        <w:rPr>
          <w:color w:val="000000" w:themeColor="text1"/>
          <w:lang w:val="en-US"/>
        </w:rPr>
        <w:t xml:space="preserve">. </w:t>
      </w:r>
      <w:r w:rsidRPr="00D5495F">
        <w:rPr>
          <w:color w:val="D86DCB" w:themeColor="accent5" w:themeTint="99"/>
          <w:lang w:val="en-US"/>
        </w:rPr>
        <w:t>Even so, the empirical basis for assessing these systems remains uneven</w:t>
      </w:r>
      <w:r w:rsidRPr="00D5495F">
        <w:rPr>
          <w:color w:val="000000" w:themeColor="text1"/>
          <w:lang w:val="en-US"/>
        </w:rPr>
        <w:t>.</w:t>
      </w:r>
      <w:r w:rsidR="00563C1C" w:rsidRPr="00D5495F">
        <w:rPr>
          <w:color w:val="60CAF3" w:themeColor="accent4" w:themeTint="99"/>
          <w:lang w:val="en-US"/>
        </w:rPr>
        <w:t xml:space="preserve"> </w:t>
      </w:r>
      <w:r w:rsidR="00563C1C" w:rsidRPr="00D5495F">
        <w:rPr>
          <w:color w:val="000000" w:themeColor="text1"/>
          <w:lang w:val="en-US"/>
        </w:rPr>
        <w:t>A recurrent problem, and less discussed, lies in benchmark design: many studies compare learned policies with weakly specified or lightly tuned heuristics, which makes it difficult to separate gains attributable to the learning architecture from gain</w:t>
      </w:r>
      <w:r w:rsidR="00563C1C" w:rsidRPr="007C51DF">
        <w:rPr>
          <w:color w:val="000000" w:themeColor="text1"/>
          <w:lang w:val="en-US"/>
        </w:rPr>
        <w:t xml:space="preserve">s that arise because the comparator is not competitively calibrated </w:t>
      </w:r>
      <w:r w:rsidR="005F17A4" w:rsidRPr="007C51DF">
        <w:rPr>
          <w:color w:val="000000" w:themeColor="text1"/>
        </w:rPr>
        <w:fldChar w:fldCharType="begin"/>
      </w:r>
      <w:r w:rsidR="005F17A4" w:rsidRPr="007C51DF">
        <w:rPr>
          <w:color w:val="000000" w:themeColor="text1"/>
          <w:lang w:val="en-US"/>
        </w:rPr>
        <w:instrText xml:space="preserve"> ADDIN ZOTERO_ITEM CSL_CITATION {"citationID":"ALXR8fzb","properties":{"formattedCitation":"(Harsha et al., 2025; Stranieri et al., 2024)","plainCitation":"(Harsha et al., 2025; Stranieri et al., 2024)","noteIndex":0},"citationItems":[{"id":3429,"uris":["http://zotero.org/users/12903205/items/2MYMBLJ3"],"itemData":{"id":3429,"type":"article-journal","container-title":"Manufacturing &amp; Service Operations Management","DOI":"10.1287/msom.2022.0617","ISSN":"1523-4614, 1526-5498","issue":"2","page":"369–388","title":"Deep Policy Iteration with Integer Programming for Inventory Management","volume":"27","author":[{"family":"Harsha","given":"Pavithra"},{"family":"Jagmohan","given":"Ashish"},{"family":"Kalagnanam","given":"Jayant"},{"family":"Quanz","given":"Brian"},{"family":"Singhvi","given":"Divya"}],"issued":{"date-parts":[["2025",3]]}},"label":"page"},{"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label":"page"}],"schema":"https://github.com/citation-style-language/schema/raw/master/csl-citation.json"} </w:instrText>
      </w:r>
      <w:r w:rsidR="005F17A4" w:rsidRPr="007C51DF">
        <w:rPr>
          <w:color w:val="000000" w:themeColor="text1"/>
        </w:rPr>
        <w:fldChar w:fldCharType="separate"/>
      </w:r>
      <w:r w:rsidR="00545BF6" w:rsidRPr="007C51DF">
        <w:rPr>
          <w:color w:val="000000" w:themeColor="text1"/>
          <w:lang w:val="en-US"/>
        </w:rPr>
        <w:t>(Harsha et al., 2025; Stranieri et al., 2024)</w:t>
      </w:r>
      <w:r w:rsidR="005F17A4" w:rsidRPr="007C51DF">
        <w:rPr>
          <w:color w:val="000000" w:themeColor="text1"/>
        </w:rPr>
        <w:fldChar w:fldCharType="end"/>
      </w:r>
      <w:r w:rsidR="005F17A4" w:rsidRPr="007C51DF">
        <w:rPr>
          <w:color w:val="000000" w:themeColor="text1"/>
          <w:lang w:val="en-US"/>
        </w:rPr>
        <w:t xml:space="preserve"> </w:t>
      </w:r>
      <w:r w:rsidR="00563C1C" w:rsidRPr="007C51DF">
        <w:rPr>
          <w:color w:val="000000" w:themeColor="text1"/>
          <w:lang w:val="en-US"/>
        </w:rPr>
        <w:t xml:space="preserve">Recent reinforcement-learning studies in inventory control have partially addressed this issue by embedding structural heuristics or optimization subroutines into the decision process, a choice that tends to improve action feasibility and policy stability </w:t>
      </w:r>
      <w:r w:rsidR="005F17A4" w:rsidRPr="007C51DF">
        <w:rPr>
          <w:color w:val="000000" w:themeColor="text1"/>
        </w:rPr>
        <w:fldChar w:fldCharType="begin"/>
      </w:r>
      <w:r w:rsidR="005F17A4" w:rsidRPr="007C51DF">
        <w:rPr>
          <w:color w:val="000000" w:themeColor="text1"/>
          <w:lang w:val="en-US"/>
        </w:rPr>
        <w:instrText xml:space="preserve"> ADDIN ZOTERO_ITEM CSL_CITATION {"citationID":"SmhQgX3u","properties":{"formattedCitation":"(Harsha et al., 2025; Temiz\\uc0\\u246{}z et al., 2025)","plainCitation":"(Harsha et al., 2025; Temizöz et al., 2025)","noteIndex":0},"citationItems":[{"id":3429,"uris":["http://zotero.org/users/12903205/items/2MYMBLJ3"],"itemData":{"id":3429,"type":"article-journal","container-title":"Manufacturing &amp; Service Operations Management","DOI":"10.1287/msom.2022.0617","ISSN":"1523-4614, 1526-5498","issue":"2","page":"369–388","title":"Deep Policy Iteration with Integer Programming for Inventory Management","volume":"27","author":[{"family":"Harsha","given":"Pavithra"},{"family":"Jagmohan","given":"Ashish"},{"family":"Kalagnanam","given":"Jayant"},{"family":"Quanz","given":"Brian"},{"family":"Singhvi","given":"Divya"}],"issued":{"date-parts":[["2025",3]]}},"label":"page"},{"id":3358,"uris":["http://zotero.org/users/12903205/items/RUWAPBI4"],"itemData":{"id":3358,"type":"article-journal","container-title":"European Journal of Operational Research","DOI":"10.1016/j.ejor.2025.01.026","ISSN":"03772217","issue":"1","journalAbbreviation":"European Journal of Operational Research","language":"en","page":"104-117","source":"DOI.org (Crossref)","title":"Deep Controlled Learning for Inventory Control","volume":"324","author":[{"family":"Temizöz","given":"Tarkan"},{"family":"Imdahl","given":"Christina"},{"family":"Dijkman","given":"Remco"},{"family":"Lamghari-Idrissi","given":"Douniel"},{"family":"Van Jaarsveld","given":"Willem"}],"issued":{"date-parts":[["2025",7]]}},"label":"page"}],"schema":"https://github.com/citation-style-language/schema/raw/master/csl-citation.json"} </w:instrText>
      </w:r>
      <w:r w:rsidR="005F17A4" w:rsidRPr="007C51DF">
        <w:rPr>
          <w:color w:val="000000" w:themeColor="text1"/>
        </w:rPr>
        <w:fldChar w:fldCharType="separate"/>
      </w:r>
      <w:r w:rsidR="005F17A4" w:rsidRPr="007C51DF">
        <w:rPr>
          <w:color w:val="000000" w:themeColor="text1"/>
          <w:lang w:val="en-US"/>
        </w:rPr>
        <w:t>(Harsha et al., 2025; Temizöz et al., 2025)</w:t>
      </w:r>
      <w:r w:rsidR="005F17A4" w:rsidRPr="007C51DF">
        <w:rPr>
          <w:color w:val="000000" w:themeColor="text1"/>
        </w:rPr>
        <w:fldChar w:fldCharType="end"/>
      </w:r>
      <w:r w:rsidR="00563C1C" w:rsidRPr="00563C1C">
        <w:rPr>
          <w:lang w:val="en-US"/>
        </w:rPr>
        <w:t>.</w:t>
      </w:r>
      <w:r w:rsidR="00563C1C">
        <w:rPr>
          <w:lang w:val="en-US"/>
        </w:rPr>
        <w:t xml:space="preserve"> </w:t>
      </w:r>
      <w:r w:rsidRPr="00D5495F">
        <w:rPr>
          <w:color w:val="D86DCB" w:themeColor="accent5" w:themeTint="99"/>
          <w:lang w:val="en-US"/>
        </w:rPr>
        <w:t>By contrast, evidence under distributional shift remains limited, especially when demand, lead times, or supply availability move materially away from the conditions used in training and evaluation.</w:t>
      </w:r>
    </w:p>
    <w:p w14:paraId="29C7563B" w14:textId="77777777" w:rsidR="00E66C7A" w:rsidRPr="00A70916" w:rsidRDefault="002875A0" w:rsidP="00DD5FF3">
      <w:pPr>
        <w:pStyle w:val="Ttulo2"/>
      </w:pPr>
      <w:r>
        <w:t xml:space="preserve">2.2 </w:t>
      </w:r>
      <w:r w:rsidR="00E66C7A" w:rsidRPr="00A70916">
        <w:t>Reinforcement Learning in Inventory Management</w:t>
      </w:r>
    </w:p>
    <w:p w14:paraId="5F43E408" w14:textId="35B66255" w:rsidR="009436DD" w:rsidRDefault="00382B76" w:rsidP="00EB4A76">
      <w:pPr>
        <w:pStyle w:val="text-base"/>
        <w:spacing w:before="0" w:after="0"/>
        <w:jc w:val="both"/>
        <w:rPr>
          <w:color w:val="000000" w:themeColor="text1"/>
          <w:lang w:val="en-US"/>
        </w:rPr>
      </w:pPr>
      <w:r w:rsidRPr="007C51DF">
        <w:rPr>
          <w:color w:val="000000" w:themeColor="text1"/>
          <w:lang w:val="en-US"/>
        </w:rPr>
        <w:t>W</w:t>
      </w:r>
      <w:r w:rsidR="00FC2397" w:rsidRPr="007C51DF">
        <w:rPr>
          <w:color w:val="000000" w:themeColor="text1"/>
          <w:lang w:val="en-US"/>
        </w:rPr>
        <w:t>ork</w:t>
      </w:r>
      <w:r w:rsidR="00932758" w:rsidRPr="007C51DF">
        <w:rPr>
          <w:color w:val="000000" w:themeColor="text1"/>
          <w:lang w:val="en-US"/>
        </w:rPr>
        <w:t>s</w:t>
      </w:r>
      <w:r w:rsidR="00FC2397" w:rsidRPr="007C51DF">
        <w:rPr>
          <w:color w:val="000000" w:themeColor="text1"/>
          <w:lang w:val="en-US"/>
        </w:rPr>
        <w:t xml:space="preserve"> reviewing RL in supply chain management </w:t>
      </w:r>
      <w:r w:rsidR="00947A46" w:rsidRPr="007C51DF">
        <w:rPr>
          <w:color w:val="000000" w:themeColor="text1"/>
          <w:lang w:val="en-US"/>
        </w:rPr>
        <w:t>focus on</w:t>
      </w:r>
      <w:r w:rsidR="00FC2397" w:rsidRPr="007C51DF">
        <w:rPr>
          <w:color w:val="000000" w:themeColor="text1"/>
          <w:lang w:val="en-US"/>
        </w:rPr>
        <w:t xml:space="preserve"> inventory control and resilience as key application domains </w:t>
      </w:r>
      <w:r w:rsidR="00862514" w:rsidRPr="007C51DF">
        <w:rPr>
          <w:color w:val="000000" w:themeColor="text1"/>
          <w:lang w:val="en-US"/>
        </w:rPr>
        <w:fldChar w:fldCharType="begin"/>
      </w:r>
      <w:r w:rsidR="00862514" w:rsidRPr="007C51DF">
        <w:rPr>
          <w:color w:val="000000" w:themeColor="text1"/>
          <w:lang w:val="en-US"/>
        </w:rPr>
        <w:instrText xml:space="preserve"> ADDIN ZOTERO_ITEM CSL_CITATION {"citationID":"ylFLf8TC","properties":{"formattedCitation":"(Rolf et al., 2023; Stranieri et al., 2024)","plainCitation":"(Rolf et al., 2023; Stranieri et al., 2024)","noteIndex":0},"citationItems":[{"id":3189,"uris":["http://zotero.org/users/12903205/items/T4A3KHNY"],"itemData":{"id":3189,"type":"article-journal","container-title":"International Journal of Production Research","DOI":"10.1080/00207543.2022.2140221","ISSN":"0020-7543, 1366-588X","issue":"20","journalAbbreviation":"International Journal of Production Research","language":"en","page":"7151-7179","source":"DOI.org (Crossref)","title":"A review on reinforcement learning algorithms and applications in supply chain management","volume":"61","author":[{"family":"Rolf","given":"Benjamin"},{"family":"Jackson","given":"Ilya"},{"family":"Müller","given":"Marcel"},{"family":"Lang","given":"Sebastian"},{"family":"Reggelin","given":"Tobias"},{"family":"Ivanov","given":"Dmitry"}],"issued":{"date-parts":[["2023",10,18]]}},"label":"page"},{"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label":"page"}],"schema":"https://github.com/citation-style-language/schema/raw/master/csl-citation.json"} </w:instrText>
      </w:r>
      <w:r w:rsidR="00862514" w:rsidRPr="007C51DF">
        <w:rPr>
          <w:color w:val="000000" w:themeColor="text1"/>
          <w:lang w:val="en-US"/>
        </w:rPr>
        <w:fldChar w:fldCharType="separate"/>
      </w:r>
      <w:r w:rsidR="00862514" w:rsidRPr="007C51DF">
        <w:rPr>
          <w:color w:val="000000" w:themeColor="text1"/>
          <w:lang w:val="en-US"/>
        </w:rPr>
        <w:t>(Rolf et al., 2023; Stranieri et al., 2024)</w:t>
      </w:r>
      <w:r w:rsidR="00862514" w:rsidRPr="007C51DF">
        <w:rPr>
          <w:color w:val="000000" w:themeColor="text1"/>
          <w:lang w:val="en-US"/>
        </w:rPr>
        <w:fldChar w:fldCharType="end"/>
      </w:r>
      <w:r w:rsidR="00FC2397" w:rsidRPr="007C51DF">
        <w:rPr>
          <w:color w:val="000000" w:themeColor="text1"/>
          <w:lang w:val="en-US"/>
        </w:rPr>
        <w:t xml:space="preserve">. AI techniques help understand the randomness behind inventory control and logics, beyond forecasting. RL has emerged as a method for addressing non-stationary environments where traditional methods </w:t>
      </w:r>
      <w:r w:rsidR="00136957" w:rsidRPr="007C51DF">
        <w:rPr>
          <w:color w:val="000000" w:themeColor="text1"/>
          <w:lang w:val="en-US"/>
        </w:rPr>
        <w:t>degrade in performance</w:t>
      </w:r>
      <w:r w:rsidR="00FC2397" w:rsidRPr="007C51DF">
        <w:rPr>
          <w:color w:val="000000" w:themeColor="text1"/>
          <w:lang w:val="en-US"/>
        </w:rPr>
        <w:t xml:space="preserve"> </w:t>
      </w:r>
      <w:r w:rsidR="00862514" w:rsidRPr="007C51DF">
        <w:rPr>
          <w:color w:val="000000" w:themeColor="text1"/>
          <w:lang w:val="en-US"/>
        </w:rPr>
        <w:fldChar w:fldCharType="begin"/>
      </w:r>
      <w:r w:rsidR="00862514" w:rsidRPr="007C51DF">
        <w:rPr>
          <w:color w:val="000000" w:themeColor="text1"/>
          <w:lang w:val="en-US"/>
        </w:rPr>
        <w:instrText xml:space="preserve"> ADDIN ZOTERO_ITEM CSL_CITATION {"citationID":"uiLviG67","properties":{"formattedCitation":"(Kegenbekov and Jackson, 2021)","plainCitation":"(Kegenbekov and Jackson, 2021)","noteIndex":0},"citationItems":[{"id":3480,"uris":["http://zotero.org/users/12903205/items/NSVJDKFQ"],"itemData":{"id":3480,"type":"article-journal","abstract":"Adaptive and highly synchronized supply chains can avoid a cascading rise-and-fall inventory dynamic and mitigate ripple effects caused by operational failures. This paper aims to demonstrate how a deep reinforcement learning agent based on the proximal policy optimization algorithm can synchronize inbound and outbound flows and support business continuity operating in the stochastic and nonstationary environment if end-to-end visibility is provided. The deep reinforcement learning agent is built upon the Proximal Policy Optimization algorithm, which does not require hardcoded action space and exhaustive hyperparameter tuning. These features, complimented with a straightforward supply chain environment, give rise to a general and task unspecific approach to adaptive control in multi-echelon supply chains. The proposed approach is compared with the base-stock policy, a well-known method in classic operations research and inventory control theory. The base-stock policy is prevalent in continuous-review inventory systems. The paper concludes with the statement that the proposed solution can perform adaptive control in complex supply chains. The paper also postulates fully fledged supply chain digital twins as a necessary infrastructural condition for scalable real-world applications.","container-title":"Algorithms","DOI":"10.3390/a14080240","ISSN":"1999-4893","issue":"8","journalAbbreviation":"Algorithms","language":"en","page":"240","source":"DOI.org (Crossref)","title":"Adaptive Supply Chain: Demand–Supply Synchronization Using Deep Reinforcement Learning","title-short":"Adaptive Supply Chain","volume":"14","author":[{"family":"Kegenbekov","given":"Zhandos"},{"family":"Jackson","given":"Ilya"}],"issued":{"date-parts":[["2021",8,15]]}}}],"schema":"https://github.com/citation-style-language/schema/raw/master/csl-citation.json"} </w:instrText>
      </w:r>
      <w:r w:rsidR="00862514" w:rsidRPr="007C51DF">
        <w:rPr>
          <w:color w:val="000000" w:themeColor="text1"/>
          <w:lang w:val="en-US"/>
        </w:rPr>
        <w:fldChar w:fldCharType="separate"/>
      </w:r>
      <w:r w:rsidR="00862514" w:rsidRPr="007C51DF">
        <w:rPr>
          <w:color w:val="000000" w:themeColor="text1"/>
          <w:lang w:val="en-US"/>
        </w:rPr>
        <w:t>(Kegenbekov and Jackson, 2021)</w:t>
      </w:r>
      <w:r w:rsidR="00862514" w:rsidRPr="007C51DF">
        <w:rPr>
          <w:color w:val="000000" w:themeColor="text1"/>
          <w:lang w:val="en-US"/>
        </w:rPr>
        <w:fldChar w:fldCharType="end"/>
      </w:r>
      <w:r w:rsidR="00FC2397" w:rsidRPr="00A25014">
        <w:rPr>
          <w:lang w:val="en-US"/>
        </w:rPr>
        <w:t>.</w:t>
      </w:r>
    </w:p>
    <w:p w14:paraId="4A8FF580" w14:textId="77777777" w:rsidR="003D7B18" w:rsidRPr="00CE76FE" w:rsidRDefault="005B3EBC" w:rsidP="00EB4A76">
      <w:pPr>
        <w:pStyle w:val="text-base"/>
        <w:spacing w:before="0" w:after="0"/>
        <w:jc w:val="both"/>
        <w:rPr>
          <w:color w:val="000000" w:themeColor="text1"/>
          <w:lang w:val="en-US"/>
        </w:rPr>
      </w:pPr>
      <w:r w:rsidRPr="00F34B55">
        <w:rPr>
          <w:lang w:val="en-US"/>
        </w:rPr>
        <w:t xml:space="preserve">Earlier work on reinforcement learning for inventory control in multi-echelon supply chains has already shown that adaptive policies can outperform fixed heuristics when demand and lead times are stochastic, even outside healthcare settings </w:t>
      </w:r>
      <w:r w:rsidR="00F34B55">
        <w:rPr>
          <w:lang w:val="en-US"/>
        </w:rPr>
        <w:fldChar w:fldCharType="begin"/>
      </w:r>
      <w:r w:rsidR="00F34B55">
        <w:rPr>
          <w:lang w:val="en-US"/>
        </w:rPr>
        <w:instrText xml:space="preserve"> ADDIN ZOTERO_ITEM CSL_CITATION {"citationID":"0xnVdJf4","properties":{"formattedCitation":"(Rolf et al., 2023)","plainCitation":"(Rolf et al., 2023)","noteIndex":0},"citationItems":[{"id":3189,"uris":["http://zotero.org/users/12903205/items/T4A3KHNY"],"itemData":{"id":3189,"type":"article-journal","container-title":"International Journal of Production Research","DOI":"10.1080/00207543.2022.2140221","ISSN":"0020-7543, 1366-588X","issue":"20","journalAbbreviation":"International Journal of Production Research","language":"en","page":"7151-7179","source":"DOI.org (Crossref)","title":"A review on reinforcement learning algorithms and applications in supply chain management","volume":"61","author":[{"family":"Rolf","given":"Benjamin"},{"family":"Jackson","given":"Ilya"},{"family":"Müller","given":"Marcel"},{"family":"Lang","given":"Sebastian"},{"family":"Reggelin","given":"Tobias"},{"family":"Ivanov","given":"Dmitry"}],"issued":{"date-parts":[["2023",10,18]]}}}],"schema":"https://github.com/citation-style-language/schema/raw/master/csl-citation.json"} </w:instrText>
      </w:r>
      <w:r w:rsidR="00F34B55">
        <w:rPr>
          <w:lang w:val="en-US"/>
        </w:rPr>
        <w:fldChar w:fldCharType="separate"/>
      </w:r>
      <w:r w:rsidR="00F34B55" w:rsidRPr="00F34B55">
        <w:rPr>
          <w:lang w:val="en-US"/>
        </w:rPr>
        <w:t>(Rolf et al., 2023)</w:t>
      </w:r>
      <w:r w:rsidR="00F34B55">
        <w:rPr>
          <w:lang w:val="en-US"/>
        </w:rPr>
        <w:fldChar w:fldCharType="end"/>
      </w:r>
      <w:r w:rsidRPr="00F34B55">
        <w:rPr>
          <w:lang w:val="en-US"/>
        </w:rPr>
        <w:t xml:space="preserve">. Applications, such as Deep Policy Iteration, demonstrate that an RL agent can learn nonlinear ordering policies that outperform static heuristics in symmetric supply chain settings </w:t>
      </w:r>
      <w:r w:rsidR="00F34B55">
        <w:rPr>
          <w:lang w:val="en-US"/>
        </w:rPr>
        <w:fldChar w:fldCharType="begin"/>
      </w:r>
      <w:r w:rsidR="00F34B55">
        <w:rPr>
          <w:lang w:val="en-US"/>
        </w:rPr>
        <w:instrText xml:space="preserve"> ADDIN ZOTERO_ITEM CSL_CITATION {"citationID":"ljMob7TF","properties":{"formattedCitation":"(Harsha et al., 2025)","plainCitation":"(Harsha et al., 2025)","noteIndex":0},"citationItems":[{"id":3429,"uris":["http://zotero.org/users/12903205/items/2MYMBLJ3"],"itemData":{"id":3429,"type":"article-journal","container-title":"Manufacturing &amp; Service Operations Management","DOI":"10.1287/msom.2022.0617","ISSN":"1523-4614, 1526-5498","issue":"2","page":"369–388","title":"Deep Policy Iteration with Integer Programming for Inventory Management","volume":"27","author":[{"family":"Harsha","given":"Pavithra"},{"family":"Jagmohan","given":"Ashish"},{"family":"Kalagnanam","given":"Jayant"},{"family":"Quanz","given":"Brian"},{"family":"Singhvi","given":"Divya"}],"issued":{"date-parts":[["2025",3]]}}}],"schema":"https://github.com/citation-style-language/schema/raw/master/csl-citation.json"} </w:instrText>
      </w:r>
      <w:r w:rsidR="00F34B55">
        <w:rPr>
          <w:lang w:val="en-US"/>
        </w:rPr>
        <w:fldChar w:fldCharType="separate"/>
      </w:r>
      <w:r w:rsidR="00F34B55" w:rsidRPr="00F34B55">
        <w:rPr>
          <w:lang w:val="en-US"/>
        </w:rPr>
        <w:t>(Harsha et al., 2025)</w:t>
      </w:r>
      <w:r w:rsidR="00F34B55">
        <w:rPr>
          <w:lang w:val="en-US"/>
        </w:rPr>
        <w:fldChar w:fldCharType="end"/>
      </w:r>
      <w:r w:rsidRPr="00F34B55">
        <w:rPr>
          <w:lang w:val="en-US"/>
        </w:rPr>
        <w:t xml:space="preserve">. At the same time, GAs help in the combinatorial optimization of the vehicle routing problem, which dynamic routing through scheduling does not allow </w:t>
      </w:r>
      <w:r w:rsidR="00F34B55">
        <w:rPr>
          <w:lang w:val="en-US"/>
        </w:rPr>
        <w:fldChar w:fldCharType="begin"/>
      </w:r>
      <w:r w:rsidR="00F34B55">
        <w:rPr>
          <w:lang w:val="en-US"/>
        </w:rPr>
        <w:instrText xml:space="preserve"> ADDIN ZOTERO_ITEM CSL_CITATION {"citationID":"aATIwm9I","properties":{"formattedCitation":"(Lam et al., 2024)","plainCitation":"(Lam et al., 2024)","noteIndex":0},"citationItems":[{"id":3316,"uris":["http://zotero.org/users/12903205/items/8VJYYMID"],"itemData":{"id":3316,"type":"article-journal","abstract":"As a famous population-based metaheuristic algorithm, a genetic algorithm can be used to overcome optimization complexities. A genetic algorithm adopts probabilistic transition rules and is suitable for parallelism, which makes this algorithm attractive in many areas, including the logistics and supply chain sector. To obtain a comprehensive understanding of the development in this area, this paper presents a bibliometric analysis on the application of a genetic algorithm in logistics and supply chains using data from 1991 to 2024 from the Web of Science database. The authors found a growing trend in the number of publications and citations over the years. This paper serves as an important reference to researchers by highlighting important research areas, such as multi-objective optimization, metaheuristics, sustainability issues in logistics, and machine learning integration. This bibliometric analysis also underlines the importance of Non-Dominated Sorting Genetic Algorithm II (NSGA-II), sustainability, machine learning, and variable neighborhood search in the application of a genetic algorithm in logistics and supply chains in the near future. The integration of a genetic algorithm with machine learning is also a potential research gap to be filled to overcome the limitations of genetic algorithms, such as the long computational time, difficulties in obtaining optimal solutions, and convergence issues for application in logistics and supply chains.","container-title":"Mathematics","DOI":"10.3390/math12081199","ISSN":"2227-7390","issue":"8","journalAbbreviation":"Mathematics","language":"en","license":"https://creativecommons.org/licenses/by/4.0/","page":"1199","source":"DOI.org (Crossref)","title":"A Bibliometric Analysis of a Genetic Algorithm for Supply Chain Agility","volume":"12","author":[{"family":"Lam","given":"Weng Hoe"},{"family":"Lam","given":"Weng Siew"},{"family":"Lee","given":"Pei Fun"}],"issued":{"date-parts":[["2024",4,17]]}}}],"schema":"https://github.com/citation-style-language/schema/raw/master/csl-citation.json"} </w:instrText>
      </w:r>
      <w:r w:rsidR="00F34B55">
        <w:rPr>
          <w:lang w:val="en-US"/>
        </w:rPr>
        <w:fldChar w:fldCharType="separate"/>
      </w:r>
      <w:r w:rsidR="00F34B55" w:rsidRPr="00F34B55">
        <w:rPr>
          <w:lang w:val="en-US"/>
        </w:rPr>
        <w:t>(Lam et al., 2024)</w:t>
      </w:r>
      <w:r w:rsidR="00F34B55">
        <w:rPr>
          <w:lang w:val="en-US"/>
        </w:rPr>
        <w:fldChar w:fldCharType="end"/>
      </w:r>
      <w:r w:rsidRPr="00F34B55">
        <w:rPr>
          <w:lang w:val="en-US"/>
        </w:rPr>
        <w:t xml:space="preserve">. However, although these algorithm developments are theoretically promising, their use in the public health domain requires validation against the cost constraint and service obligation of decentralized systems </w:t>
      </w:r>
      <w:r w:rsidR="00F34B55">
        <w:rPr>
          <w:lang w:val="en-US"/>
        </w:rPr>
        <w:fldChar w:fldCharType="begin"/>
      </w:r>
      <w:r w:rsidR="00F34B55">
        <w:rPr>
          <w:lang w:val="en-US"/>
        </w:rPr>
        <w:instrText xml:space="preserve"> ADDIN ZOTERO_ITEM CSL_CITATION {"citationID":"iR31jeD4","properties":{"formattedCitation":"(Stranieri et al., 2024)","plainCitation":"(Stranieri et al., 2024)","noteIndex":0},"citationItems":[{"id":3483,"uris":["http://zotero.org/users/12903205/items/EGMTTSVU"],"itemData":{"id":3483,"type":"article-journal","container-title":"International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schema":"https://github.com/citation-style-language/schema/raw/master/csl-citation.json"} </w:instrText>
      </w:r>
      <w:r w:rsidR="00F34B55">
        <w:rPr>
          <w:lang w:val="en-US"/>
        </w:rPr>
        <w:fldChar w:fldCharType="separate"/>
      </w:r>
      <w:r w:rsidR="00F34B55" w:rsidRPr="00F34B55">
        <w:rPr>
          <w:lang w:val="en-US"/>
        </w:rPr>
        <w:t>(Stranieri et al., 2024)</w:t>
      </w:r>
      <w:r w:rsidR="00F34B55">
        <w:rPr>
          <w:lang w:val="en-US"/>
        </w:rPr>
        <w:fldChar w:fldCharType="end"/>
      </w:r>
      <w:r w:rsidRPr="00F34B55">
        <w:rPr>
          <w:lang w:val="en-US"/>
        </w:rPr>
        <w:t>.</w:t>
      </w:r>
    </w:p>
    <w:p w14:paraId="0FCA0D3D" w14:textId="77777777" w:rsidR="00C730E6" w:rsidRPr="00A70916" w:rsidRDefault="002875A0" w:rsidP="00DD5FF3">
      <w:pPr>
        <w:pStyle w:val="Ttulo2"/>
      </w:pPr>
      <w:r>
        <w:t xml:space="preserve">2.3 </w:t>
      </w:r>
      <w:r w:rsidR="00246EF4" w:rsidRPr="00246EF4">
        <w:t>Stochastic inventory control policies as operational baselines</w:t>
      </w:r>
    </w:p>
    <w:p w14:paraId="112CBB2A" w14:textId="15BE0AF3" w:rsidR="000D39D7" w:rsidRPr="008D3FFF" w:rsidRDefault="005E2933" w:rsidP="000D39D7">
      <w:pPr>
        <w:pStyle w:val="text-base"/>
        <w:spacing w:before="0" w:after="0"/>
        <w:jc w:val="both"/>
        <w:rPr>
          <w:color w:val="000000" w:themeColor="text1"/>
          <w:lang w:val="en-US"/>
        </w:rPr>
      </w:pPr>
      <w:r w:rsidRPr="007C51DF">
        <w:rPr>
          <w:color w:val="000000" w:themeColor="text1"/>
          <w:lang w:val="en-US"/>
        </w:rPr>
        <w:t xml:space="preserve">Three families of stochastic inventory policies define the operational baselines for the present study. Static replenishment rules remain common in resource-constrained settings because they set fixed replenishment limits from historical averages and require limited recalibration over time </w:t>
      </w:r>
      <w:r w:rsidR="006D2B47" w:rsidRPr="007C51DF">
        <w:rPr>
          <w:color w:val="000000" w:themeColor="text1"/>
          <w:lang w:val="en-US"/>
        </w:rPr>
        <w:fldChar w:fldCharType="begin"/>
      </w:r>
      <w:r w:rsidR="006D2B47" w:rsidRPr="007C51DF">
        <w:rPr>
          <w:color w:val="000000" w:themeColor="text1"/>
          <w:lang w:val="en-US"/>
        </w:rPr>
        <w:instrText xml:space="preserve"> ADDIN ZOTERO_ITEM CSL_CITATION {"citationID":"qrhSxzdo","properties":{"formattedCitation":"(Pilati et al., 2024)","plainCitation":"(Pilati et al., 2024)","noteIndex":0},"citationItems":[{"id":3572,"uris":["http://zotero.org/users/12903205/items/VLCM27KM"],"itemData":{"id":3572,"type":"article-journal","container-title":"International Journal of Production Economics","DOI":"10.1016/j.ijpe.2024.109309","ISSN":"09255273","journalAbbreviation":"International Journal of Production Economics","language":"en","page":"109309","source":"DOI.org (Crossref)","title":"Environmentally sustainable inventory control for perishable products: A bi-objective reorder-level policy","title-short":"Environmentally sustainable inventory control for perishable products","volume":"274","author":[{"family":"Pilati","given":"Francesco"},{"family":"Giacomelli","given":"Marco"},{"family":"Brunelli","given":"Matteo"}],"issued":{"date-parts":[["2024",8]]}}}],"schema":"https://github.com/citation-style-language/schema/raw/master/csl-citation.json"} </w:instrText>
      </w:r>
      <w:r w:rsidR="006D2B47" w:rsidRPr="007C51DF">
        <w:rPr>
          <w:color w:val="000000" w:themeColor="text1"/>
          <w:lang w:val="en-US"/>
        </w:rPr>
        <w:fldChar w:fldCharType="separate"/>
      </w:r>
      <w:r w:rsidR="006D2B47" w:rsidRPr="007C51DF">
        <w:rPr>
          <w:color w:val="000000" w:themeColor="text1"/>
          <w:lang w:val="en-US"/>
        </w:rPr>
        <w:t>(Pilati et al., 2024)</w:t>
      </w:r>
      <w:r w:rsidR="006D2B47" w:rsidRPr="007C51DF">
        <w:rPr>
          <w:color w:val="000000" w:themeColor="text1"/>
          <w:lang w:val="en-US"/>
        </w:rPr>
        <w:fldChar w:fldCharType="end"/>
      </w:r>
      <w:r w:rsidR="006D2B47" w:rsidRPr="007C51DF">
        <w:rPr>
          <w:color w:val="000000" w:themeColor="text1"/>
          <w:lang w:val="en-US"/>
        </w:rPr>
        <w:t xml:space="preserve">. </w:t>
      </w:r>
      <w:r w:rsidRPr="007C51DF">
        <w:rPr>
          <w:color w:val="000000" w:themeColor="text1"/>
          <w:lang w:val="en-US"/>
        </w:rPr>
        <w:t xml:space="preserve">Dynamic rules, by contrast, adjust replenishment through smoothing-based updates that respond to observed demand while maintaining operational stability. Analytical base-stock policies </w:t>
      </w:r>
      <w:r w:rsidRPr="008D3FFF">
        <w:rPr>
          <w:color w:val="000000" w:themeColor="text1"/>
          <w:lang w:val="en-US"/>
        </w:rPr>
        <w:t xml:space="preserve">provide a third benchmark family by determining safety stock and replenishment targets from explicit service-level objectives, often through newsvendor-based formulations </w:t>
      </w:r>
      <w:r w:rsidR="006D2B47" w:rsidRPr="008D3FFF">
        <w:rPr>
          <w:color w:val="000000" w:themeColor="text1"/>
          <w:lang w:val="en-US"/>
        </w:rPr>
        <w:fldChar w:fldCharType="begin"/>
      </w:r>
      <w:r w:rsidR="006D2B47" w:rsidRPr="008D3FFF">
        <w:rPr>
          <w:color w:val="000000" w:themeColor="text1"/>
          <w:lang w:val="en-US"/>
        </w:rPr>
        <w:instrText xml:space="preserve"> ADDIN ZOTERO_ITEM CSL_CITATION {"citationID":"ldfkK1SN","properties":{"formattedCitation":"(Dehkhoda et al., 2025)","plainCitation":"(Dehkhoda et al., 2025)","noteIndex":0},"citationItems":[{"id":3344,"uris":["http://zotero.org/users/12903205/items/C8BEMCQS"],"itemData":{"id":3344,"type":"article-journal","container-title":"International Journal of Production Research","DOI":"10.1080/00207543.2024.2414380","ISSN":"0020-7543, 1366-588X","issue":"8","journalAbbreviation":"International Journal of Production Research","language":"en","page":"2970-2992","source":"DOI.org (Crossref)","title":"The effect of visibility on forecast and inventory management performance during the COVID-19 pandemic","volume":"63","author":[{"family":"Dehkhoda","given":"Kaveh"},{"family":"Bélanger","given":"Valérie"},{"family":"Cousineau","given":"Martin"}],"issued":{"date-parts":[["2025",4,18]]}}}],"schema":"https://github.com/citation-style-language/schema/raw/master/csl-citation.json"} </w:instrText>
      </w:r>
      <w:r w:rsidR="006D2B47" w:rsidRPr="008D3FFF">
        <w:rPr>
          <w:color w:val="000000" w:themeColor="text1"/>
          <w:lang w:val="en-US"/>
        </w:rPr>
        <w:fldChar w:fldCharType="separate"/>
      </w:r>
      <w:r w:rsidR="006D2B47" w:rsidRPr="008D3FFF">
        <w:rPr>
          <w:color w:val="000000" w:themeColor="text1"/>
          <w:lang w:val="en-US"/>
        </w:rPr>
        <w:t>(Dehkhoda et al., 2025)</w:t>
      </w:r>
      <w:r w:rsidR="006D2B47" w:rsidRPr="008D3FFF">
        <w:rPr>
          <w:color w:val="000000" w:themeColor="text1"/>
          <w:lang w:val="en-US"/>
        </w:rPr>
        <w:fldChar w:fldCharType="end"/>
      </w:r>
      <w:r w:rsidR="006D2B47" w:rsidRPr="008D3FFF">
        <w:rPr>
          <w:color w:val="000000" w:themeColor="text1"/>
          <w:lang w:val="en-US"/>
        </w:rPr>
        <w:t xml:space="preserve">. </w:t>
      </w:r>
      <w:r w:rsidR="000D39D7" w:rsidRPr="008D3FFF">
        <w:rPr>
          <w:color w:val="000000" w:themeColor="text1"/>
          <w:lang w:val="en-US"/>
        </w:rPr>
        <w:t>Because these policies are widely understood in operational practice, straightforward to audit, and credible from a managerial standpoint, we treat them as the benchmark set for the present study.</w:t>
      </w:r>
    </w:p>
    <w:p w14:paraId="147CC834" w14:textId="70E77919" w:rsidR="000D39D7" w:rsidRPr="006C3AB4" w:rsidRDefault="004B3702" w:rsidP="000D39D7">
      <w:pPr>
        <w:pStyle w:val="text-base"/>
        <w:spacing w:before="0" w:after="0"/>
        <w:jc w:val="both"/>
        <w:rPr>
          <w:color w:val="60CAF3" w:themeColor="accent4" w:themeTint="99"/>
          <w:lang w:val="en-US"/>
        </w:rPr>
      </w:pPr>
      <w:r w:rsidRPr="008D3FFF">
        <w:rPr>
          <w:color w:val="000000" w:themeColor="text1"/>
          <w:lang w:val="en-US"/>
        </w:rPr>
        <w:t>Parametric policies such as (r, Q) and (s, S) occupy a portion of the inventory literature, and their relevance increases when SKU histories are short</w:t>
      </w:r>
      <w:r w:rsidR="00173991" w:rsidRPr="008D3FFF">
        <w:rPr>
          <w:color w:val="000000" w:themeColor="text1"/>
          <w:lang w:val="en-US"/>
        </w:rPr>
        <w:t>,</w:t>
      </w:r>
      <w:r w:rsidRPr="008D3FFF">
        <w:rPr>
          <w:color w:val="000000" w:themeColor="text1"/>
          <w:lang w:val="en-US"/>
        </w:rPr>
        <w:t xml:space="preserve"> or demand is sparse and irregular, conditions that characterize many SUS medicine categories </w:t>
      </w:r>
      <w:r w:rsidRPr="008D3FFF">
        <w:rPr>
          <w:color w:val="000000" w:themeColor="text1"/>
          <w:lang w:val="en-US"/>
        </w:rPr>
        <w:fldChar w:fldCharType="begin"/>
      </w:r>
      <w:r w:rsidRPr="008D3FFF">
        <w:rPr>
          <w:color w:val="000000" w:themeColor="text1"/>
          <w:lang w:val="en-US"/>
        </w:rPr>
        <w:instrText xml:space="preserve"> ADDIN ZOTERO_ITEM CSL_CITATION {"citationID":"OfEBrR0s","properties":{"formattedCitation":"(Hasni et al., 2024; Perera and Sethi, 2023)","plainCitation":"(Hasni et al., 2024; Perera and Sethi, 2023)","noteIndex":0},"citationItems":[{"id":3552,"uris":["http://zotero.org/users/12903205/items/IARI8HVM"],"itemData":{"id":3552,"type":"article-journal","container-title":"International Journal of Production Research","DOI":"10.1080/00207543.2024.2306904","ISSN":"0020-7543, 1366-588X","issue":"17","journalAbbreviation":"International Journal of Production Research","language":"en","page":"6046-6063","source":"DOI.org (Crossref)","title":"A hybrid LSTM method for forecasting demands of medical items in humanitarian operations","volume":"62","author":[{"family":"Hasni","given":"Marwa"},{"family":"Babai","given":"M. Zied"},{"family":"Rostami-Tabar","given":"Bahman"}],"issued":{"date-parts":[["2024",9]]}},"label":"page"},{"id":3551,"uris":["http://zotero.org/users/12903205/items/ASICIAD4"],"itemData":{"id":3551,"type":"article-journal","abstract":"Fixed costs of ordering items or setting up a production process arise in many real‐life scenarios. In their presence, the most widely used ordering policy in the stochastic inventory literature is the\n              \n                \n                  \n                    \n                      \n                        (\n                        s\n                        ,\n                        S\n                        )\n                      \n                      $(s,S)$\n                    \n                  \n                  \n                \n              \n              policy. Optimality of\n              \n                \n                  \n                    \n                      \n                        (\n                        s\n                        ,\n                        S\n                        )\n                      \n                      $(s,S)$\n                    \n                  \n                  \n                \n              \n              policies and\n              \n                \n                  \n                    \n                      \n                        (\n                        s\n                        ,\n                        S\n                        )\n                      \n                      $(s,S)$\n                    \n                  \n                  \n                \n              \n              ‐type policies have been examined for various inventory models, including those with the inventory level being reviewed in every period or continuously, finite and infinite horizons, discounted‐cost and average‐cost criteria, backlogging and lost‐sales practices, standard and generalized demands and/or costs, deterministic and stochastic lead times, single‐product and multi‐product settings, and coordinated pricing‐inventory decisions. We comprehensively survey the vast literature accumulated over seven decades in two papers. This paper is devoted to\n              continuous‐time\n              models, and the companion paper, also published in this journal issue, reviews\n              discrete‐time\n              models. We go over model specifications, proof techniques, specific results, and limitations of the articles published in the literature. We conclude each paper by providing corresponding suggestions for extensions and directions for future research.","container-title":"Production and Operations Management","DOI":"10.1111/poms.13819","ISSN":"1059-1478, 1937-5956","issue":"1","journalAbbreviation":"Production and Operations Management","language":"en","page":"154-169","source":"DOI.org (Crossref)","title":"A survey of stochastic inventory models with fixed costs: Optimality of ( &lt;i&gt;s&lt;/i&gt; , &lt;i&gt;S&lt;/i&gt; ) and ( &lt;i&gt;s&lt;/i&gt; , &lt;i&gt;S&lt;/i&gt; )‐type policies—Continuous‐time case","title-short":"A survey of stochastic inventory models with fixed costs","volume":"32","author":[{"family":"Perera","given":"Sandun C."},{"family":"Sethi","given":"Suresh P."}],"issued":{"date-parts":[["2023",1]]}},"label":"page"}],"schema":"https://github.com/citation-style-language/schema/raw/master/csl-citation.json"} </w:instrText>
      </w:r>
      <w:r w:rsidRPr="008D3FFF">
        <w:rPr>
          <w:color w:val="000000" w:themeColor="text1"/>
          <w:lang w:val="en-US"/>
        </w:rPr>
        <w:fldChar w:fldCharType="separate"/>
      </w:r>
      <w:r w:rsidRPr="008D3FFF">
        <w:rPr>
          <w:color w:val="000000" w:themeColor="text1"/>
          <w:lang w:val="en-US"/>
        </w:rPr>
        <w:t>(Hasni et al., 2024; Perera and Sethi, 2023)</w:t>
      </w:r>
      <w:r w:rsidRPr="008D3FFF">
        <w:rPr>
          <w:color w:val="000000" w:themeColor="text1"/>
          <w:lang w:val="en-US"/>
        </w:rPr>
        <w:fldChar w:fldCharType="end"/>
      </w:r>
      <w:r w:rsidRPr="008D3FFF">
        <w:rPr>
          <w:color w:val="000000" w:themeColor="text1"/>
          <w:lang w:val="en-US"/>
        </w:rPr>
        <w:t xml:space="preserve">. Forecast quality and downstream inventory outcomes are empirically linked in such settings </w:t>
      </w:r>
      <w:r w:rsidRPr="008D3FFF">
        <w:rPr>
          <w:color w:val="000000" w:themeColor="text1"/>
          <w:lang w:val="en-US"/>
        </w:rPr>
        <w:fldChar w:fldCharType="begin"/>
      </w:r>
      <w:r w:rsidRPr="008D3FFF">
        <w:rPr>
          <w:color w:val="000000" w:themeColor="text1"/>
          <w:lang w:val="en-US"/>
        </w:rPr>
        <w:instrText xml:space="preserve"> ADDIN ZOTERO_ITEM CSL_CITATION {"citationID":"pKvj3L6N","properties":{"formattedCitation":"(Theodorou et al., 2025)","plainCitation":"(Theodorou et al., 2025)","noteIndex":0},"citationItems":[{"id":3508,"uris":["http://zotero.org/users/12903205/items/A4ARMHWF"],"itemData":{"id":3508,"type":"article-journal","container-title":"European Journal of Operational Research","DOI":"10.1016/j.ejor.2024.12.033","ISSN":"03772217","issue":"2","journalAbbreviation":"European Journal of Operational Research","language":"en","page":"414-426","source":"DOI.org (Crossref)","title":"Forecast accuracy and inventory performance: Insights on their relationship from the M5 competition data","title-short":"Forecast accuracy and inventory performance","volume":"322","author":[{"family":"Theodorou","given":"Evangelos"},{"family":"Spiliotis","given":"Evangelos"},{"family":"Assimakopoulos","given":"Vassilios"}],"issued":{"date-parts":[["2025",4]]}}}],"schema":"https://github.com/citation-style-language/schema/raw/master/csl-citation.json"} </w:instrText>
      </w:r>
      <w:r w:rsidRPr="008D3FFF">
        <w:rPr>
          <w:color w:val="000000" w:themeColor="text1"/>
          <w:lang w:val="en-US"/>
        </w:rPr>
        <w:fldChar w:fldCharType="separate"/>
      </w:r>
      <w:r w:rsidRPr="008D3FFF">
        <w:rPr>
          <w:color w:val="000000" w:themeColor="text1"/>
          <w:lang w:val="en-US"/>
        </w:rPr>
        <w:t>(Theodorou et al., 2025)</w:t>
      </w:r>
      <w:r w:rsidRPr="008D3FFF">
        <w:rPr>
          <w:color w:val="000000" w:themeColor="text1"/>
          <w:lang w:val="en-US"/>
        </w:rPr>
        <w:fldChar w:fldCharType="end"/>
      </w:r>
      <w:r w:rsidRPr="008D3FFF">
        <w:rPr>
          <w:color w:val="000000" w:themeColor="text1"/>
          <w:lang w:val="en-US"/>
        </w:rPr>
        <w:t xml:space="preserve">, and less discussed is how </w:t>
      </w:r>
      <w:r w:rsidR="00173991" w:rsidRPr="008D3FFF">
        <w:rPr>
          <w:color w:val="000000" w:themeColor="text1"/>
          <w:lang w:val="en-US"/>
        </w:rPr>
        <w:t>to formalize intermittency and irregularity</w:t>
      </w:r>
      <w:r w:rsidRPr="008D3FFF">
        <w:rPr>
          <w:color w:val="000000" w:themeColor="text1"/>
          <w:lang w:val="en-US"/>
        </w:rPr>
        <w:t xml:space="preserve"> within cost-based control models without abandoning closed-form tractability </w:t>
      </w:r>
      <w:r w:rsidRPr="008D3FFF">
        <w:rPr>
          <w:color w:val="000000" w:themeColor="text1"/>
          <w:lang w:val="en-US"/>
        </w:rPr>
        <w:fldChar w:fldCharType="begin"/>
      </w:r>
      <w:r w:rsidRPr="008D3FFF">
        <w:rPr>
          <w:color w:val="000000" w:themeColor="text1"/>
          <w:lang w:val="en-US"/>
        </w:rPr>
        <w:instrText xml:space="preserve"> ADDIN ZOTERO_ITEM CSL_CITATION {"citationID":"oHiiodqI","properties":{"formattedCitation":"(Ye et al., 2022)","plainCitation":"(Ye et al., 2022)","noteIndex":0},"citationItems":[{"id":3507,"uris":["http://zotero.org/users/12903205/items/R3859PQS"],"itemData":{"id":3507,"type":"article-journal","container-title":"European Journal of Operational Research","DOI":"10.1016/j.ejor.2022.02.033","ISSN":"03772217","issue":"1","journalAbbreviation":"European Journal of Operational Research","language":"en","page":"255-272","source":"DOI.org (Crossref)","title":"An empirical Bayes approach to incorporating demand intermittency and irregularity into inventory control","volume":"303","author":[{"family":"Ye","given":"Yuan"},{"family":"Lu","given":"Yonggang"},{"family":"Robinson","given":"Powell"},{"family":"Narayanan","given":"Arunachalam"}],"issued":{"date-parts":[["2022",11]]}}}],"schema":"https://github.com/citation-style-language/schema/raw/master/csl-citation.json"} </w:instrText>
      </w:r>
      <w:r w:rsidRPr="008D3FFF">
        <w:rPr>
          <w:color w:val="000000" w:themeColor="text1"/>
          <w:lang w:val="en-US"/>
        </w:rPr>
        <w:fldChar w:fldCharType="separate"/>
      </w:r>
      <w:r w:rsidRPr="008D3FFF">
        <w:rPr>
          <w:color w:val="000000" w:themeColor="text1"/>
          <w:lang w:val="en-US"/>
        </w:rPr>
        <w:t>(Ye et al., 2022)</w:t>
      </w:r>
      <w:r w:rsidRPr="008D3FFF">
        <w:rPr>
          <w:color w:val="000000" w:themeColor="text1"/>
          <w:lang w:val="en-US"/>
        </w:rPr>
        <w:fldChar w:fldCharType="end"/>
      </w:r>
      <w:r w:rsidRPr="004B3702">
        <w:rPr>
          <w:color w:val="60CAF3" w:themeColor="accent4" w:themeTint="99"/>
          <w:lang w:val="en-US"/>
        </w:rPr>
        <w:t>.</w:t>
      </w:r>
      <w:r w:rsidRPr="004B3702">
        <w:rPr>
          <w:color w:val="D86DCB" w:themeColor="accent5" w:themeTint="99"/>
          <w:lang w:val="en-US"/>
        </w:rPr>
        <w:t xml:space="preserve"> A separate methodological strand avoids value-function estimation altogether, tuning parametric policies through simulation-based search and surrogate-assisted optimization under stochastic demand </w:t>
      </w:r>
      <w:r w:rsidRPr="004B3702">
        <w:rPr>
          <w:lang w:val="en-US"/>
        </w:rPr>
        <w:fldChar w:fldCharType="begin"/>
      </w:r>
      <w:r w:rsidRPr="004B3702">
        <w:rPr>
          <w:lang w:val="en-US"/>
        </w:rPr>
        <w:instrText xml:space="preserve"> ADDIN ZOTERO_ITEM CSL_CITATION {"citationID":"5oT00xHV","properties":{"formattedCitation":"(Liu and Nishi, 2024)","plainCitation":"(Liu and Nishi, 2024)","noteIndex":0},"citationItems":[{"id":3506,"uris":["http://zotero.org/users/12903205/items/BKQN5KLB"],"itemData":{"id":3506,"type":"article-journal","container-title":"Expert Systems with Applications","DOI":"10.1016/j.eswa.2023.122179","ISSN":"09574174","journalAbbreviation":"Expert Systems with Applications","language":"en","page":"122179","source":"DOI.org (Crossref)","title":"Surrogate-assisted evolutionary optimization for perishable inventory management in multi-echelon distribution systems","volume":"238","author":[{"family":"Liu","given":"Ziang"},{"family":"Nishi","given":"Tatsushi"}],"issued":{"date-parts":[["2024",3]]}}}],"schema":"https://github.com/citation-style-language/schema/raw/master/csl-citation.json"} </w:instrText>
      </w:r>
      <w:r w:rsidRPr="004B3702">
        <w:rPr>
          <w:lang w:val="en-US"/>
        </w:rPr>
        <w:fldChar w:fldCharType="separate"/>
      </w:r>
      <w:r w:rsidRPr="004B3702">
        <w:rPr>
          <w:lang w:val="en-US"/>
        </w:rPr>
        <w:t>(Liu and Nishi, 2024)</w:t>
      </w:r>
      <w:r w:rsidRPr="004B3702">
        <w:rPr>
          <w:lang w:val="en-US"/>
        </w:rPr>
        <w:fldChar w:fldCharType="end"/>
      </w:r>
      <w:r w:rsidRPr="004B3702">
        <w:rPr>
          <w:color w:val="60CAF3" w:themeColor="accent4" w:themeTint="99"/>
          <w:lang w:val="en-US"/>
        </w:rPr>
        <w:t xml:space="preserve">. </w:t>
      </w:r>
      <w:r w:rsidRPr="004B3702">
        <w:rPr>
          <w:color w:val="D86DCB" w:themeColor="accent5" w:themeTint="99"/>
          <w:lang w:val="en-US"/>
        </w:rPr>
        <w:t>The strands converge on two evaluation requirements for low-data settings: forecast-informed baselines and forecaster ablations must be included, and any incremental value attributed to reinforcement learning should be assessed against well-specified non-learning alternatives</w:t>
      </w:r>
      <w:r>
        <w:rPr>
          <w:color w:val="D86DCB" w:themeColor="accent5" w:themeTint="99"/>
          <w:lang w:val="en-US"/>
        </w:rPr>
        <w:t xml:space="preserve">, </w:t>
      </w:r>
      <w:r w:rsidRPr="004B3702">
        <w:rPr>
          <w:color w:val="D86DCB" w:themeColor="accent5" w:themeTint="99"/>
          <w:lang w:val="en-US"/>
        </w:rPr>
        <w:t>a choice that shapes how claims about AI superiority are interpreted when training data are limited.</w:t>
      </w:r>
    </w:p>
    <w:p w14:paraId="6EA0ACD7" w14:textId="77777777" w:rsidR="00934A5A" w:rsidRPr="00A70916" w:rsidRDefault="002875A0" w:rsidP="00DD5FF3">
      <w:pPr>
        <w:pStyle w:val="Ttulo2"/>
      </w:pPr>
      <w:bookmarkStart w:id="0" w:name="_Hlk214687790"/>
      <w:r>
        <w:t xml:space="preserve">2.4 </w:t>
      </w:r>
      <w:r w:rsidR="00934A5A" w:rsidRPr="00A70916">
        <w:t>Research Gaps: The Need for Multi-Baseline Comparison</w:t>
      </w:r>
    </w:p>
    <w:p w14:paraId="404F3FD6" w14:textId="63252095" w:rsidR="009338CE" w:rsidRPr="009338CE" w:rsidRDefault="009338CE" w:rsidP="009338CE">
      <w:pPr>
        <w:pStyle w:val="text-base"/>
        <w:jc w:val="both"/>
        <w:rPr>
          <w:color w:val="D86DCB" w:themeColor="accent5" w:themeTint="99"/>
          <w:lang w:val="en-US"/>
        </w:rPr>
      </w:pPr>
      <w:r w:rsidRPr="009338CE">
        <w:rPr>
          <w:color w:val="D86DCB" w:themeColor="accent5" w:themeTint="99"/>
          <w:lang w:val="en-US"/>
        </w:rPr>
        <w:t xml:space="preserve">Three problems remain open. The first is methodological: many AI studies compare learned policies against simple manual rules or otherwise weak comparators, so reported gains may reflect baseline weakness as much as policy quality </w:t>
      </w:r>
      <w:r w:rsidR="00E32889" w:rsidRPr="002E4BC0">
        <w:rPr>
          <w:color w:val="D86DCB" w:themeColor="accent5" w:themeTint="99"/>
          <w:lang w:val="en-US"/>
        </w:rPr>
        <w:fldChar w:fldCharType="begin"/>
      </w:r>
      <w:r w:rsidR="00E32889" w:rsidRPr="002E4BC0">
        <w:rPr>
          <w:color w:val="D86DCB" w:themeColor="accent5" w:themeTint="99"/>
          <w:lang w:val="en-US"/>
        </w:rPr>
        <w:instrText xml:space="preserve"> ADDIN ZOTERO_ITEM CSL_CITATION {"citationID":"9WjOoVzm","properties":{"formattedCitation":"(Long et al., 2023)","plainCitation":"(Long et al., 2023)","noteIndex":0},"citationItems":[{"id":3415,"uris":["http://zotero.org/users/12903205/items/UWB8Q6DG"],"itemData":{"id":3415,"type":"article-journal","container-title":"Frontiers in Public Health","DOI":"10.3389/fpubh.2023.1310016","ISSN":"2296-2565","page":"1310016","title":"Intelligent selection of healthcare supply chain mode – an applied research based on artificial intelligence","volume":"11","author":[{"family":"Long","given":"Ping"},{"family":"Lu","given":"Lin"},{"family":"Chen","given":"Qianlan"},{"family":"Chen","given":"Yifan"},{"family":"Li","given":"Chaoling"},{"family":"Luo","given":"Xiaochun"}],"issued":{"date-parts":[["2023",12,11]]}}}],"schema":"https://github.com/citation-style-language/schema/raw/master/csl-citation.json"} </w:instrText>
      </w:r>
      <w:r w:rsidR="00E32889" w:rsidRPr="002E4BC0">
        <w:rPr>
          <w:color w:val="D86DCB" w:themeColor="accent5" w:themeTint="99"/>
          <w:lang w:val="en-US"/>
        </w:rPr>
        <w:fldChar w:fldCharType="separate"/>
      </w:r>
      <w:r w:rsidR="00E32889" w:rsidRPr="002E4BC0">
        <w:rPr>
          <w:color w:val="D86DCB" w:themeColor="accent5" w:themeTint="99"/>
          <w:lang w:val="en-US"/>
        </w:rPr>
        <w:t>(Long et al., 2023)</w:t>
      </w:r>
      <w:r w:rsidR="00E32889" w:rsidRPr="002E4BC0">
        <w:rPr>
          <w:color w:val="D86DCB" w:themeColor="accent5" w:themeTint="99"/>
          <w:lang w:val="en-US"/>
        </w:rPr>
        <w:fldChar w:fldCharType="end"/>
      </w:r>
      <w:r w:rsidR="00006687" w:rsidRPr="002E4BC0">
        <w:rPr>
          <w:color w:val="D86DCB" w:themeColor="accent5" w:themeTint="99"/>
          <w:lang w:val="en-US"/>
        </w:rPr>
        <w:t xml:space="preserve">. </w:t>
      </w:r>
      <w:r>
        <w:rPr>
          <w:color w:val="D86DCB" w:themeColor="accent5" w:themeTint="99"/>
          <w:lang w:val="en-US"/>
        </w:rPr>
        <w:t>E</w:t>
      </w:r>
      <w:r w:rsidRPr="009338CE">
        <w:rPr>
          <w:color w:val="D86DCB" w:themeColor="accent5" w:themeTint="99"/>
          <w:lang w:val="en-US"/>
        </w:rPr>
        <w:t xml:space="preserve">vidence from more rigorous designs suggests that performance in operational settings is highly sensitive to </w:t>
      </w:r>
      <w:r w:rsidRPr="009338CE">
        <w:rPr>
          <w:color w:val="D86DCB" w:themeColor="accent5" w:themeTint="99"/>
          <w:lang w:val="en-US"/>
        </w:rPr>
        <w:lastRenderedPageBreak/>
        <w:t xml:space="preserve">both </w:t>
      </w:r>
      <w:r w:rsidR="0022323D">
        <w:rPr>
          <w:color w:val="D86DCB" w:themeColor="accent5" w:themeTint="99"/>
          <w:lang w:val="en-US"/>
        </w:rPr>
        <w:t>the strength of the comparator and the evaluation protocol (Zheng et al., 2026), which is why a defensible comparison evaluates static, dynamic, and analytical policies under the same stochastic conditions and</w:t>
      </w:r>
      <w:r w:rsidRPr="009338CE">
        <w:rPr>
          <w:color w:val="D86DCB" w:themeColor="accent5" w:themeTint="99"/>
          <w:lang w:val="en-US"/>
        </w:rPr>
        <w:t xml:space="preserve"> along the same realized trajectories.</w:t>
      </w:r>
    </w:p>
    <w:p w14:paraId="720D7B9D" w14:textId="22305148" w:rsidR="00877B48" w:rsidRPr="00877B48" w:rsidRDefault="009338CE" w:rsidP="00877B48">
      <w:pPr>
        <w:pStyle w:val="text-base"/>
        <w:jc w:val="both"/>
        <w:rPr>
          <w:color w:val="D86DCB" w:themeColor="accent5" w:themeTint="99"/>
          <w:lang w:val="en-US"/>
        </w:rPr>
      </w:pPr>
      <w:r w:rsidRPr="009338CE">
        <w:rPr>
          <w:color w:val="D86DCB" w:themeColor="accent5" w:themeTint="99"/>
          <w:lang w:val="en-US"/>
        </w:rPr>
        <w:t xml:space="preserve">The second problem is contextual, and less often examined directly. Under which operating conditions AI-based policies help—and under which they do not—remains unclear </w:t>
      </w:r>
      <w:r w:rsidR="00062135" w:rsidRPr="002E4BC0">
        <w:rPr>
          <w:color w:val="D86DCB" w:themeColor="accent5" w:themeTint="99"/>
          <w:lang w:val="en-US"/>
        </w:rPr>
        <w:t xml:space="preserve"> </w:t>
      </w:r>
      <w:r w:rsidR="0040256A" w:rsidRPr="002E4BC0">
        <w:rPr>
          <w:color w:val="D86DCB" w:themeColor="accent5" w:themeTint="99"/>
          <w:lang w:val="en-US"/>
        </w:rPr>
        <w:fldChar w:fldCharType="begin"/>
      </w:r>
      <w:r w:rsidR="0040256A" w:rsidRPr="002E4BC0">
        <w:rPr>
          <w:color w:val="D86DCB" w:themeColor="accent5" w:themeTint="99"/>
          <w:lang w:val="en-US"/>
        </w:rPr>
        <w:instrText xml:space="preserve"> ADDIN ZOTERO_ITEM CSL_CITATION {"citationID":"Ex1vypMQ","properties":{"formattedCitation":"(Cannas et al., 2024; Kumar et al., 2023)","plainCitation":"(Cannas et al., 2024; Kumar et al., 2023)","noteIndex":0},"citationItems":[{"id":3416,"uris":["http://zotero.org/users/12903205/items/53QALC7V"],"itemData":{"id":3416,"type":"article-journal","container-title":"International Journal of Production Research","DOI":"10.1080/00207543.2023.2232050","ISSN":"0020-7543, 1366-588X","issue":"9","page":"3333–3360","title":"Artificial intelligence in supply chain and operations management: a multiple case study research","volume":"62","author":[{"family":"Cannas","given":"Violetta Giada"},{"family":"Ciano","given":"Maria Pia"},{"family":"Saltalamacchia","given":"Mattia"},{"family":"Secchi","given":"Raffaele"}],"issued":{"date-parts":[["2024",5,2]]}},"label":"page"},{"id":2285,"uris":["http://zotero.org/users/12903205/items/SLEJU2EN"],"itemData":{"id":2285,"type":"article-journal","abstract":"Healthcare is one of the most critical sectors due to its importance in handling public health. With the outbreak of various diseases, more recently during Covid-19, this sector has gained further attention. The pandemic has exposed vulnerabilities in the healthcare supply chain (HSC). Recent advancements like the adoption of various advanced technologies viz. AI and Industry 4.0 in the healthcare supply chain are turning out to be game-changers. This study focuses on identifying critical success factors (CSFs) for AI adoption in HSC in the emerging economy context. Rough SWARA is used for ranking CSFs of AI adoption in HSC. Results indicate that technological (TEC) factors are the most influential factor that impacts the adoption of AI in HSC in the context of emerging economies, followed by institutional or environmental (INT), human (HUM), and organizational (ORG) dimensions.","container-title":"Computers &amp; Industrial Engineering","DOI":"10.1016/j.cie.2022.108815","ISSN":"0360-8352","journalAbbreviation":"Computers &amp; Industrial Engineering","page":"108815","source":"ScienceDirect","title":"Managing healthcare supply chain through artificial intelligence (AI): A study of critical success factors","title-short":"Managing healthcare supply chain through artificial intelligence (AI)","volume":"175","author":[{"family":"Kumar","given":"Ashwani"},{"family":"Mani","given":"Venkatesh"},{"family":"Jain","given":"Vranda"},{"family":"Gupta","given":"Himanshu"},{"family":"Venkatesh","given":"V. G."}],"issued":{"date-parts":[["2023",1,1]]}},"label":"page"}],"schema":"https://github.com/citation-style-language/schema/raw/master/csl-citation.json"} </w:instrText>
      </w:r>
      <w:r w:rsidR="0040256A" w:rsidRPr="002E4BC0">
        <w:rPr>
          <w:color w:val="D86DCB" w:themeColor="accent5" w:themeTint="99"/>
          <w:lang w:val="en-US"/>
        </w:rPr>
        <w:fldChar w:fldCharType="separate"/>
      </w:r>
      <w:r w:rsidR="0040256A" w:rsidRPr="002E4BC0">
        <w:rPr>
          <w:color w:val="D86DCB" w:themeColor="accent5" w:themeTint="99"/>
          <w:lang w:val="en-US"/>
        </w:rPr>
        <w:t>(Cannas et al., 2024; Kumar et al., 2023)</w:t>
      </w:r>
      <w:r w:rsidR="0040256A" w:rsidRPr="002E4BC0">
        <w:rPr>
          <w:color w:val="D86DCB" w:themeColor="accent5" w:themeTint="99"/>
          <w:lang w:val="en-US"/>
        </w:rPr>
        <w:fldChar w:fldCharType="end"/>
      </w:r>
      <w:r w:rsidR="0040256A" w:rsidRPr="002E4BC0">
        <w:rPr>
          <w:color w:val="D86DCB" w:themeColor="accent5" w:themeTint="99"/>
          <w:lang w:val="en-US"/>
        </w:rPr>
        <w:t xml:space="preserve">. </w:t>
      </w:r>
      <w:r w:rsidR="00877B48" w:rsidRPr="00877B48">
        <w:rPr>
          <w:color w:val="D86DCB" w:themeColor="accent5" w:themeTint="99"/>
          <w:lang w:val="en-US"/>
        </w:rPr>
        <w:t xml:space="preserve">Stable demand, high volatility, seasonal surges, and supply disruption impose different burdens on an inventory policy, not only in magnitude but in </w:t>
      </w:r>
      <w:proofErr w:type="gramStart"/>
      <w:r w:rsidR="00877B48" w:rsidRPr="00877B48">
        <w:rPr>
          <w:color w:val="D86DCB" w:themeColor="accent5" w:themeTint="99"/>
          <w:lang w:val="en-US"/>
        </w:rPr>
        <w:t>mechanism</w:t>
      </w:r>
      <w:proofErr w:type="gramEnd"/>
      <w:r w:rsidR="00877B48" w:rsidRPr="00877B48">
        <w:rPr>
          <w:color w:val="D86DCB" w:themeColor="accent5" w:themeTint="99"/>
          <w:lang w:val="en-US"/>
        </w:rPr>
        <w:t xml:space="preserve">. Most studies do not compare these regimes within a controlled design that keeps the stochastic environment fixed and supports regime-specific inference </w:t>
      </w:r>
      <w:r w:rsidR="00062135" w:rsidRPr="002E4BC0">
        <w:rPr>
          <w:color w:val="D86DCB" w:themeColor="accent5" w:themeTint="99"/>
          <w:lang w:val="en-US"/>
        </w:rPr>
        <w:t xml:space="preserve"> </w:t>
      </w:r>
      <w:r w:rsidR="00E32889" w:rsidRPr="002E4BC0">
        <w:rPr>
          <w:color w:val="D86DCB" w:themeColor="accent5" w:themeTint="99"/>
          <w:lang w:val="en-US"/>
        </w:rPr>
        <w:fldChar w:fldCharType="begin"/>
      </w:r>
      <w:r w:rsidR="00E32889" w:rsidRPr="002E4BC0">
        <w:rPr>
          <w:color w:val="D86DCB" w:themeColor="accent5" w:themeTint="99"/>
          <w:lang w:val="en-US"/>
        </w:rPr>
        <w:instrText xml:space="preserve"> ADDIN ZOTERO_ITEM CSL_CITATION {"citationID":"V7sJskiS","properties":{"formattedCitation":"(Fan et al., 2024; Iftikhar et al., 2024; Maharjan and Kato, 2022)","plainCitation":"(Fan et al., 2024; Iftikhar et al., 2024; Maharjan and Kato, 2022)","noteIndex":0},"citationItems":[{"id":3275,"uris":["http://zotero.org/users/12903205/items/2WEUK6NZ"],"itemData":{"id":3275,"type":"article","abstract":"The rapid advancement of artificial intelligence (AI) techniques has opened up new opportunities to revolutionize various fields, including operations research (OR). This survey paper explores the integration of AI within the OR process (AI4OR) to enhance its effectiveness and efficiency across multiple stages, such as parameter generation, model formulation, and model optimization. By providing a comprehensive overview of the state-of-the-art and examining the potential of AI to transform OR, this paper aims to inspire further research and innovation in the development of AI-enhanced OR methods and tools. The synergy between AI and OR is poised to drive significant advancements and novel solutions in a multitude of domains, ultimately leading to more effective and efficient decision-making.","DOI":"10.48550/ARXIV.2401.03244","license":"arXiv.org perpetual, non-exclusive license","note":"version: 2","publisher":"arXiv","source":"DOI.org (Datacite)","title":"Artificial Intelligence for Operations Research: Revolutionizing the Operations Research Process","title-short":"Artificial Intelligence for Operations Research","URL":"https://arxiv.org/abs/2401.03244","author":[{"family":"Fan","given":"Zhenan"},{"family":"Ghaddar","given":"Bissan"},{"family":"Wang","given":"Xinglu"},{"family":"Xing","given":"Linzi"},{"family":"Zhang","given":"Yong"},{"family":"Zhou","given":"Zirui"}],"accessed":{"date-parts":[["2025",9,14]]},"issued":{"date-parts":[["2024"]]}},"label":"page"},{"id":3542,"uris":["http://zotero.org/users/12903205/items/NYW8LQS4"],"itemData":{"id":3542,"type":"article-journal","abstract":"Abstract\n            In recent times, the literature has seen considerable growth in research at the intersection of digital innovation, data analytics, and supply chain resilience. While the number of studies on the topic has been burgeoning, due to the absence of a comprehensive literature review, it remains unclear what aspects of the subject have already been investigated and what are the avenues for impactful future research. Integrating bibliometric analysis with a systematic review approach, this paper offers the review of 262 articles at the nexus of innovative technologies, data analytics, and supply chain resiliency. The analysis uncovers the critical research clusters, the evolution of research over time, knowledge trajectories and methodological development in the area. Our thorough analysis enriches contemporary knowledge on the subject by consolidating the dispersed literature on the significance of innovative technologies, data analytics and supply chain resilience thereby recognizing major research clusters or domains and fruitful paths for future research. The review also helps improve practitioners’ awareness of the recent research on the topic by recapping key findings of a large amount of literature in one place.","container-title":"Annals of Operations Research","DOI":"10.1007/s10479-022-04765-6","ISSN":"0254-5330, 1572-9338","issue":"2-3","journalAbbreviation":"Ann Oper Res","language":"en","page":"825-848","source":"DOI.org (Crossref)","title":"Digital Innovation, Data Analytics, and Supply Chain Resiliency: A Bibliometric-based Systematic Literature Review","title-short":"Digital Innovation, Data Analytics, and Supply Chain Resiliency","volume":"333","author":[{"family":"Iftikhar","given":"Anas"},{"family":"Ali","given":"Imran"},{"family":"Arslan","given":"Ahmad"},{"family":"Tarba","given":"Shlomo"}],"issued":{"date-parts":[["2024",2]]}},"label":"page"},{"id":3546,"uris":["http://zotero.org/users/12903205/items/65Z77BQX"],"itemData":{"id":3546,"type":"article-journal","container-title":"Transport Reviews","DOI":"10.1080/01441647.2022.2080773","ISSN":"0144-1647, 1464-5327","issue":"6","journalAbbreviation":"Transport Reviews","language":"en","page":"739-761","source":"DOI.org (Crossref)","title":"Resilient supply chain network design: a systematic literature review","title-short":"Resilient supply chain network design","volume":"42","author":[{"family":"Maharjan","given":"Rajali"},{"family":"Kato","given":"Hironori"}],"issued":{"date-parts":[["2022",11,2]]}},"label":"page"}],"schema":"https://github.com/citation-style-language/schema/raw/master/csl-citation.json"} </w:instrText>
      </w:r>
      <w:r w:rsidR="00E32889" w:rsidRPr="002E4BC0">
        <w:rPr>
          <w:color w:val="D86DCB" w:themeColor="accent5" w:themeTint="99"/>
          <w:lang w:val="en-US"/>
        </w:rPr>
        <w:fldChar w:fldCharType="separate"/>
      </w:r>
      <w:r w:rsidR="00E32889" w:rsidRPr="002E4BC0">
        <w:rPr>
          <w:color w:val="D86DCB" w:themeColor="accent5" w:themeTint="99"/>
          <w:lang w:val="en-US"/>
        </w:rPr>
        <w:t>(Fan et al., 2024; Iftikhar et al., 2024; Maharjan and Kato, 2022)</w:t>
      </w:r>
      <w:r w:rsidR="00E32889" w:rsidRPr="002E4BC0">
        <w:rPr>
          <w:color w:val="D86DCB" w:themeColor="accent5" w:themeTint="99"/>
          <w:lang w:val="en-US"/>
        </w:rPr>
        <w:fldChar w:fldCharType="end"/>
      </w:r>
      <w:r w:rsidR="00006687" w:rsidRPr="002E4BC0">
        <w:rPr>
          <w:color w:val="D86DCB" w:themeColor="accent5" w:themeTint="99"/>
          <w:lang w:val="en-US"/>
        </w:rPr>
        <w:t>.</w:t>
      </w:r>
      <w:r w:rsidR="00062135" w:rsidRPr="002E4BC0">
        <w:rPr>
          <w:color w:val="D86DCB" w:themeColor="accent5" w:themeTint="99"/>
          <w:lang w:val="en-US"/>
        </w:rPr>
        <w:t xml:space="preserve"> </w:t>
      </w:r>
      <w:r w:rsidR="00877B48" w:rsidRPr="00877B48">
        <w:rPr>
          <w:color w:val="D86DCB" w:themeColor="accent5" w:themeTint="99"/>
          <w:lang w:val="en-US"/>
        </w:rPr>
        <w:t>The third problem concerns implementation. Failure modes, monitoring logic, and escalation rules—the operational scaffolding required for deployment in healthcare systems with mandated service levels—are seldom reported</w:t>
      </w:r>
      <w:r w:rsidR="00F07F6D" w:rsidRPr="002E4BC0">
        <w:rPr>
          <w:color w:val="D86DCB" w:themeColor="accent5" w:themeTint="99"/>
          <w:lang w:val="en-US"/>
        </w:rPr>
        <w:t xml:space="preserve"> </w:t>
      </w:r>
      <w:r w:rsidR="00F07F6D" w:rsidRPr="002E4BC0">
        <w:rPr>
          <w:color w:val="D86DCB" w:themeColor="accent5" w:themeTint="99"/>
          <w:lang w:val="en-US"/>
        </w:rPr>
        <w:fldChar w:fldCharType="begin"/>
      </w:r>
      <w:r w:rsidR="00F07F6D" w:rsidRPr="002E4BC0">
        <w:rPr>
          <w:color w:val="D86DCB" w:themeColor="accent5" w:themeTint="99"/>
          <w:lang w:val="en-US"/>
        </w:rPr>
        <w:instrText xml:space="preserve"> ADDIN ZOTERO_ITEM CSL_CITATION {"citationID":"qXjWE719","properties":{"formattedCitation":"(Cresswell et al., 2023; Esmaeilzadeh, 2024; Owens et al., 2025)","plainCitation":"(Cresswell et al., 2023; Esmaeilzadeh, 2024; Owens et al., 2025)","noteIndex":0},"citationItems":[{"id":3557,"uris":["http://zotero.org/users/12903205/items/KVX3NXRR"],"itemData":{"id":3557,"type":"article-journal","container-title":"Health Policy","DOI":"10.1016/j.healthpol.2023.104889","ISSN":"01688510","journalAbbreviation":"Health Policy","language":"en","page":"104889","source":"DOI.org (Crossref)","title":"The need to strengthen the evaluation of the impact of Artificial Intelligence-based decision support systems on healthcare provision","volume":"136","author":[{"family":"Cresswell","given":"Kathrin"},{"family":"Rigby","given":"Michael"},{"family":"Magrabi","given":"Farah"},{"family":"Scott","given":"Philip"},{"family":"Brender","given":"Jytte"},{"family":"Craven","given":"Catherine K."},{"family":"Wong","given":"Zoie Shui-Yee"},{"family":"Kukhareva","given":"Polina"},{"family":"Ammenwerth","given":"Elske"},{"family":"Georgiou","given":"Andrew"},{"family":"Medlock","given":"Stephanie"},{"family":"De Keizer","given":"Nicolette F."},{"family":"Nykänen","given":"Pirkko"},{"family":"Prgomet","given":"Mirela"},{"family":"Williams","given":"Robin"}],"issued":{"date-parts":[["2023",10]]}},"label":"page"},{"id":3555,"uris":["http://zotero.org/users/12903205/items/3FEPVCPG"],"itemData":{"id":3555,"type":"article-journal","container-title":"Artificial Intelligence in Medicine","DOI":"10.1016/j.artmed.2024.102861","ISSN":"09333657","journalAbbreviation":"Artificial Intelligence in Medicine","language":"en","page":"102861","source":"DOI.org (Crossref)","title":"Challenges and strategies for wide-scale artificial intelligence (AI) deployment in healthcare practices: A perspective for healthcare organizations","title-short":"Challenges and strategies for wide-scale artificial intelligence (AI) deployment in healthcare practices","volume":"151","author":[{"family":"Esmaeilzadeh","given":"Pouyan"}],"issued":{"date-parts":[["2024",5]]}},"label":"page"},{"id":3554,"uris":["http://zotero.org/users/12903205/items/4TYSMZA5"],"itemData":{"id":3554,"type":"article-journal","abstract":"Abstract\n            \n              Background\n              Despite the increasing implementation of artificial intelligence (AI) and machine learning (ML) technologies in healthcare, their long-term safety, effectiveness, and equity remain compromised by a lack of sustained oversight. This study explores the phenomenon of a “responsibility vacuum” in AI governance, wherein maintenance and monitoring tasks are poorly defined, inconsistently performed, and undervalued across healthcare systems.\n            \n            \n              Methods\n              We conducted semi-structured interviews with 21 experts involved in AI implementation in healthcare, including clinicians, clinical informaticists, computer scientists, and legal/policy professionals. Participants were recruited through purposive and snowball sampling. Interviews were transcribed, coded, and analyzed using abductive qualitative methods to identify themes related to maintenance practices, institutional incentives, and responsibility attribution.\n            \n            \n              Results\n              Participants widely recognized that AI models degrade over time due to factors such as data drift, changes in clinical practice, and poor generalizability. However, monitoring practices remain ad hoc and fragmented, with few institutions investing in structured oversight infrastructure. This “responsibility vacuum” is perpetuated by institutional incentives favoring rapid innovation and strategic ignorance of AI failures. Despite these challenges, some participants described grassroots efforts to monitor and maintain AI systems, drawing inspiration from fields such as radiology, laboratory medicine, and transportation safety.\n            \n            \n              Conclusions\n              Our findings suggest that institutional and cultural forces in healthcare deprioritize the maintenance of AI tools, creating a governance gap that may lead to patient harm and inequitable outcomes. Addressing this responsibility vacuum will require formalized accountability structures, interdisciplinary collaboration, and policy reforms that center long-term safety and equity. Without such changes, AI/ML technologies designed to improve patient health may introduce new forms of harm, ultimately eroding trust in AI and machine learning for healthcare.","container-title":"BMC Health Services Research","DOI":"10.1186/s12913-025-13388-z","ISSN":"1472-6963","issue":"1","journalAbbreviation":"BMC Health Serv Res","language":"en","page":"1217","source":"DOI.org (Crossref)","title":"Managing a “responsibility vacuum” in AI monitoring and governance in healthcare: a qualitative study","title-short":"Managing a “responsibility vacuum” in AI monitoring and governance in healthcare","volume":"25","author":[{"family":"Owens","given":"Kellie"},{"family":"Griffen","given":"Zachary"},{"family":"Damaraju","given":"Lasya"}],"issued":{"date-parts":[["2025",9,29]]}},"label":"page"}],"schema":"https://github.com/citation-style-language/schema/raw/master/csl-citation.json"} </w:instrText>
      </w:r>
      <w:r w:rsidR="00F07F6D" w:rsidRPr="002E4BC0">
        <w:rPr>
          <w:color w:val="D86DCB" w:themeColor="accent5" w:themeTint="99"/>
          <w:lang w:val="en-US"/>
        </w:rPr>
        <w:fldChar w:fldCharType="separate"/>
      </w:r>
      <w:r w:rsidR="00F07F6D" w:rsidRPr="002E4BC0">
        <w:rPr>
          <w:color w:val="D86DCB" w:themeColor="accent5" w:themeTint="99"/>
          <w:lang w:val="en-US"/>
        </w:rPr>
        <w:t>(Cresswell et al., 2023; Esmaeilzadeh, 2024; Owens et al., 2025)</w:t>
      </w:r>
      <w:r w:rsidR="00F07F6D" w:rsidRPr="002E4BC0">
        <w:rPr>
          <w:color w:val="D86DCB" w:themeColor="accent5" w:themeTint="99"/>
          <w:lang w:val="en-US"/>
        </w:rPr>
        <w:fldChar w:fldCharType="end"/>
      </w:r>
      <w:r w:rsidR="00F07F6D" w:rsidRPr="002E4BC0">
        <w:rPr>
          <w:color w:val="D86DCB" w:themeColor="accent5" w:themeTint="99"/>
          <w:lang w:val="en-US"/>
        </w:rPr>
        <w:t>.</w:t>
      </w:r>
      <w:r w:rsidR="00062135" w:rsidRPr="002E4BC0">
        <w:rPr>
          <w:lang w:val="en-US"/>
        </w:rPr>
        <w:t xml:space="preserve"> </w:t>
      </w:r>
      <w:r w:rsidR="00877B48" w:rsidRPr="00877B48">
        <w:rPr>
          <w:color w:val="D86DCB" w:themeColor="accent5" w:themeTint="99"/>
          <w:lang w:val="en-US"/>
        </w:rPr>
        <w:t>In the present study, volatility, throughput, and penalty intensity are treated as candidate deployment gates, with unit consistency checked against observed operating ranges</w:t>
      </w:r>
      <w:r w:rsidR="0022323D">
        <w:rPr>
          <w:color w:val="D86DCB" w:themeColor="accent5" w:themeTint="99"/>
          <w:lang w:val="en-US"/>
        </w:rPr>
        <w:t>. The choice</w:t>
      </w:r>
      <w:r w:rsidR="00877B48" w:rsidRPr="00877B48">
        <w:rPr>
          <w:color w:val="D86DCB" w:themeColor="accent5" w:themeTint="99"/>
          <w:lang w:val="en-US"/>
        </w:rPr>
        <w:t xml:space="preserve"> reflects the gap between experimental performance and the conditions under which a system could safely operate.</w:t>
      </w:r>
    </w:p>
    <w:p w14:paraId="27BDF3F1" w14:textId="3973532B" w:rsidR="00172DFE" w:rsidRPr="00062135" w:rsidRDefault="00877B48" w:rsidP="00877B48">
      <w:pPr>
        <w:pStyle w:val="text-base"/>
        <w:jc w:val="both"/>
        <w:rPr>
          <w:color w:val="D86DCB" w:themeColor="accent5" w:themeTint="99"/>
          <w:highlight w:val="yellow"/>
          <w:lang w:val="en-US"/>
        </w:rPr>
      </w:pPr>
      <w:r w:rsidRPr="00877B48">
        <w:rPr>
          <w:color w:val="D86DCB" w:themeColor="accent5" w:themeTint="99"/>
          <w:lang w:val="en-US"/>
        </w:rPr>
        <w:t>Against this backdrop, recent reinforcement-learning research on inventory management has shifted toward constraint satisfaction. Replenishment is increasingly formulated as a constrained Markov decision process, with actor-</w:t>
      </w:r>
      <w:proofErr w:type="gramStart"/>
      <w:r w:rsidRPr="00877B48">
        <w:rPr>
          <w:color w:val="D86DCB" w:themeColor="accent5" w:themeTint="99"/>
          <w:lang w:val="en-US"/>
        </w:rPr>
        <w:t>critic</w:t>
      </w:r>
      <w:proofErr w:type="gramEnd"/>
      <w:r w:rsidRPr="00877B48">
        <w:rPr>
          <w:color w:val="D86DCB" w:themeColor="accent5" w:themeTint="99"/>
          <w:lang w:val="en-US"/>
        </w:rPr>
        <w:t xml:space="preserve"> policies trained by penalty methods, </w:t>
      </w:r>
      <w:proofErr w:type="spellStart"/>
      <w:r w:rsidRPr="00877B48">
        <w:rPr>
          <w:color w:val="D86DCB" w:themeColor="accent5" w:themeTint="99"/>
          <w:lang w:val="en-US"/>
        </w:rPr>
        <w:t>Lagrangian</w:t>
      </w:r>
      <w:proofErr w:type="spellEnd"/>
      <w:r w:rsidRPr="00877B48">
        <w:rPr>
          <w:color w:val="D86DCB" w:themeColor="accent5" w:themeTint="99"/>
          <w:lang w:val="en-US"/>
        </w:rPr>
        <w:t xml:space="preserve"> updates, or distributional estimators of constraint satisfaction.</w:t>
      </w:r>
      <w:r w:rsidR="00172DFE" w:rsidRPr="00062135">
        <w:rPr>
          <w:color w:val="D86DCB" w:themeColor="accent5" w:themeTint="99"/>
          <w:lang w:val="en-US"/>
        </w:rPr>
        <w:t xml:space="preserve"> </w:t>
      </w:r>
      <w:r w:rsidR="00172DFE" w:rsidRPr="00514587">
        <w:rPr>
          <w:color w:val="000000" w:themeColor="text1"/>
          <w:lang w:val="en-US"/>
        </w:rPr>
        <w:t xml:space="preserve">This line of work includes constrained PPO variants and exact-penalty methods designed to produce feasible updates under cost or service constraints </w:t>
      </w:r>
      <w:r w:rsidR="005D66A8" w:rsidRPr="00514587">
        <w:rPr>
          <w:color w:val="000000" w:themeColor="text1"/>
        </w:rPr>
        <w:fldChar w:fldCharType="begin"/>
      </w:r>
      <w:r w:rsidR="005D66A8" w:rsidRPr="00514587">
        <w:rPr>
          <w:color w:val="000000" w:themeColor="text1"/>
          <w:lang w:val="en-US"/>
        </w:rPr>
        <w:instrText xml:space="preserve"> ADDIN ZOTERO_ITEM CSL_CITATION {"citationID":"yakIfXsn","properties":{"formattedCitation":"(Jayant and Bhatnagar, 2022; Zhang et al., 2022)","plainCitation":"(Jayant and Bhatnagar, 2022; Zhang et al., 2022)","noteIndex":0},"citationItems":[{"id":3531,"uris":["http://zotero.org/users/12903205/items/EQSIGE7R"],"itemData":{"id":3531,"type":"article","abstract":"During initial iterations of training in most Reinforcement Learning (RL) algorithms, agents perform a significant number of random exploratory steps. In the real world, this can limit the practicality of these algorithms as it can lead to potentially dangerous behavior. Hence safe exploration is a critical issue in applying RL algorithms in the real world. This problem has been recently well studied under the Constrained Markov Decision Process (CMDP) Framework, where in addition to single-stage rewards, an agent receives single-stage costs or penalties as well depending on the state transitions. The prescribed cost functions are responsible for mapping undesirable behavior at any given time-step to a scalar value. The goal then is to find a feasible policy that maximizes reward returns while constraining the cost returns to be below a prescribed threshold during training as well as deployment. We propose an On-policy Model-based Safe Deep RL algorithm in which we learn the transition dynamics of the environment in an online manner as well as find a feasible optimal policy using the Lagrangian Relaxation-based Proximal Policy Optimization. We use an ensemble of neural networks with different initializations to tackle epistemic and aleatoric uncertainty issues faced during environment model learning. We compare our approach with relevant model-free and model-based approaches in Constrained RL using the challenging Safe Reinforcement Learning benchmark - the Open AI Safety Gym. We demonstrate that our algorithm is more sample efficient and results in lower cumulative hazard violations as compared to constrained model-free approaches. Further, our approach shows better reward performance than other constrained model-based approaches in the literature.","DOI":"10.48550/ARXIV.2210.07573","license":"Creative Commons Attribution Non Commercial Share Alike 4.0 International","note":"version: 1","publisher":"arXiv","source":"DOI.org (Datacite)","title":"Model-based Safe Deep Reinforcement Learning via a Constrained Proximal Policy Optimization Algorithm","URL":"https://arxiv.org/abs/2210.07573","author":[{"family":"Jayant","given":"Ashish Kumar"},{"family":"Bhatnagar","given":"Shalabh"}],"accessed":{"date-parts":[["2026",2,5]]},"issued":{"date-parts":[["2022"]]}},"label":"page"},{"id":3522,"uris":["http://zotero.org/users/12903205/items/WLTSR2Q5"],"itemData":{"id":3522,"type":"article","abstract":"Safe reinforcement learning aims to learn the optimal policy while satisfying safety constraints, which is essential in real-world applications. However, current algorithms still struggle for efficient policy updates with hard constraint satisfaction. In this paper, we propose Penalized Proximal Policy Optimization (P3O), which solves the cumbersome constrained policy iteration via a single minimization of an equivalent unconstrained problem. Specifically, P3O utilizes a simple-yet-effective penalty function to eliminate cost constraints and removes the trust-region constraint by the clipped surrogate objective. We theoretically prove the exactness of the proposed method with a finite penalty factor and provide a worst-case analysis for approximate error when evaluated on sample trajectories. Moreover, we extend P3O to more challenging multi-constraint and multi-agent scenarios which are less studied in previous work. Extensive experiments show that P3O outperforms state-of-the-art algorithms with respect to both reward improvement and constraint satisfaction on a set of constrained locomotive tasks.","DOI":"10.48550/ARXIV.2205.11814","license":"Creative Commons Attribution 4.0 International","note":"version: 2","publisher":"arXiv","source":"DOI.org (Datacite)","title":"Penalized Proximal Policy Optimization for Safe Reinforcement Learning","URL":"https://arxiv.org/abs/2205.11814","author":[{"family":"Zhang","given":"Linrui"},{"family":"Shen","given":"Li"},{"family":"Yang","given":"Long"},{"family":"Chen","given":"Shixiang"},{"family":"Yuan","given":"Bo"},{"family":"Wang","given":"Xueqian"},{"family":"Tao","given":"Dacheng"}],"accessed":{"date-parts":[["2026",2,5]]},"issued":{"date-parts":[["2022"]]}},"label":"page"}],"schema":"https://github.com/citation-style-language/schema/raw/master/csl-citation.json"} </w:instrText>
      </w:r>
      <w:r w:rsidR="005D66A8" w:rsidRPr="00514587">
        <w:rPr>
          <w:color w:val="000000" w:themeColor="text1"/>
        </w:rPr>
        <w:fldChar w:fldCharType="separate"/>
      </w:r>
      <w:r w:rsidR="005D66A8" w:rsidRPr="00514587">
        <w:rPr>
          <w:color w:val="000000" w:themeColor="text1"/>
          <w:lang w:val="en-US"/>
        </w:rPr>
        <w:t>(Jayant and Bhatnagar, 2022; Zhang et al., 2022)</w:t>
      </w:r>
      <w:r w:rsidR="005D66A8" w:rsidRPr="00514587">
        <w:rPr>
          <w:color w:val="000000" w:themeColor="text1"/>
        </w:rPr>
        <w:fldChar w:fldCharType="end"/>
      </w:r>
      <w:r w:rsidR="005D66A8" w:rsidRPr="00514587">
        <w:rPr>
          <w:color w:val="000000" w:themeColor="text1"/>
          <w:lang w:val="en-US"/>
        </w:rPr>
        <w:t xml:space="preserve">. </w:t>
      </w:r>
      <w:r w:rsidR="00172DFE" w:rsidRPr="00514587">
        <w:rPr>
          <w:color w:val="000000" w:themeColor="text1"/>
          <w:lang w:val="en-US"/>
        </w:rPr>
        <w:t>In parallel, operations studies report hybrid simulation-learning designs that combine policy learning with optimi</w:t>
      </w:r>
      <w:r w:rsidR="00A915A5" w:rsidRPr="00514587">
        <w:rPr>
          <w:color w:val="000000" w:themeColor="text1"/>
          <w:lang w:val="en-US"/>
        </w:rPr>
        <w:t>z</w:t>
      </w:r>
      <w:r w:rsidR="00172DFE" w:rsidRPr="00514587">
        <w:rPr>
          <w:color w:val="000000" w:themeColor="text1"/>
          <w:lang w:val="en-US"/>
        </w:rPr>
        <w:t xml:space="preserve">ation subroutines or other controlled-learning components in inventory settings </w:t>
      </w:r>
      <w:r w:rsidR="005D66A8" w:rsidRPr="00514587">
        <w:rPr>
          <w:color w:val="000000" w:themeColor="text1"/>
          <w:lang w:val="en-US"/>
        </w:rPr>
        <w:fldChar w:fldCharType="begin"/>
      </w:r>
      <w:r w:rsidR="005D66A8" w:rsidRPr="00514587">
        <w:rPr>
          <w:color w:val="000000" w:themeColor="text1"/>
          <w:lang w:val="en-US"/>
        </w:rPr>
        <w:instrText xml:space="preserve"> ADDIN ZOTERO_ITEM CSL_CITATION {"citationID":"SyRrv7gU","properties":{"formattedCitation":"(Harsha et al., 2025; Temiz\\uc0\\u246{}z et al., 2025)","plainCitation":"(Harsha et al., 2025; Temizöz et al., 2025)","noteIndex":0},"citationItems":[{"id":3429,"uris":["http://zotero.org/users/12903205/items/2MYMBLJ3"],"itemData":{"id":3429,"type":"article-journal","container-title":"Manufacturing &amp; Service Operations Management","DOI":"10.1287/msom.2022.0617","ISSN":"1523-4614, 1526-5498","issue":"2","page":"369–388","title":"Deep Policy Iteration with Integer Programming for Inventory Management","volume":"27","author":[{"family":"Harsha","given":"Pavithra"},{"family":"Jagmohan","given":"Ashish"},{"family":"Kalagnanam","given":"Jayant"},{"family":"Quanz","given":"Brian"},{"family":"Singhvi","given":"Divya"}],"issued":{"date-parts":[["2025",3]]}},"label":"page"},{"id":3358,"uris":["http://zotero.org/users/12903205/items/RUWAPBI4"],"itemData":{"id":3358,"type":"article-journal","container-title":"European Journal of Operational Research","DOI":"10.1016/j.ejor.2025.01.026","ISSN":"03772217","issue":"1","journalAbbreviation":"European Journal of Operational Research","language":"en","page":"104-117","source":"DOI.org (Crossref)","title":"Deep Controlled Learning for Inventory Control","volume":"324","author":[{"family":"Temizöz","given":"Tarkan"},{"family":"Imdahl","given":"Christina"},{"family":"Dijkman","given":"Remco"},{"family":"Lamghari-Idrissi","given":"Douniel"},{"family":"Van Jaarsveld","given":"Willem"}],"issued":{"date-parts":[["2025",7]]}},"label":"page"}],"schema":"https://github.com/citation-style-language/schema/raw/master/csl-citation.json"} </w:instrText>
      </w:r>
      <w:r w:rsidR="005D66A8" w:rsidRPr="00514587">
        <w:rPr>
          <w:color w:val="000000" w:themeColor="text1"/>
          <w:lang w:val="en-US"/>
        </w:rPr>
        <w:fldChar w:fldCharType="separate"/>
      </w:r>
      <w:r w:rsidR="005D66A8" w:rsidRPr="00514587">
        <w:rPr>
          <w:color w:val="000000" w:themeColor="text1"/>
          <w:lang w:val="en-US"/>
        </w:rPr>
        <w:t>(Harsha et al., 2025; Temizöz et al., 2025)</w:t>
      </w:r>
      <w:r w:rsidR="005D66A8" w:rsidRPr="00514587">
        <w:rPr>
          <w:color w:val="000000" w:themeColor="text1"/>
          <w:lang w:val="en-US"/>
        </w:rPr>
        <w:fldChar w:fldCharType="end"/>
      </w:r>
      <w:r w:rsidR="005D66A8" w:rsidRPr="00514587">
        <w:rPr>
          <w:color w:val="000000" w:themeColor="text1"/>
          <w:lang w:val="en-US"/>
        </w:rPr>
        <w:t xml:space="preserve">. </w:t>
      </w:r>
      <w:r w:rsidR="00172DFE" w:rsidRPr="00514587">
        <w:rPr>
          <w:color w:val="000000" w:themeColor="text1"/>
          <w:lang w:val="en-US"/>
        </w:rPr>
        <w:t>Against this background, we treat Double Q-learning as an interpretable benchmark under limited computational budgets and use its failures under disruption to inform the design of constraints for safety-aware controllers.</w:t>
      </w:r>
    </w:p>
    <w:p w14:paraId="126BC993" w14:textId="16EE7C41" w:rsidR="00934A5A" w:rsidRPr="00514587" w:rsidRDefault="00172DFE" w:rsidP="00EC2EF2">
      <w:pPr>
        <w:pStyle w:val="text-base"/>
        <w:spacing w:before="0" w:after="0" w:afterAutospacing="0"/>
        <w:jc w:val="both"/>
        <w:rPr>
          <w:color w:val="000000" w:themeColor="text1"/>
          <w:lang w:val="en-US"/>
        </w:rPr>
      </w:pPr>
      <w:r w:rsidRPr="00514587">
        <w:rPr>
          <w:color w:val="000000" w:themeColor="text1"/>
          <w:lang w:val="en-US"/>
        </w:rPr>
        <w:t>Taken together, these gaps motivate three design choices in the present study: a paired multi-baseline evaluation under identical trajectories, explicit reporting of downside and tail risk beyond mean cost, and a computable governance layer that specifies when control should revert to a conservative baseline.</w:t>
      </w:r>
    </w:p>
    <w:bookmarkEnd w:id="0"/>
    <w:p w14:paraId="4C20C007" w14:textId="77777777" w:rsidR="00815E86" w:rsidRPr="00130595" w:rsidRDefault="00815E86" w:rsidP="00130595">
      <w:pPr>
        <w:pStyle w:val="Ttulo1"/>
        <w:numPr>
          <w:ilvl w:val="0"/>
          <w:numId w:val="32"/>
        </w:numPr>
      </w:pPr>
      <w:r w:rsidRPr="00130595">
        <w:t>Methodology</w:t>
      </w:r>
    </w:p>
    <w:p w14:paraId="547846E5" w14:textId="77777777" w:rsidR="00A915A5" w:rsidRDefault="00A915A5" w:rsidP="00A915A5">
      <w:pPr>
        <w:pStyle w:val="text-base"/>
        <w:jc w:val="both"/>
        <w:rPr>
          <w:color w:val="000000" w:themeColor="text1"/>
          <w:lang w:val="en-US"/>
        </w:rPr>
      </w:pPr>
      <w:bookmarkStart w:id="1" w:name="_Hlk217303936"/>
      <w:r w:rsidRPr="00076B7D">
        <w:rPr>
          <w:color w:val="000000" w:themeColor="text1"/>
          <w:lang w:val="en-US"/>
        </w:rPr>
        <w:t>The methodological design is built around three requirements: reproducibility, explicit policy specification, and decision-relevant reporting. To meet these requirements, all policies are evaluated under common random numbers, tuning choices are documented in a single transparency table, and targeted sensitivity analyses are conducted for the learned controller in regions where regime failure is most likely. The aim is not only to compare average performance, but also to preserve traceability in the link between policy design, operating conditions, and observed outcomes.</w:t>
      </w:r>
    </w:p>
    <w:p w14:paraId="49913211" w14:textId="134B72F7" w:rsidR="00911876" w:rsidRPr="00911876" w:rsidRDefault="00911876" w:rsidP="00911876">
      <w:pPr>
        <w:pStyle w:val="text-base"/>
        <w:jc w:val="both"/>
        <w:rPr>
          <w:color w:val="D86DCB" w:themeColor="accent5" w:themeTint="99"/>
          <w:lang w:val="en-US"/>
        </w:rPr>
      </w:pPr>
      <w:r w:rsidRPr="00911876">
        <w:rPr>
          <w:color w:val="D86DCB" w:themeColor="accent5" w:themeTint="99"/>
          <w:lang w:val="en-US"/>
        </w:rPr>
        <w:t>Although all policies are evaluated on the same exogenous trajectories, they differ in the information availab</w:t>
      </w:r>
      <w:r>
        <w:rPr>
          <w:color w:val="D86DCB" w:themeColor="accent5" w:themeTint="99"/>
          <w:lang w:val="en-US"/>
        </w:rPr>
        <w:t>i</w:t>
      </w:r>
      <w:r w:rsidRPr="00911876">
        <w:rPr>
          <w:color w:val="D86DCB" w:themeColor="accent5" w:themeTint="99"/>
          <w:lang w:val="en-US"/>
        </w:rPr>
        <w:t>l</w:t>
      </w:r>
      <w:r>
        <w:rPr>
          <w:color w:val="D86DCB" w:themeColor="accent5" w:themeTint="99"/>
          <w:lang w:val="en-US"/>
        </w:rPr>
        <w:t>ity</w:t>
      </w:r>
      <w:r w:rsidRPr="00911876">
        <w:rPr>
          <w:color w:val="D86DCB" w:themeColor="accent5" w:themeTint="99"/>
          <w:lang w:val="en-US"/>
        </w:rPr>
        <w:t xml:space="preserve"> at decision time and in the </w:t>
      </w:r>
      <w:proofErr w:type="gramStart"/>
      <w:r w:rsidRPr="00911876">
        <w:rPr>
          <w:color w:val="D86DCB" w:themeColor="accent5" w:themeTint="99"/>
          <w:lang w:val="en-US"/>
        </w:rPr>
        <w:t>control</w:t>
      </w:r>
      <w:proofErr w:type="gramEnd"/>
      <w:r w:rsidRPr="00911876">
        <w:rPr>
          <w:color w:val="D86DCB" w:themeColor="accent5" w:themeTint="99"/>
          <w:lang w:val="en-US"/>
        </w:rPr>
        <w:t xml:space="preserve"> rule used to map that information into replenishment actions. The Static and Dynamic policies update control parameters </w:t>
      </w:r>
      <w:r w:rsidR="00173991">
        <w:rPr>
          <w:color w:val="D86DCB" w:themeColor="accent5" w:themeTint="99"/>
          <w:lang w:val="en-US"/>
        </w:rPr>
        <w:t>based on realized demand using</w:t>
      </w:r>
      <w:r w:rsidRPr="00911876">
        <w:rPr>
          <w:color w:val="D86DCB" w:themeColor="accent5" w:themeTint="99"/>
          <w:lang w:val="en-US"/>
        </w:rPr>
        <w:t xml:space="preserve"> smoothing rules. Base-stock (Uncertain) and Hybrid AI, by contrast, receive the same forecast inputs</w:t>
      </w:r>
      <w:r>
        <w:rPr>
          <w:color w:val="D86DCB" w:themeColor="accent5" w:themeTint="99"/>
          <w:lang w:val="en-US"/>
        </w:rPr>
        <w:t xml:space="preserve"> (</w:t>
      </w:r>
      <w:r w:rsidRPr="00911876">
        <w:rPr>
          <w:color w:val="D86DCB" w:themeColor="accent5" w:themeTint="99"/>
          <w:lang w:val="en-US"/>
        </w:rPr>
        <w:t>mean and dispersion</w:t>
      </w:r>
      <w:r>
        <w:rPr>
          <w:color w:val="D86DCB" w:themeColor="accent5" w:themeTint="99"/>
          <w:lang w:val="en-US"/>
        </w:rPr>
        <w:t xml:space="preserve">), </w:t>
      </w:r>
      <w:r w:rsidRPr="00911876">
        <w:rPr>
          <w:color w:val="D86DCB" w:themeColor="accent5" w:themeTint="99"/>
          <w:lang w:val="en-US"/>
        </w:rPr>
        <w:t>but convert them into replenishment decisions through different control logics. This separation permits comparison of forecast information and decision rules without conflating the two.</w:t>
      </w:r>
    </w:p>
    <w:p w14:paraId="1591BF67" w14:textId="7EB058B9" w:rsidR="00911876" w:rsidRPr="00911876" w:rsidRDefault="00911876" w:rsidP="00911876">
      <w:pPr>
        <w:pStyle w:val="text-base"/>
        <w:jc w:val="both"/>
        <w:rPr>
          <w:color w:val="D86DCB" w:themeColor="accent5" w:themeTint="99"/>
          <w:lang w:val="en-US"/>
        </w:rPr>
      </w:pPr>
      <w:r w:rsidRPr="00911876">
        <w:rPr>
          <w:color w:val="D86DCB" w:themeColor="accent5" w:themeTint="99"/>
          <w:lang w:val="en-US"/>
        </w:rPr>
        <w:t>Because public-health datasets rarely describe demand and supply with comparable granularity, the study combines observed SUS demand data with synthetic supply parameters. This choice keeps the experiment anchored in observed utilization patterns while preserving control over stress scenarios. Procurement records provide the empirical anchor for the synthetic inputs, and the parameter ranges and crisis mappings adopted in the final design were reviewed by two SUS logistics managers with 15 and 22 years of experience, respectively.</w:t>
      </w:r>
    </w:p>
    <w:p w14:paraId="06262B22" w14:textId="54045668" w:rsidR="00984699" w:rsidRPr="00DD5FF3" w:rsidRDefault="00984699"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Problem Formulation</w:t>
      </w:r>
    </w:p>
    <w:p w14:paraId="037F0B6D" w14:textId="464FCD6F" w:rsidR="00911876" w:rsidRPr="00911876" w:rsidRDefault="00911876" w:rsidP="00EB4A76">
      <w:pPr>
        <w:pStyle w:val="text-base"/>
        <w:spacing w:before="0" w:after="0"/>
        <w:jc w:val="both"/>
        <w:rPr>
          <w:color w:val="D86DCB" w:themeColor="accent5" w:themeTint="99"/>
          <w:lang w:val="en-US"/>
        </w:rPr>
      </w:pPr>
      <w:r w:rsidRPr="00911876">
        <w:rPr>
          <w:color w:val="D86DCB" w:themeColor="accent5" w:themeTint="99"/>
          <w:lang w:val="en-US"/>
        </w:rPr>
        <w:t xml:space="preserve">We formulate the Healthcare Supply Chain Optimization problem as a stochastic inventory-control problem. The objective is to minimize </w:t>
      </w:r>
      <w:r w:rsidR="00173991">
        <w:rPr>
          <w:color w:val="D86DCB" w:themeColor="accent5" w:themeTint="99"/>
          <w:lang w:val="en-US"/>
        </w:rPr>
        <w:t>the expected total cost across facilities and time periods, including holding, ordering, and stockout cos</w:t>
      </w:r>
      <w:r w:rsidRPr="00911876">
        <w:rPr>
          <w:color w:val="D86DCB" w:themeColor="accent5" w:themeTint="99"/>
          <w:lang w:val="en-US"/>
        </w:rPr>
        <w:t>ts. Within this formulation, the reinforcement-learning reward function is specified to balance service equity and cost performance. Its complete definition is reported in Appendix A.1.</w:t>
      </w:r>
    </w:p>
    <w:p w14:paraId="6C1D19C5" w14:textId="77777777" w:rsidR="004632B4" w:rsidRPr="004632B4" w:rsidRDefault="00000000" w:rsidP="005639BE">
      <w:pPr>
        <w:pStyle w:val="text-base"/>
        <w:spacing w:before="0" w:after="0"/>
        <w:jc w:val="both"/>
        <w:rPr>
          <w:szCs w:val="20"/>
          <w:lang w:val="en-US" w:eastAsia="en-US"/>
        </w:rPr>
      </w:pPr>
      <m:oMathPara>
        <m:oMath>
          <m:sSub>
            <m:sSubPr>
              <m:ctrlPr>
                <w:rPr>
                  <w:rFonts w:ascii="Cambria Math" w:hAnsi="Cambria Math"/>
                  <w:i/>
                  <w:szCs w:val="20"/>
                  <w:lang w:val="en-US" w:eastAsia="en-US"/>
                </w:rPr>
              </m:ctrlPr>
            </m:sSubPr>
            <m:e>
              <m:r>
                <w:rPr>
                  <w:rFonts w:ascii="Cambria Math" w:hAnsi="Cambria Math"/>
                  <w:szCs w:val="20"/>
                  <w:lang w:val="en-US" w:eastAsia="en-US"/>
                </w:rPr>
                <m:t>r</m:t>
              </m:r>
            </m:e>
            <m:sub>
              <m:r>
                <w:rPr>
                  <w:rFonts w:ascii="Cambria Math" w:hAnsi="Cambria Math"/>
                  <w:szCs w:val="20"/>
                  <w:lang w:val="en-US" w:eastAsia="en-US"/>
                </w:rPr>
                <m:t>t</m:t>
              </m:r>
            </m:sub>
          </m:sSub>
          <m:r>
            <w:rPr>
              <w:rFonts w:ascii="Cambria Math" w:hAnsi="Cambria Math"/>
              <w:szCs w:val="20"/>
              <w:lang w:val="en-US" w:eastAsia="en-US"/>
            </w:rPr>
            <m:t>=-</m:t>
          </m:r>
          <m:d>
            <m:dPr>
              <m:ctrlPr>
                <w:rPr>
                  <w:rFonts w:ascii="Cambria Math" w:hAnsi="Cambria Math"/>
                  <w:i/>
                  <w:szCs w:val="20"/>
                  <w:lang w:val="en-US" w:eastAsia="en-US"/>
                </w:rPr>
              </m:ctrlPr>
            </m:dPr>
            <m:e>
              <m:r>
                <w:rPr>
                  <w:rFonts w:ascii="Cambria Math" w:hAnsi="Cambria Math"/>
                  <w:szCs w:val="20"/>
                  <w:lang w:val="en-US" w:eastAsia="en-US"/>
                </w:rPr>
                <m:t>h</m:t>
              </m:r>
              <m:r>
                <m:rPr>
                  <m:sty m:val="p"/>
                </m:rPr>
                <w:rPr>
                  <w:rFonts w:ascii="Cambria Math" w:hAnsi="Cambria Math"/>
                  <w:szCs w:val="20"/>
                  <w:lang w:val="en-US" w:eastAsia="en-US"/>
                </w:rPr>
                <m:t>⋅</m:t>
              </m:r>
              <m:sSub>
                <m:sSubPr>
                  <m:ctrlPr>
                    <w:rPr>
                      <w:rFonts w:ascii="Cambria Math" w:hAnsi="Cambria Math"/>
                      <w:i/>
                      <w:szCs w:val="20"/>
                      <w:lang w:val="en-US" w:eastAsia="en-US"/>
                    </w:rPr>
                  </m:ctrlPr>
                </m:sSubPr>
                <m:e>
                  <m:r>
                    <w:rPr>
                      <w:rFonts w:ascii="Cambria Math" w:hAnsi="Cambria Math"/>
                      <w:szCs w:val="20"/>
                      <w:lang w:val="en-US" w:eastAsia="en-US"/>
                    </w:rPr>
                    <m:t>C</m:t>
                  </m:r>
                  <m:ctrlPr>
                    <w:rPr>
                      <w:rFonts w:ascii="Cambria Math" w:hAnsi="Cambria Math"/>
                      <w:szCs w:val="20"/>
                      <w:lang w:val="en-US" w:eastAsia="en-US"/>
                    </w:rPr>
                  </m:ctrlPr>
                </m:e>
                <m:sub>
                  <m:r>
                    <w:rPr>
                      <w:rFonts w:ascii="Cambria Math" w:hAnsi="Cambria Math"/>
                      <w:szCs w:val="20"/>
                      <w:lang w:val="en-US" w:eastAsia="en-US"/>
                    </w:rPr>
                    <m:t>t</m:t>
                  </m:r>
                </m:sub>
              </m:sSub>
            </m:e>
          </m:d>
          <m:sSub>
            <m:sSubPr>
              <m:ctrlPr>
                <w:rPr>
                  <w:rFonts w:ascii="Cambria Math" w:hAnsi="Cambria Math"/>
                  <w:i/>
                  <w:szCs w:val="20"/>
                  <w:lang w:val="en-US" w:eastAsia="en-US"/>
                </w:rPr>
              </m:ctrlPr>
            </m:sSubPr>
            <m:e>
              <m:r>
                <w:rPr>
                  <w:rFonts w:ascii="Cambria Math" w:hAnsi="Cambria Math"/>
                  <w:szCs w:val="20"/>
                  <w:lang w:val="en-US" w:eastAsia="en-US"/>
                </w:rPr>
                <m:t>I</m:t>
              </m:r>
            </m:e>
            <m:sub>
              <m:r>
                <w:rPr>
                  <w:rFonts w:ascii="Cambria Math" w:hAnsi="Cambria Math"/>
                  <w:szCs w:val="20"/>
                  <w:lang w:val="en-US" w:eastAsia="en-US"/>
                </w:rPr>
                <m:t>t+1</m:t>
              </m:r>
            </m:sub>
          </m:sSub>
          <m:r>
            <w:rPr>
              <w:rFonts w:ascii="Cambria Math" w:hAnsi="Cambria Math"/>
              <w:szCs w:val="20"/>
              <w:lang w:val="en-US" w:eastAsia="en-US"/>
            </w:rPr>
            <m:t>-</m:t>
          </m:r>
          <m:sSub>
            <m:sSubPr>
              <m:ctrlPr>
                <w:rPr>
                  <w:rFonts w:ascii="Cambria Math" w:hAnsi="Cambria Math"/>
                  <w:i/>
                  <w:szCs w:val="20"/>
                  <w:lang w:val="en-US" w:eastAsia="en-US"/>
                </w:rPr>
              </m:ctrlPr>
            </m:sSubPr>
            <m:e>
              <m:r>
                <w:rPr>
                  <w:rFonts w:ascii="Cambria Math" w:hAnsi="Cambria Math"/>
                  <w:szCs w:val="20"/>
                  <w:lang w:val="en-US" w:eastAsia="en-US"/>
                </w:rPr>
                <m:t>c</m:t>
              </m:r>
            </m:e>
            <m:sub>
              <m:r>
                <w:rPr>
                  <w:rFonts w:ascii="Cambria Math" w:hAnsi="Cambria Math"/>
                  <w:szCs w:val="20"/>
                  <w:lang w:val="en-US" w:eastAsia="en-US"/>
                </w:rPr>
                <m:t>o</m:t>
              </m:r>
            </m:sub>
          </m:sSub>
          <m:sSub>
            <m:sSubPr>
              <m:ctrlPr>
                <w:rPr>
                  <w:rFonts w:ascii="Cambria Math" w:hAnsi="Cambria Math"/>
                  <w:i/>
                  <w:szCs w:val="20"/>
                  <w:lang w:val="en-US" w:eastAsia="en-US"/>
                </w:rPr>
              </m:ctrlPr>
            </m:sSubPr>
            <m:e>
              <m:r>
                <w:rPr>
                  <w:rFonts w:ascii="Cambria Math" w:hAnsi="Cambria Math"/>
                  <w:szCs w:val="20"/>
                  <w:lang w:val="en-US" w:eastAsia="en-US"/>
                </w:rPr>
                <m:t>q</m:t>
              </m:r>
            </m:e>
            <m:sub>
              <m:r>
                <w:rPr>
                  <w:rFonts w:ascii="Cambria Math" w:hAnsi="Cambria Math"/>
                  <w:szCs w:val="20"/>
                  <w:lang w:val="en-US" w:eastAsia="en-US"/>
                </w:rPr>
                <m:t>t</m:t>
              </m:r>
            </m:sub>
          </m:sSub>
          <m:r>
            <w:rPr>
              <w:rFonts w:ascii="Cambria Math" w:hAnsi="Cambria Math"/>
              <w:szCs w:val="20"/>
              <w:lang w:val="en-US" w:eastAsia="en-US"/>
            </w:rPr>
            <m:t>-</m:t>
          </m:r>
          <m:sSub>
            <m:sSubPr>
              <m:ctrlPr>
                <w:rPr>
                  <w:rFonts w:ascii="Cambria Math" w:hAnsi="Cambria Math"/>
                  <w:i/>
                  <w:szCs w:val="20"/>
                  <w:lang w:val="en-US" w:eastAsia="en-US"/>
                </w:rPr>
              </m:ctrlPr>
            </m:sSubPr>
            <m:e>
              <m:r>
                <w:rPr>
                  <w:rFonts w:ascii="Cambria Math" w:hAnsi="Cambria Math"/>
                  <w:szCs w:val="20"/>
                  <w:lang w:val="en-US" w:eastAsia="en-US"/>
                </w:rPr>
                <m:t>p</m:t>
              </m:r>
            </m:e>
            <m:sub>
              <m:r>
                <w:rPr>
                  <w:rFonts w:ascii="Cambria Math" w:hAnsi="Cambria Math"/>
                  <w:szCs w:val="20"/>
                  <w:lang w:val="en-US" w:eastAsia="en-US"/>
                </w:rPr>
                <m:t>s</m:t>
              </m:r>
            </m:sub>
          </m:sSub>
          <m:r>
            <w:rPr>
              <w:rFonts w:ascii="Cambria Math" w:hAnsi="Cambria Math"/>
              <w:szCs w:val="20"/>
              <w:lang w:val="en-US" w:eastAsia="en-US"/>
            </w:rPr>
            <m:t>L</m:t>
          </m:r>
          <m:sSub>
            <m:sSubPr>
              <m:ctrlPr>
                <w:rPr>
                  <w:rFonts w:ascii="Cambria Math" w:hAnsi="Cambria Math"/>
                  <w:i/>
                  <w:szCs w:val="20"/>
                  <w:lang w:val="en-US" w:eastAsia="en-US"/>
                </w:rPr>
              </m:ctrlPr>
            </m:sSubPr>
            <m:e>
              <m:r>
                <w:rPr>
                  <w:rFonts w:ascii="Cambria Math" w:hAnsi="Cambria Math"/>
                  <w:szCs w:val="20"/>
                  <w:lang w:val="en-US" w:eastAsia="en-US"/>
                </w:rPr>
                <m:t>S</m:t>
              </m:r>
            </m:e>
            <m:sub>
              <m:r>
                <w:rPr>
                  <w:rFonts w:ascii="Cambria Math" w:hAnsi="Cambria Math"/>
                  <w:szCs w:val="20"/>
                  <w:lang w:val="en-US" w:eastAsia="en-US"/>
                </w:rPr>
                <m:t>t</m:t>
              </m:r>
            </m:sub>
          </m:sSub>
          <m:r>
            <w:rPr>
              <w:rFonts w:ascii="Cambria Math" w:hAnsi="Cambria Math"/>
              <w:szCs w:val="20"/>
              <w:lang w:val="en-US" w:eastAsia="en-US"/>
            </w:rPr>
            <m:t>-</m:t>
          </m:r>
          <m:sSub>
            <m:sSubPr>
              <m:ctrlPr>
                <w:rPr>
                  <w:rFonts w:ascii="Cambria Math" w:hAnsi="Cambria Math"/>
                  <w:i/>
                  <w:szCs w:val="20"/>
                  <w:lang w:val="en-US" w:eastAsia="en-US"/>
                </w:rPr>
              </m:ctrlPr>
            </m:sSubPr>
            <m:e>
              <m:r>
                <w:rPr>
                  <w:rFonts w:ascii="Cambria Math" w:hAnsi="Cambria Math"/>
                  <w:szCs w:val="20"/>
                  <w:lang w:val="en-US" w:eastAsia="en-US"/>
                </w:rPr>
                <m:t>p</m:t>
              </m:r>
            </m:e>
            <m:sub>
              <m:r>
                <w:rPr>
                  <w:rFonts w:ascii="Cambria Math" w:hAnsi="Cambria Math"/>
                  <w:szCs w:val="20"/>
                  <w:lang w:val="en-US" w:eastAsia="en-US"/>
                </w:rPr>
                <m:t>sq</m:t>
              </m:r>
            </m:sub>
          </m:sSub>
          <m:sSup>
            <m:sSupPr>
              <m:ctrlPr>
                <w:rPr>
                  <w:rFonts w:ascii="Cambria Math" w:hAnsi="Cambria Math"/>
                  <w:i/>
                  <w:szCs w:val="20"/>
                  <w:lang w:val="en-US" w:eastAsia="en-US"/>
                </w:rPr>
              </m:ctrlPr>
            </m:sSupPr>
            <m:e>
              <m:d>
                <m:dPr>
                  <m:ctrlPr>
                    <w:rPr>
                      <w:rFonts w:ascii="Cambria Math" w:hAnsi="Cambria Math"/>
                      <w:i/>
                      <w:szCs w:val="20"/>
                      <w:lang w:val="en-US" w:eastAsia="en-US"/>
                    </w:rPr>
                  </m:ctrlPr>
                </m:dPr>
                <m:e>
                  <m:r>
                    <w:rPr>
                      <w:rFonts w:ascii="Cambria Math" w:hAnsi="Cambria Math"/>
                      <w:szCs w:val="20"/>
                      <w:lang w:val="en-US" w:eastAsia="en-US"/>
                    </w:rPr>
                    <m:t>L</m:t>
                  </m:r>
                  <m:sSub>
                    <m:sSubPr>
                      <m:ctrlPr>
                        <w:rPr>
                          <w:rFonts w:ascii="Cambria Math" w:hAnsi="Cambria Math"/>
                          <w:i/>
                          <w:szCs w:val="20"/>
                          <w:lang w:val="en-US" w:eastAsia="en-US"/>
                        </w:rPr>
                      </m:ctrlPr>
                    </m:sSubPr>
                    <m:e>
                      <m:r>
                        <w:rPr>
                          <w:rFonts w:ascii="Cambria Math" w:hAnsi="Cambria Math"/>
                          <w:szCs w:val="20"/>
                          <w:lang w:val="en-US" w:eastAsia="en-US"/>
                        </w:rPr>
                        <m:t>S</m:t>
                      </m:r>
                    </m:e>
                    <m:sub>
                      <m:r>
                        <w:rPr>
                          <w:rFonts w:ascii="Cambria Math" w:hAnsi="Cambria Math"/>
                          <w:szCs w:val="20"/>
                          <w:lang w:val="en-US" w:eastAsia="en-US"/>
                        </w:rPr>
                        <m:t>t</m:t>
                      </m:r>
                    </m:sub>
                  </m:sSub>
                </m:e>
              </m:d>
            </m:e>
            <m:sup>
              <m:r>
                <w:rPr>
                  <w:rFonts w:ascii="Cambria Math" w:hAnsi="Cambria Math"/>
                  <w:szCs w:val="20"/>
                  <w:lang w:val="en-US" w:eastAsia="en-US"/>
                </w:rPr>
                <m:t>2</m:t>
              </m:r>
            </m:sup>
          </m:sSup>
          <m:r>
            <w:rPr>
              <w:rFonts w:ascii="Cambria Math" w:hAnsi="Cambria Math"/>
              <w:szCs w:val="20"/>
              <w:lang w:val="en-US" w:eastAsia="en-US"/>
            </w:rPr>
            <m:t>-</m:t>
          </m:r>
          <m:sSub>
            <m:sSubPr>
              <m:ctrlPr>
                <w:rPr>
                  <w:rFonts w:ascii="Cambria Math" w:hAnsi="Cambria Math"/>
                  <w:i/>
                  <w:szCs w:val="20"/>
                  <w:lang w:val="en-US" w:eastAsia="en-US"/>
                </w:rPr>
              </m:ctrlPr>
            </m:sSubPr>
            <m:e>
              <m:r>
                <w:rPr>
                  <w:rFonts w:ascii="Cambria Math" w:hAnsi="Cambria Math"/>
                  <w:szCs w:val="20"/>
                  <w:lang w:val="en-US" w:eastAsia="en-US"/>
                </w:rPr>
                <m:t>c</m:t>
              </m:r>
            </m:e>
            <m:sub>
              <m:r>
                <w:rPr>
                  <w:rFonts w:ascii="Cambria Math" w:hAnsi="Cambria Math"/>
                  <w:szCs w:val="20"/>
                  <w:lang w:val="en-US" w:eastAsia="en-US"/>
                </w:rPr>
                <m:t>r</m:t>
              </m:r>
            </m:sub>
          </m:sSub>
          <m:sSub>
            <m:sSubPr>
              <m:ctrlPr>
                <w:rPr>
                  <w:rFonts w:ascii="Cambria Math" w:hAnsi="Cambria Math"/>
                  <w:i/>
                  <w:szCs w:val="20"/>
                  <w:lang w:val="en-US" w:eastAsia="en-US"/>
                </w:rPr>
              </m:ctrlPr>
            </m:sSubPr>
            <m:e>
              <m:r>
                <w:rPr>
                  <w:rFonts w:ascii="Cambria Math" w:hAnsi="Cambria Math"/>
                  <w:szCs w:val="20"/>
                  <w:lang w:val="en-US" w:eastAsia="en-US"/>
                </w:rPr>
                <m:t>R</m:t>
              </m:r>
            </m:e>
            <m:sub>
              <m:r>
                <w:rPr>
                  <w:rFonts w:ascii="Cambria Math" w:hAnsi="Cambria Math"/>
                  <w:szCs w:val="20"/>
                  <w:lang w:val="en-US" w:eastAsia="en-US"/>
                </w:rPr>
                <m:t>t</m:t>
              </m:r>
            </m:sub>
          </m:sSub>
          <m:r>
            <w:rPr>
              <w:rFonts w:ascii="Cambria Math" w:hAnsi="Cambria Math"/>
              <w:szCs w:val="20"/>
              <w:lang w:val="en-US" w:eastAsia="en-US"/>
            </w:rPr>
            <m:t>+</m:t>
          </m:r>
          <m:sSub>
            <m:sSubPr>
              <m:ctrlPr>
                <w:rPr>
                  <w:rFonts w:ascii="Cambria Math" w:hAnsi="Cambria Math"/>
                  <w:i/>
                  <w:szCs w:val="20"/>
                  <w:lang w:val="en-US" w:eastAsia="en-US"/>
                </w:rPr>
              </m:ctrlPr>
            </m:sSubPr>
            <m:e>
              <m:r>
                <w:rPr>
                  <w:rFonts w:ascii="Cambria Math" w:hAnsi="Cambria Math"/>
                  <w:szCs w:val="20"/>
                  <w:lang w:val="en-US" w:eastAsia="en-US"/>
                </w:rPr>
                <m:t>b</m:t>
              </m:r>
            </m:e>
            <m:sub>
              <m:r>
                <w:rPr>
                  <w:rFonts w:ascii="Cambria Math" w:hAnsi="Cambria Math"/>
                  <w:szCs w:val="20"/>
                  <w:lang w:val="en-US" w:eastAsia="en-US"/>
                </w:rPr>
                <m:t>s</m:t>
              </m:r>
            </m:sub>
          </m:sSub>
          <m:sSub>
            <m:sSubPr>
              <m:ctrlPr>
                <w:rPr>
                  <w:rFonts w:ascii="Cambria Math" w:hAnsi="Cambria Math"/>
                  <w:i/>
                  <w:szCs w:val="20"/>
                  <w:lang w:val="en-US" w:eastAsia="en-US"/>
                </w:rPr>
              </m:ctrlPr>
            </m:sSubPr>
            <m:e>
              <m:r>
                <w:rPr>
                  <w:rFonts w:ascii="Cambria Math" w:hAnsi="Cambria Math"/>
                  <w:szCs w:val="20"/>
                  <w:lang w:val="en-US" w:eastAsia="en-US"/>
                </w:rPr>
                <m:t>C</m:t>
              </m:r>
            </m:e>
            <m:sub>
              <m:r>
                <w:rPr>
                  <w:rFonts w:ascii="Cambria Math" w:hAnsi="Cambria Math"/>
                  <w:szCs w:val="20"/>
                  <w:lang w:val="en-US" w:eastAsia="en-US"/>
                </w:rPr>
                <m:t>t</m:t>
              </m:r>
            </m:sub>
          </m:sSub>
          <m:sSub>
            <m:sSubPr>
              <m:ctrlPr>
                <w:rPr>
                  <w:rFonts w:ascii="Cambria Math" w:hAnsi="Cambria Math"/>
                  <w:i/>
                  <w:szCs w:val="20"/>
                  <w:lang w:val="en-US" w:eastAsia="en-US"/>
                </w:rPr>
              </m:ctrlPr>
            </m:sSubPr>
            <m:e>
              <m:r>
                <w:rPr>
                  <w:rFonts w:ascii="Cambria Math" w:hAnsi="Cambria Math"/>
                  <w:szCs w:val="20"/>
                  <w:lang w:val="en-US" w:eastAsia="en-US"/>
                </w:rPr>
                <m:t>1</m:t>
              </m:r>
            </m:e>
            <m:sub>
              <m:r>
                <m:rPr>
                  <m:lit/>
                </m:rPr>
                <w:rPr>
                  <w:rFonts w:ascii="Cambria Math" w:hAnsi="Cambria Math"/>
                  <w:szCs w:val="20"/>
                  <w:lang w:val="en-US" w:eastAsia="en-US"/>
                </w:rPr>
                <m:t>{</m:t>
              </m:r>
              <m:r>
                <w:rPr>
                  <w:rFonts w:ascii="Cambria Math" w:hAnsi="Cambria Math"/>
                  <w:szCs w:val="20"/>
                  <w:lang w:val="en-US" w:eastAsia="en-US"/>
                </w:rPr>
                <m:t>L</m:t>
              </m:r>
              <m:sSub>
                <m:sSubPr>
                  <m:ctrlPr>
                    <w:rPr>
                      <w:rFonts w:ascii="Cambria Math" w:hAnsi="Cambria Math"/>
                      <w:i/>
                      <w:szCs w:val="20"/>
                      <w:lang w:val="en-US" w:eastAsia="en-US"/>
                    </w:rPr>
                  </m:ctrlPr>
                </m:sSubPr>
                <m:e>
                  <m:r>
                    <w:rPr>
                      <w:rFonts w:ascii="Cambria Math" w:hAnsi="Cambria Math"/>
                      <w:szCs w:val="20"/>
                      <w:lang w:val="en-US" w:eastAsia="en-US"/>
                    </w:rPr>
                    <m:t>S</m:t>
                  </m:r>
                </m:e>
                <m:sub>
                  <m:r>
                    <w:rPr>
                      <w:rFonts w:ascii="Cambria Math" w:hAnsi="Cambria Math"/>
                      <w:szCs w:val="20"/>
                      <w:lang w:val="en-US" w:eastAsia="en-US"/>
                    </w:rPr>
                    <m:t>t</m:t>
                  </m:r>
                </m:sub>
              </m:sSub>
              <m:r>
                <w:rPr>
                  <w:rFonts w:ascii="Cambria Math" w:hAnsi="Cambria Math"/>
                  <w:szCs w:val="20"/>
                  <w:lang w:val="en-US" w:eastAsia="en-US"/>
                </w:rPr>
                <m:t>=0</m:t>
              </m:r>
              <m:r>
                <m:rPr>
                  <m:lit/>
                </m:rPr>
                <w:rPr>
                  <w:rFonts w:ascii="Cambria Math" w:hAnsi="Cambria Math"/>
                  <w:szCs w:val="20"/>
                  <w:lang w:val="en-US" w:eastAsia="en-US"/>
                </w:rPr>
                <m:t>}</m:t>
              </m:r>
            </m:sub>
          </m:sSub>
        </m:oMath>
      </m:oMathPara>
    </w:p>
    <w:p w14:paraId="587F128D" w14:textId="049DC2E8" w:rsidR="008E7072" w:rsidRPr="008E7072" w:rsidRDefault="00B45941" w:rsidP="008E7072">
      <w:pPr>
        <w:pStyle w:val="text-base"/>
        <w:jc w:val="both"/>
        <w:rPr>
          <w:color w:val="D86DCB" w:themeColor="accent5" w:themeTint="99"/>
          <w:lang w:val="en-US"/>
        </w:rPr>
      </w:pPr>
      <w:r w:rsidRPr="00F34B55">
        <w:rPr>
          <w:lang w:val="en-US"/>
        </w:rPr>
        <w:lastRenderedPageBreak/>
        <w:t xml:space="preserve">We calibrate parameters (h = 0.003,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m:t>
            </m:r>
          </m:sub>
        </m:sSub>
      </m:oMath>
      <w:r w:rsidRPr="00F34B55">
        <w:rPr>
          <w:lang w:val="en-US"/>
        </w:rPr>
        <w:t xml:space="preserve"> = 1.5,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s</m:t>
            </m:r>
          </m:sub>
        </m:sSub>
      </m:oMath>
      <w:r w:rsidRPr="00F34B55">
        <w:rPr>
          <w:lang w:val="en-US"/>
        </w:rPr>
        <w:t xml:space="preserve"> = 25.0,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s</m:t>
            </m:r>
          </m:sub>
        </m:sSub>
        <m:r>
          <w:rPr>
            <w:rFonts w:ascii="Cambria Math" w:hAnsi="Cambria Math"/>
            <w:lang w:val="en-US"/>
          </w:rPr>
          <m:t>q</m:t>
        </m:r>
      </m:oMath>
      <w:r w:rsidRPr="00F34B55">
        <w:rPr>
          <w:lang w:val="en-US"/>
        </w:rPr>
        <w:t xml:space="preserve"> = 0.05,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s</m:t>
            </m:r>
          </m:sub>
        </m:sSub>
      </m:oMath>
      <w:r w:rsidRPr="00F34B55">
        <w:rPr>
          <w:lang w:val="en-US"/>
        </w:rPr>
        <w:t xml:space="preserve"> = 8.0) to reflect SUS operating priorities.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sidRPr="00F34B55">
        <w:rPr>
          <w:lang w:val="en-US"/>
        </w:rPr>
        <w:t xml:space="preserve"> maps the aggregated SKU-equivalent unit to a BRL-equivalent value, </w:t>
      </w:r>
      <w:proofErr w:type="gramStart"/>
      <w:r w:rsidRPr="00F34B55">
        <w:rPr>
          <w:lang w:val="en-US"/>
        </w:rPr>
        <w:t>weighting</w:t>
      </w:r>
      <w:proofErr w:type="gramEnd"/>
      <w:r w:rsidRPr="00F34B55">
        <w:rPr>
          <w:lang w:val="en-US"/>
        </w:rPr>
        <w:t xml:space="preserve"> both holding and service terms.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 xml:space="preserve"> </m:t>
        </m:r>
      </m:oMath>
      <w:r w:rsidRPr="00F34B55">
        <w:rPr>
          <w:lang w:val="en-US"/>
        </w:rPr>
        <w:t xml:space="preserve">denotes </w:t>
      </w:r>
      <w:r w:rsidR="00FB254A">
        <w:rPr>
          <w:lang w:val="en-US"/>
        </w:rPr>
        <w:t xml:space="preserve">that </w:t>
      </w:r>
      <w:r w:rsidRPr="00F34B55">
        <w:rPr>
          <w:lang w:val="en-US"/>
        </w:rPr>
        <w:t>t</w:t>
      </w:r>
      <w:r w:rsidR="008E7072" w:rsidRPr="008E7072">
        <w:rPr>
          <w:color w:val="D86DCB" w:themeColor="accent5" w:themeTint="99"/>
          <w:lang w:val="en-US"/>
        </w:rPr>
        <w:t xml:space="preserve">he GA-based routing-cost proxy is computed when </w:t>
      </w:r>
      <m:oMath>
        <m:sSub>
          <m:sSubPr>
            <m:ctrlPr>
              <w:rPr>
                <w:rFonts w:ascii="Cambria Math" w:hAnsi="Cambria Math"/>
                <w:i/>
                <w:color w:val="D86DCB" w:themeColor="accent5" w:themeTint="99"/>
                <w:sz w:val="18"/>
                <w:szCs w:val="18"/>
                <w:lang w:val="en-US"/>
              </w:rPr>
            </m:ctrlPr>
          </m:sSubPr>
          <m:e>
            <m:r>
              <w:rPr>
                <w:rFonts w:ascii="Cambria Math" w:hAnsi="Cambria Math"/>
                <w:color w:val="D86DCB" w:themeColor="accent5" w:themeTint="99"/>
                <w:sz w:val="18"/>
                <w:szCs w:val="18"/>
                <w:lang w:val="en-US"/>
              </w:rPr>
              <m:t>q</m:t>
            </m:r>
          </m:e>
          <m:sub>
            <m:r>
              <w:rPr>
                <w:rFonts w:ascii="Cambria Math" w:hAnsi="Cambria Math"/>
                <w:color w:val="D86DCB" w:themeColor="accent5" w:themeTint="99"/>
                <w:sz w:val="18"/>
                <w:szCs w:val="18"/>
                <w:lang w:val="en-US"/>
              </w:rPr>
              <m:t>t</m:t>
            </m:r>
          </m:sub>
        </m:sSub>
        <m:r>
          <w:rPr>
            <w:rFonts w:ascii="Cambria Math" w:hAnsi="Cambria Math"/>
            <w:color w:val="D86DCB" w:themeColor="accent5" w:themeTint="99"/>
            <w:sz w:val="18"/>
            <w:szCs w:val="18"/>
            <w:lang w:val="en-US"/>
          </w:rPr>
          <m:t>&gt;0</m:t>
        </m:r>
        <m:d>
          <m:dPr>
            <m:ctrlPr>
              <w:rPr>
                <w:rFonts w:ascii="Cambria Math" w:hAnsi="Cambria Math"/>
                <w:i/>
                <w:color w:val="D86DCB" w:themeColor="accent5" w:themeTint="99"/>
                <w:sz w:val="18"/>
                <w:szCs w:val="18"/>
                <w:lang w:val="en-US"/>
              </w:rPr>
            </m:ctrlPr>
          </m:dPr>
          <m:e>
            <m:sSub>
              <m:sSubPr>
                <m:ctrlPr>
                  <w:rPr>
                    <w:rFonts w:ascii="Cambria Math" w:hAnsi="Cambria Math"/>
                    <w:i/>
                    <w:color w:val="D86DCB" w:themeColor="accent5" w:themeTint="99"/>
                    <w:sz w:val="18"/>
                    <w:szCs w:val="18"/>
                    <w:lang w:val="en-US"/>
                  </w:rPr>
                </m:ctrlPr>
              </m:sSubPr>
              <m:e>
                <m:r>
                  <w:rPr>
                    <w:rFonts w:ascii="Cambria Math" w:hAnsi="Cambria Math"/>
                    <w:color w:val="D86DCB" w:themeColor="accent5" w:themeTint="99"/>
                    <w:sz w:val="18"/>
                    <w:szCs w:val="18"/>
                    <w:lang w:val="en-US"/>
                  </w:rPr>
                  <m:t>R</m:t>
                </m:r>
              </m:e>
              <m:sub>
                <m:r>
                  <w:rPr>
                    <w:rFonts w:ascii="Cambria Math" w:hAnsi="Cambria Math"/>
                    <w:color w:val="D86DCB" w:themeColor="accent5" w:themeTint="99"/>
                    <w:sz w:val="18"/>
                    <w:szCs w:val="18"/>
                    <w:lang w:val="en-US"/>
                  </w:rPr>
                  <m:t>t</m:t>
                </m:r>
              </m:sub>
            </m:sSub>
            <m:r>
              <w:rPr>
                <w:rFonts w:ascii="Cambria Math" w:hAnsi="Cambria Math"/>
                <w:color w:val="D86DCB" w:themeColor="accent5" w:themeTint="99"/>
                <w:sz w:val="18"/>
                <w:szCs w:val="18"/>
                <w:lang w:val="en-US"/>
              </w:rPr>
              <m:t xml:space="preserve">=0 when </m:t>
            </m:r>
            <m:sSub>
              <m:sSubPr>
                <m:ctrlPr>
                  <w:rPr>
                    <w:rFonts w:ascii="Cambria Math" w:hAnsi="Cambria Math"/>
                    <w:i/>
                    <w:color w:val="D86DCB" w:themeColor="accent5" w:themeTint="99"/>
                    <w:sz w:val="18"/>
                    <w:szCs w:val="18"/>
                    <w:lang w:val="en-US"/>
                  </w:rPr>
                </m:ctrlPr>
              </m:sSubPr>
              <m:e>
                <m:r>
                  <w:rPr>
                    <w:rFonts w:ascii="Cambria Math" w:hAnsi="Cambria Math"/>
                    <w:color w:val="D86DCB" w:themeColor="accent5" w:themeTint="99"/>
                    <w:sz w:val="18"/>
                    <w:szCs w:val="18"/>
                    <w:lang w:val="en-US"/>
                  </w:rPr>
                  <m:t xml:space="preserve">q </m:t>
                </m:r>
              </m:e>
              <m:sub>
                <m:r>
                  <w:rPr>
                    <w:rFonts w:ascii="Cambria Math" w:hAnsi="Cambria Math"/>
                    <w:color w:val="D86DCB" w:themeColor="accent5" w:themeTint="99"/>
                    <w:sz w:val="18"/>
                    <w:szCs w:val="18"/>
                    <w:lang w:val="en-US"/>
                  </w:rPr>
                  <m:t>t</m:t>
                </m:r>
              </m:sub>
            </m:sSub>
            <m:r>
              <w:rPr>
                <w:rFonts w:ascii="Cambria Math" w:hAnsi="Cambria Math"/>
                <w:color w:val="D86DCB" w:themeColor="accent5" w:themeTint="99"/>
                <w:sz w:val="18"/>
                <w:szCs w:val="18"/>
                <w:lang w:val="en-US"/>
              </w:rPr>
              <m:t>=0</m:t>
            </m:r>
          </m:e>
        </m:d>
      </m:oMath>
      <w:r w:rsidRPr="008E7072">
        <w:rPr>
          <w:color w:val="D86DCB" w:themeColor="accent5" w:themeTint="99"/>
          <w:lang w:val="en-US"/>
        </w:rPr>
        <w:t xml:space="preserve">. </w:t>
      </w:r>
      <w:r w:rsidR="008E7072" w:rsidRPr="008E7072">
        <w:rPr>
          <w:color w:val="D86DCB" w:themeColor="accent5" w:themeTint="99"/>
          <w:lang w:val="en-US"/>
        </w:rPr>
        <w:t>By contrast, the binary zero-lost-sales bonus introduces a discontinuity into the reward signal and, under severe disruption, may become rarely attainable. When the agent seldom reaches this state, feedback grows sparse precisely when informative updating is most needed. In a bounded-action setting, this structure can redirect learning toward avoiding ordering and holding costs, systematically favoring lower replenishment decisions; under distributional shift, that mechanism can contribute to persistent under-ordering.</w:t>
      </w:r>
    </w:p>
    <w:p w14:paraId="4186DAC6" w14:textId="3EF484D3" w:rsidR="008E7072" w:rsidRPr="008E7072" w:rsidRDefault="008E7072" w:rsidP="008E7072">
      <w:pPr>
        <w:pStyle w:val="text-base"/>
        <w:spacing w:before="0" w:after="0"/>
        <w:jc w:val="both"/>
        <w:rPr>
          <w:color w:val="D86DCB" w:themeColor="accent5" w:themeTint="99"/>
          <w:lang w:val="en-US"/>
        </w:rPr>
      </w:pPr>
      <w:r w:rsidRPr="008E7072">
        <w:rPr>
          <w:color w:val="D86DCB" w:themeColor="accent5" w:themeTint="99"/>
          <w:lang w:val="en-US"/>
        </w:rPr>
        <w:t xml:space="preserve">Ordering costs are modeled as purely variable components. For order quantity, </w:t>
      </w:r>
      <m:oMath>
        <m:sSub>
          <m:sSubPr>
            <m:ctrlPr>
              <w:rPr>
                <w:rFonts w:ascii="Cambria Math" w:hAnsi="Cambria Math"/>
                <w:i/>
                <w:color w:val="D86DCB" w:themeColor="accent5" w:themeTint="99"/>
                <w:lang w:val="en-US"/>
              </w:rPr>
            </m:ctrlPr>
          </m:sSubPr>
          <m:e>
            <m:r>
              <w:rPr>
                <w:rFonts w:ascii="Cambria Math" w:hAnsi="Cambria Math"/>
                <w:color w:val="D86DCB" w:themeColor="accent5" w:themeTint="99"/>
                <w:lang w:val="en-US"/>
              </w:rPr>
              <m:t>q</m:t>
            </m:r>
          </m:e>
          <m:sub>
            <m:r>
              <w:rPr>
                <w:rFonts w:ascii="Cambria Math" w:hAnsi="Cambria Math"/>
                <w:color w:val="D86DCB" w:themeColor="accent5" w:themeTint="99"/>
                <w:lang w:val="en-US"/>
              </w:rPr>
              <m:t>t</m:t>
            </m:r>
          </m:sub>
        </m:sSub>
      </m:oMath>
      <w:r w:rsidR="00FB254A">
        <w:rPr>
          <w:lang w:val="en-US"/>
        </w:rPr>
        <w:t>C</w:t>
      </w:r>
      <w:r w:rsidRPr="008E7072">
        <w:rPr>
          <w:lang w:val="en-US"/>
        </w:rPr>
        <w:t xml:space="preserve">ost is defined as </w:t>
      </w:r>
      <m:oMath>
        <m:sSub>
          <m:sSubPr>
            <m:ctrlPr>
              <w:rPr>
                <w:rFonts w:ascii="Cambria Math" w:hAnsi="Cambria Math"/>
                <w:i/>
                <w:color w:val="D86DCB" w:themeColor="accent5" w:themeTint="99"/>
                <w:lang w:val="en-US"/>
              </w:rPr>
            </m:ctrlPr>
          </m:sSubPr>
          <m:e>
            <m:r>
              <w:rPr>
                <w:rFonts w:ascii="Cambria Math" w:hAnsi="Cambria Math"/>
                <w:color w:val="D86DCB" w:themeColor="accent5" w:themeTint="99"/>
                <w:lang w:val="en-US"/>
              </w:rPr>
              <m:t>c</m:t>
            </m:r>
          </m:e>
          <m:sub>
            <m:r>
              <w:rPr>
                <w:rFonts w:ascii="Cambria Math" w:hAnsi="Cambria Math"/>
                <w:color w:val="D86DCB" w:themeColor="accent5" w:themeTint="99"/>
                <w:lang w:val="en-US"/>
              </w:rPr>
              <m:t>o</m:t>
            </m:r>
          </m:sub>
        </m:sSub>
        <m:d>
          <m:dPr>
            <m:ctrlPr>
              <w:rPr>
                <w:rFonts w:ascii="Cambria Math" w:hAnsi="Cambria Math"/>
                <w:i/>
                <w:color w:val="D86DCB" w:themeColor="accent5" w:themeTint="99"/>
                <w:lang w:val="en-US"/>
              </w:rPr>
            </m:ctrlPr>
          </m:dPr>
          <m:e>
            <m:sSub>
              <m:sSubPr>
                <m:ctrlPr>
                  <w:rPr>
                    <w:rFonts w:ascii="Cambria Math" w:hAnsi="Cambria Math"/>
                    <w:i/>
                    <w:color w:val="D86DCB" w:themeColor="accent5" w:themeTint="99"/>
                    <w:lang w:val="en-US"/>
                  </w:rPr>
                </m:ctrlPr>
              </m:sSubPr>
              <m:e>
                <m:r>
                  <w:rPr>
                    <w:rFonts w:ascii="Cambria Math" w:hAnsi="Cambria Math"/>
                    <w:color w:val="D86DCB" w:themeColor="accent5" w:themeTint="99"/>
                    <w:lang w:val="en-US"/>
                  </w:rPr>
                  <m:t>q</m:t>
                </m:r>
              </m:e>
              <m:sub>
                <m:r>
                  <w:rPr>
                    <w:rFonts w:ascii="Cambria Math" w:hAnsi="Cambria Math"/>
                    <w:color w:val="D86DCB" w:themeColor="accent5" w:themeTint="99"/>
                    <w:lang w:val="en-US"/>
                  </w:rPr>
                  <m:t>t</m:t>
                </m:r>
              </m:sub>
            </m:sSub>
          </m:e>
        </m:d>
        <m:r>
          <w:rPr>
            <w:rFonts w:ascii="Cambria Math" w:hAnsi="Cambria Math"/>
            <w:color w:val="D86DCB" w:themeColor="accent5" w:themeTint="99"/>
            <w:lang w:val="en-US"/>
          </w:rPr>
          <m:t>=</m:t>
        </m:r>
        <m:sSub>
          <m:sSubPr>
            <m:ctrlPr>
              <w:rPr>
                <w:rFonts w:ascii="Cambria Math" w:hAnsi="Cambria Math"/>
                <w:i/>
                <w:color w:val="D86DCB" w:themeColor="accent5" w:themeTint="99"/>
                <w:lang w:val="en-US"/>
              </w:rPr>
            </m:ctrlPr>
          </m:sSubPr>
          <m:e>
            <m:r>
              <w:rPr>
                <w:rFonts w:ascii="Cambria Math" w:hAnsi="Cambria Math"/>
                <w:color w:val="D86DCB" w:themeColor="accent5" w:themeTint="99"/>
                <w:lang w:val="en-US"/>
              </w:rPr>
              <m:t>c</m:t>
            </m:r>
          </m:e>
          <m:sub>
            <m:r>
              <w:rPr>
                <w:rFonts w:ascii="Cambria Math" w:hAnsi="Cambria Math"/>
                <w:color w:val="D86DCB" w:themeColor="accent5" w:themeTint="99"/>
                <w:lang w:val="en-US"/>
              </w:rPr>
              <m:t>o</m:t>
            </m:r>
          </m:sub>
        </m:sSub>
        <m:sSub>
          <m:sSubPr>
            <m:ctrlPr>
              <w:rPr>
                <w:rFonts w:ascii="Cambria Math" w:hAnsi="Cambria Math"/>
                <w:i/>
                <w:color w:val="D86DCB" w:themeColor="accent5" w:themeTint="99"/>
                <w:lang w:val="en-US"/>
              </w:rPr>
            </m:ctrlPr>
          </m:sSubPr>
          <m:e>
            <m:r>
              <w:rPr>
                <w:rFonts w:ascii="Cambria Math" w:hAnsi="Cambria Math"/>
                <w:color w:val="D86DCB" w:themeColor="accent5" w:themeTint="99"/>
                <w:lang w:val="en-US"/>
              </w:rPr>
              <m:t>q</m:t>
            </m:r>
          </m:e>
          <m:sub>
            <m:r>
              <w:rPr>
                <w:rFonts w:ascii="Cambria Math" w:hAnsi="Cambria Math"/>
                <w:color w:val="D86DCB" w:themeColor="accent5" w:themeTint="99"/>
                <w:lang w:val="en-US"/>
              </w:rPr>
              <m:t>t</m:t>
            </m:r>
          </m:sub>
        </m:sSub>
      </m:oMath>
      <w:r w:rsidR="006D7D23" w:rsidRPr="008E7072">
        <w:rPr>
          <w:color w:val="D86DCB" w:themeColor="accent5" w:themeTint="99"/>
          <w:lang w:val="en-US"/>
        </w:rPr>
        <w:t xml:space="preserve">, </w:t>
      </w:r>
      <w:r w:rsidRPr="008E7072">
        <w:rPr>
          <w:color w:val="D86DCB" w:themeColor="accent5" w:themeTint="99"/>
          <w:lang w:val="en-US"/>
        </w:rPr>
        <w:t xml:space="preserve">with no fixed setup term. </w:t>
      </w:r>
      <w:r w:rsidR="00FB254A">
        <w:rPr>
          <w:color w:val="D86DCB" w:themeColor="accent5" w:themeTint="99"/>
          <w:lang w:val="en-US"/>
        </w:rPr>
        <w:t>It</w:t>
      </w:r>
      <w:r w:rsidRPr="008E7072">
        <w:rPr>
          <w:color w:val="D86DCB" w:themeColor="accent5" w:themeTint="99"/>
          <w:lang w:val="en-US"/>
        </w:rPr>
        <w:t xml:space="preserve"> isolates the effect of quantity decisions on total cost and avoids the </w:t>
      </w:r>
      <w:proofErr w:type="gramStart"/>
      <w:r w:rsidRPr="008E7072">
        <w:rPr>
          <w:color w:val="D86DCB" w:themeColor="accent5" w:themeTint="99"/>
          <w:lang w:val="en-US"/>
        </w:rPr>
        <w:t>batch-order</w:t>
      </w:r>
      <w:proofErr w:type="gramEnd"/>
      <w:r w:rsidRPr="008E7072">
        <w:rPr>
          <w:color w:val="D86DCB" w:themeColor="accent5" w:themeTint="99"/>
          <w:lang w:val="en-US"/>
        </w:rPr>
        <w:t xml:space="preserve"> incentives that a fixed ordering charge would introduce. At the evaluation stage, total logistics cost is accumulated by summing holding, ordering, stockout, and routing costs across facilities over the planning horizon.</w:t>
      </w:r>
    </w:p>
    <w:p w14:paraId="55E572AD" w14:textId="35865C32" w:rsidR="00121EE7" w:rsidRPr="00607BA0" w:rsidRDefault="008E7072" w:rsidP="008E7072">
      <w:pPr>
        <w:pStyle w:val="text-base"/>
        <w:spacing w:before="0" w:after="0"/>
        <w:jc w:val="both"/>
        <w:rPr>
          <w:color w:val="000000" w:themeColor="text1"/>
          <w:lang w:val="en-US"/>
        </w:rPr>
      </w:pPr>
      <w:r w:rsidRPr="008E7072">
        <w:rPr>
          <w:color w:val="D86DCB" w:themeColor="accent5" w:themeTint="99"/>
          <w:lang w:val="en-US"/>
        </w:rPr>
        <w:t>The formulation also incorporates objectives that a purely commercial inventory model would represent only partially. Capacity limits, lead-time variability, and service requirements constrain the simulator throughout the planning horizon. The cost term maps the aggregated SKU-equivalent unit into a BRL-equivalent value, so that holding and shortage terms reflect not only economic burden but also the distributional consequences of stockouts across facilities</w:t>
      </w:r>
      <w:r w:rsidR="00FB254A">
        <w:rPr>
          <w:color w:val="D86DCB" w:themeColor="accent5" w:themeTint="99"/>
          <w:lang w:val="en-US"/>
        </w:rPr>
        <w:t>. The distinction</w:t>
      </w:r>
      <w:r w:rsidRPr="008E7072">
        <w:rPr>
          <w:color w:val="D86DCB" w:themeColor="accent5" w:themeTint="99"/>
          <w:lang w:val="en-US"/>
        </w:rPr>
        <w:t xml:space="preserve"> matters when service failures translate into patient-level harm rather than lost revenue</w:t>
      </w:r>
      <w:r w:rsidR="00896A3B" w:rsidRPr="006D7D23">
        <w:rPr>
          <w:color w:val="D86DCB" w:themeColor="accent5" w:themeTint="99"/>
          <w:lang w:val="en-US"/>
        </w:rPr>
        <w:t xml:space="preserve">. </w:t>
      </w:r>
      <w:r w:rsidR="00896A3B" w:rsidRPr="00607BA0">
        <w:rPr>
          <w:color w:val="000000" w:themeColor="text1"/>
          <w:lang w:val="en-US"/>
        </w:rPr>
        <w:t>In this way, the model preserves cost accounting while keeping service exposure visible in a public-health setting.</w:t>
      </w:r>
    </w:p>
    <w:p w14:paraId="5E6D3149" w14:textId="77777777" w:rsidR="0047501B" w:rsidRPr="008746C2" w:rsidRDefault="00000000" w:rsidP="008746C2">
      <w:pPr>
        <w:pStyle w:val="text-base"/>
        <w:spacing w:before="0" w:after="0"/>
        <w:jc w:val="both"/>
        <w:rPr>
          <w:color w:val="000000" w:themeColor="text1"/>
          <w:lang w:val="en-US"/>
        </w:rPr>
      </w:pPr>
      <w:r w:rsidRPr="00607BA0">
        <w:rPr>
          <w:color w:val="000000" w:themeColor="text1"/>
          <w:lang w:val="en-US"/>
        </w:rPr>
        <w:t>While the simulator represents a multi-facility healthcare network, inventory decisions are modeled at an aggregated SKU</w:t>
      </w:r>
      <w:r w:rsidRPr="008746C2">
        <w:rPr>
          <w:color w:val="000000" w:themeColor="text1"/>
          <w:lang w:val="en-US"/>
        </w:rPr>
        <w:t>-equivalent level. Demand distributions in the equations refer to this aggregated unit, while costs accrue network-wide across facilities and time.</w:t>
      </w:r>
    </w:p>
    <w:bookmarkEnd w:id="1"/>
    <w:p w14:paraId="1E08A094" w14:textId="77777777" w:rsidR="00746363" w:rsidRPr="00DD5FF3" w:rsidRDefault="00746363"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Inventory Dynamics Under Lost Sales</w:t>
      </w:r>
    </w:p>
    <w:p w14:paraId="4C050630" w14:textId="77777777" w:rsidR="001044EB" w:rsidRPr="008746C2" w:rsidRDefault="00000000" w:rsidP="008746C2">
      <w:pPr>
        <w:pStyle w:val="text-base"/>
        <w:spacing w:before="0" w:after="0"/>
        <w:jc w:val="both"/>
        <w:rPr>
          <w:color w:val="000000" w:themeColor="text1"/>
          <w:lang w:val="en-US"/>
        </w:rPr>
      </w:pPr>
      <w:r w:rsidRPr="008746C2">
        <w:rPr>
          <w:color w:val="000000" w:themeColor="text1"/>
          <w:lang w:val="en-US"/>
        </w:rPr>
        <w:t xml:space="preserve">Notation used in </w:t>
      </w:r>
      <w:proofErr w:type="spellStart"/>
      <w:r w:rsidRPr="008746C2">
        <w:rPr>
          <w:color w:val="000000" w:themeColor="text1"/>
          <w:lang w:val="en-US"/>
        </w:rPr>
        <w:t>Eqs</w:t>
      </w:r>
      <w:proofErr w:type="spellEnd"/>
      <w:r w:rsidRPr="008746C2">
        <w:rPr>
          <w:color w:val="000000" w:themeColor="text1"/>
          <w:lang w:val="en-US"/>
        </w:rPr>
        <w:t>. (1)</w:t>
      </w:r>
      <w:proofErr w:type="gramStart"/>
      <w:r w:rsidRPr="008746C2">
        <w:rPr>
          <w:color w:val="000000" w:themeColor="text1"/>
          <w:lang w:val="en-US"/>
        </w:rPr>
        <w:t>–(</w:t>
      </w:r>
      <w:proofErr w:type="gramEnd"/>
      <w:r w:rsidRPr="008746C2">
        <w:rPr>
          <w:color w:val="000000" w:themeColor="text1"/>
          <w:lang w:val="en-US"/>
        </w:rPr>
        <w:t>5) and throughout Sections 3–5.</w:t>
      </w:r>
    </w:p>
    <w:tbl>
      <w:tblPr>
        <w:tblW w:w="0" w:type="auto"/>
        <w:jc w:val="center"/>
        <w:tblLook w:val="04A0" w:firstRow="1" w:lastRow="0" w:firstColumn="1" w:lastColumn="0" w:noHBand="0" w:noVBand="1"/>
      </w:tblPr>
      <w:tblGrid>
        <w:gridCol w:w="1134"/>
        <w:gridCol w:w="5529"/>
        <w:gridCol w:w="708"/>
      </w:tblGrid>
      <w:tr w:rsidR="001044EB" w:rsidRPr="008746C2" w14:paraId="0024AA8B" w14:textId="77777777" w:rsidTr="008746C2">
        <w:trPr>
          <w:jc w:val="center"/>
        </w:trPr>
        <w:tc>
          <w:tcPr>
            <w:tcW w:w="1134" w:type="dxa"/>
          </w:tcPr>
          <w:p w14:paraId="77CB30A8" w14:textId="77777777" w:rsidR="001044EB" w:rsidRPr="008746C2" w:rsidRDefault="00000000">
            <w:pPr>
              <w:rPr>
                <w:rFonts w:cs="Times New Roman"/>
                <w:b/>
                <w:bCs/>
              </w:rPr>
            </w:pPr>
            <w:r w:rsidRPr="008746C2">
              <w:rPr>
                <w:rFonts w:cs="Times New Roman"/>
                <w:b/>
                <w:bCs/>
              </w:rPr>
              <w:t>Symbol</w:t>
            </w:r>
          </w:p>
        </w:tc>
        <w:tc>
          <w:tcPr>
            <w:tcW w:w="5529" w:type="dxa"/>
          </w:tcPr>
          <w:p w14:paraId="49169956" w14:textId="77777777" w:rsidR="001044EB" w:rsidRPr="008746C2" w:rsidRDefault="00000000">
            <w:pPr>
              <w:rPr>
                <w:rFonts w:cs="Times New Roman"/>
                <w:b/>
                <w:bCs/>
              </w:rPr>
            </w:pPr>
            <w:r w:rsidRPr="008746C2">
              <w:rPr>
                <w:rFonts w:cs="Times New Roman"/>
                <w:b/>
                <w:bCs/>
              </w:rPr>
              <w:t>Definition</w:t>
            </w:r>
          </w:p>
        </w:tc>
        <w:tc>
          <w:tcPr>
            <w:tcW w:w="708" w:type="dxa"/>
          </w:tcPr>
          <w:p w14:paraId="03055F46" w14:textId="77777777" w:rsidR="001044EB" w:rsidRPr="008746C2" w:rsidRDefault="00000000">
            <w:pPr>
              <w:rPr>
                <w:rFonts w:cs="Times New Roman"/>
                <w:b/>
                <w:bCs/>
              </w:rPr>
            </w:pPr>
            <w:r w:rsidRPr="008746C2">
              <w:rPr>
                <w:rFonts w:cs="Times New Roman"/>
                <w:b/>
                <w:bCs/>
              </w:rPr>
              <w:t>Unit</w:t>
            </w:r>
          </w:p>
        </w:tc>
      </w:tr>
      <w:tr w:rsidR="008746C2" w:rsidRPr="008746C2" w14:paraId="2D65D8C5" w14:textId="77777777" w:rsidTr="008746C2">
        <w:trPr>
          <w:jc w:val="center"/>
        </w:trPr>
        <w:tc>
          <w:tcPr>
            <w:tcW w:w="1134" w:type="dxa"/>
          </w:tcPr>
          <w:p w14:paraId="19AF4D20" w14:textId="2624B1EA" w:rsidR="008746C2" w:rsidRPr="008746C2" w:rsidRDefault="00FE7776">
            <w:pPr>
              <w:rPr>
                <w:rFonts w:cs="Times New Roman"/>
              </w:rPr>
            </w:pPr>
            <m:oMathPara>
              <m:oMath>
                <m:r>
                  <w:rPr>
                    <w:rFonts w:ascii="Cambria Math" w:hAnsi="Cambria Math" w:cs="Times New Roman"/>
                  </w:rPr>
                  <m:t>1·</m:t>
                </m:r>
              </m:oMath>
            </m:oMathPara>
          </w:p>
        </w:tc>
        <w:tc>
          <w:tcPr>
            <w:tcW w:w="5529" w:type="dxa"/>
          </w:tcPr>
          <w:p w14:paraId="752E78B1" w14:textId="77777777" w:rsidR="008746C2" w:rsidRPr="008746C2" w:rsidRDefault="008746C2">
            <w:pPr>
              <w:rPr>
                <w:rFonts w:cs="Times New Roman"/>
              </w:rPr>
            </w:pPr>
            <w:r w:rsidRPr="008746C2">
              <w:rPr>
                <w:rFonts w:cs="Times New Roman"/>
              </w:rPr>
              <w:t>indicator function</w:t>
            </w:r>
          </w:p>
        </w:tc>
        <w:tc>
          <w:tcPr>
            <w:tcW w:w="708" w:type="dxa"/>
          </w:tcPr>
          <w:p w14:paraId="12D91777" w14:textId="77777777" w:rsidR="008746C2" w:rsidRPr="008746C2" w:rsidRDefault="008746C2">
            <w:pPr>
              <w:rPr>
                <w:rFonts w:cs="Times New Roman"/>
              </w:rPr>
            </w:pPr>
            <w:r w:rsidRPr="008746C2">
              <w:rPr>
                <w:rFonts w:cs="Times New Roman"/>
              </w:rPr>
              <w:t>—</w:t>
            </w:r>
          </w:p>
        </w:tc>
      </w:tr>
      <w:tr w:rsidR="008746C2" w:rsidRPr="008746C2" w14:paraId="30863498" w14:textId="77777777" w:rsidTr="008746C2">
        <w:trPr>
          <w:jc w:val="center"/>
        </w:trPr>
        <w:tc>
          <w:tcPr>
            <w:tcW w:w="1134" w:type="dxa"/>
          </w:tcPr>
          <w:p w14:paraId="3739BB4F" w14:textId="536A86AB" w:rsidR="008746C2" w:rsidRPr="008746C2" w:rsidRDefault="00000000">
            <w:pPr>
              <w:rPr>
                <w:rFonts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oMath>
            </m:oMathPara>
          </w:p>
        </w:tc>
        <w:tc>
          <w:tcPr>
            <w:tcW w:w="5529" w:type="dxa"/>
          </w:tcPr>
          <w:p w14:paraId="3CD392F3" w14:textId="77777777" w:rsidR="008746C2" w:rsidRPr="008746C2" w:rsidRDefault="008746C2">
            <w:pPr>
              <w:rPr>
                <w:rFonts w:cs="Times New Roman"/>
              </w:rPr>
            </w:pPr>
            <w:r w:rsidRPr="008746C2">
              <w:rPr>
                <w:rFonts w:cs="Times New Roman"/>
              </w:rPr>
              <w:t>arrivals at day t</w:t>
            </w:r>
          </w:p>
        </w:tc>
        <w:tc>
          <w:tcPr>
            <w:tcW w:w="708" w:type="dxa"/>
          </w:tcPr>
          <w:p w14:paraId="1BB95889" w14:textId="77777777" w:rsidR="008746C2" w:rsidRPr="008746C2" w:rsidRDefault="008746C2">
            <w:pPr>
              <w:rPr>
                <w:rFonts w:cs="Times New Roman"/>
              </w:rPr>
            </w:pPr>
            <w:r w:rsidRPr="008746C2">
              <w:rPr>
                <w:rFonts w:cs="Times New Roman"/>
              </w:rPr>
              <w:t>units</w:t>
            </w:r>
          </w:p>
        </w:tc>
      </w:tr>
      <w:tr w:rsidR="008746C2" w:rsidRPr="008746C2" w14:paraId="2331A2C7" w14:textId="77777777" w:rsidTr="008746C2">
        <w:trPr>
          <w:jc w:val="center"/>
        </w:trPr>
        <w:tc>
          <w:tcPr>
            <w:tcW w:w="1134" w:type="dxa"/>
          </w:tcPr>
          <w:p w14:paraId="279C873C" w14:textId="07811D99" w:rsidR="008746C2" w:rsidRPr="008746C2" w:rsidRDefault="00000000">
            <w:pPr>
              <w:rPr>
                <w:rFonts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m:t>
                    </m:r>
                  </m:sub>
                </m:sSub>
              </m:oMath>
            </m:oMathPara>
          </w:p>
        </w:tc>
        <w:tc>
          <w:tcPr>
            <w:tcW w:w="5529" w:type="dxa"/>
          </w:tcPr>
          <w:p w14:paraId="3AFCBE5F" w14:textId="77777777" w:rsidR="008746C2" w:rsidRPr="008746C2" w:rsidRDefault="008746C2">
            <w:pPr>
              <w:rPr>
                <w:rFonts w:cs="Times New Roman"/>
              </w:rPr>
            </w:pPr>
            <w:r w:rsidRPr="008746C2">
              <w:rPr>
                <w:rFonts w:cs="Times New Roman"/>
              </w:rPr>
              <w:t>realized demand during day t (aggregated SKU-equivalent)</w:t>
            </w:r>
          </w:p>
        </w:tc>
        <w:tc>
          <w:tcPr>
            <w:tcW w:w="708" w:type="dxa"/>
          </w:tcPr>
          <w:p w14:paraId="0D20177C" w14:textId="77777777" w:rsidR="008746C2" w:rsidRPr="008746C2" w:rsidRDefault="008746C2">
            <w:pPr>
              <w:rPr>
                <w:rFonts w:cs="Times New Roman"/>
              </w:rPr>
            </w:pPr>
            <w:r w:rsidRPr="008746C2">
              <w:rPr>
                <w:rFonts w:cs="Times New Roman"/>
              </w:rPr>
              <w:t>units</w:t>
            </w:r>
          </w:p>
        </w:tc>
      </w:tr>
      <w:tr w:rsidR="008746C2" w:rsidRPr="008746C2" w14:paraId="561D4F8E" w14:textId="77777777" w:rsidTr="008746C2">
        <w:trPr>
          <w:jc w:val="center"/>
        </w:trPr>
        <w:tc>
          <w:tcPr>
            <w:tcW w:w="1134" w:type="dxa"/>
          </w:tcPr>
          <w:p w14:paraId="423E5EA5" w14:textId="6B60E7E6" w:rsidR="008746C2" w:rsidRPr="008746C2" w:rsidRDefault="00000000">
            <w:pPr>
              <w:rPr>
                <w:rFonts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t+1</m:t>
                    </m:r>
                  </m:sub>
                </m:sSub>
              </m:oMath>
            </m:oMathPara>
          </w:p>
        </w:tc>
        <w:tc>
          <w:tcPr>
            <w:tcW w:w="5529" w:type="dxa"/>
          </w:tcPr>
          <w:p w14:paraId="6DC1BC2D" w14:textId="77777777" w:rsidR="008746C2" w:rsidRPr="008746C2" w:rsidRDefault="008746C2">
            <w:pPr>
              <w:rPr>
                <w:rFonts w:cs="Times New Roman"/>
              </w:rPr>
            </w:pPr>
            <w:r w:rsidRPr="008746C2">
              <w:rPr>
                <w:rFonts w:cs="Times New Roman"/>
              </w:rPr>
              <w:t>end-of-day on-hand after demand</w:t>
            </w:r>
          </w:p>
        </w:tc>
        <w:tc>
          <w:tcPr>
            <w:tcW w:w="708" w:type="dxa"/>
          </w:tcPr>
          <w:p w14:paraId="3C5CFB31" w14:textId="77777777" w:rsidR="008746C2" w:rsidRPr="008746C2" w:rsidRDefault="008746C2">
            <w:pPr>
              <w:rPr>
                <w:rFonts w:cs="Times New Roman"/>
              </w:rPr>
            </w:pPr>
            <w:r w:rsidRPr="008746C2">
              <w:rPr>
                <w:rFonts w:cs="Times New Roman"/>
              </w:rPr>
              <w:t>units</w:t>
            </w:r>
          </w:p>
        </w:tc>
      </w:tr>
      <w:tr w:rsidR="008746C2" w:rsidRPr="008746C2" w14:paraId="1F726076" w14:textId="77777777" w:rsidTr="008746C2">
        <w:trPr>
          <w:jc w:val="center"/>
        </w:trPr>
        <w:tc>
          <w:tcPr>
            <w:tcW w:w="1134" w:type="dxa"/>
          </w:tcPr>
          <w:p w14:paraId="3D81E2BD" w14:textId="6CB4DB8D" w:rsidR="008746C2" w:rsidRPr="008746C2" w:rsidRDefault="00000000">
            <w:pPr>
              <w:rPr>
                <w:rFonts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m:oMathPara>
          </w:p>
        </w:tc>
        <w:tc>
          <w:tcPr>
            <w:tcW w:w="5529" w:type="dxa"/>
          </w:tcPr>
          <w:p w14:paraId="3AE43292" w14:textId="77777777" w:rsidR="008746C2" w:rsidRPr="008746C2" w:rsidRDefault="008746C2">
            <w:pPr>
              <w:rPr>
                <w:rFonts w:cs="Times New Roman"/>
              </w:rPr>
            </w:pPr>
            <w:r w:rsidRPr="008746C2">
              <w:rPr>
                <w:rFonts w:cs="Times New Roman"/>
              </w:rPr>
              <w:t>on-hand inventory at start of day t</w:t>
            </w:r>
          </w:p>
        </w:tc>
        <w:tc>
          <w:tcPr>
            <w:tcW w:w="708" w:type="dxa"/>
          </w:tcPr>
          <w:p w14:paraId="5F74D092" w14:textId="77777777" w:rsidR="008746C2" w:rsidRPr="008746C2" w:rsidRDefault="008746C2">
            <w:pPr>
              <w:rPr>
                <w:rFonts w:cs="Times New Roman"/>
              </w:rPr>
            </w:pPr>
            <w:r w:rsidRPr="008746C2">
              <w:rPr>
                <w:rFonts w:cs="Times New Roman"/>
              </w:rPr>
              <w:t>units</w:t>
            </w:r>
          </w:p>
        </w:tc>
      </w:tr>
      <w:tr w:rsidR="008746C2" w:rsidRPr="008746C2" w14:paraId="225658AA" w14:textId="77777777" w:rsidTr="008746C2">
        <w:trPr>
          <w:jc w:val="center"/>
        </w:trPr>
        <w:tc>
          <w:tcPr>
            <w:tcW w:w="1134" w:type="dxa"/>
          </w:tcPr>
          <w:p w14:paraId="01EB462B" w14:textId="36A770A7" w:rsidR="008746C2" w:rsidRPr="008746C2" w:rsidRDefault="00FE7776">
            <w:pPr>
              <w:rPr>
                <w:rFonts w:cs="Times New Roman"/>
              </w:rPr>
            </w:pPr>
            <m:oMathPara>
              <m:oMath>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oMath>
            </m:oMathPara>
          </w:p>
        </w:tc>
        <w:tc>
          <w:tcPr>
            <w:tcW w:w="5529" w:type="dxa"/>
          </w:tcPr>
          <w:p w14:paraId="39EF950C" w14:textId="3B5D5433" w:rsidR="008746C2" w:rsidRPr="008746C2" w:rsidRDefault="008746C2">
            <w:pPr>
              <w:rPr>
                <w:rFonts w:cs="Times New Roman"/>
              </w:rPr>
            </w:pPr>
            <w:r w:rsidRPr="008746C2">
              <w:rPr>
                <w:rFonts w:cs="Times New Roman"/>
              </w:rPr>
              <w:t xml:space="preserve">inventory position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e>
              </m:d>
            </m:oMath>
          </w:p>
        </w:tc>
        <w:tc>
          <w:tcPr>
            <w:tcW w:w="708" w:type="dxa"/>
          </w:tcPr>
          <w:p w14:paraId="3735B465" w14:textId="77777777" w:rsidR="008746C2" w:rsidRPr="008746C2" w:rsidRDefault="008746C2">
            <w:pPr>
              <w:rPr>
                <w:rFonts w:cs="Times New Roman"/>
              </w:rPr>
            </w:pPr>
            <w:r w:rsidRPr="008746C2">
              <w:rPr>
                <w:rFonts w:cs="Times New Roman"/>
              </w:rPr>
              <w:t>units</w:t>
            </w:r>
          </w:p>
        </w:tc>
      </w:tr>
      <w:tr w:rsidR="008746C2" w:rsidRPr="008746C2" w14:paraId="46B77FFC" w14:textId="77777777" w:rsidTr="008746C2">
        <w:trPr>
          <w:jc w:val="center"/>
        </w:trPr>
        <w:tc>
          <w:tcPr>
            <w:tcW w:w="1134" w:type="dxa"/>
          </w:tcPr>
          <w:p w14:paraId="659440A8" w14:textId="2DC80642" w:rsidR="008746C2" w:rsidRPr="00A70916" w:rsidRDefault="00FE7776" w:rsidP="008746C2">
            <w:pPr>
              <w:rPr>
                <w:rFonts w:cs="Times New Roman"/>
                <w:i/>
                <w:iCs/>
                <w:color w:val="000000" w:themeColor="text1"/>
                <w:spacing w:val="-2"/>
              </w:rPr>
            </w:pPr>
            <m:oMathPara>
              <m:oMath>
                <m:r>
                  <w:rPr>
                    <w:rFonts w:ascii="Cambria Math" w:hAnsi="Cambria Math" w:cs="Times New Roman"/>
                    <w:color w:val="000000" w:themeColor="text1"/>
                    <w:spacing w:val="-2"/>
                  </w:rPr>
                  <m:t>L</m:t>
                </m:r>
              </m:oMath>
            </m:oMathPara>
          </w:p>
        </w:tc>
        <w:tc>
          <w:tcPr>
            <w:tcW w:w="5529" w:type="dxa"/>
          </w:tcPr>
          <w:p w14:paraId="03815124" w14:textId="77777777" w:rsidR="008746C2" w:rsidRPr="001529A3" w:rsidRDefault="008746C2" w:rsidP="008746C2">
            <w:pPr>
              <w:rPr>
                <w:rFonts w:cs="Times New Roman"/>
                <w:color w:val="000000" w:themeColor="text1"/>
                <w:spacing w:val="-2"/>
              </w:rPr>
            </w:pPr>
            <w:r w:rsidRPr="001529A3">
              <w:rPr>
                <w:rFonts w:cs="Times New Roman"/>
                <w:color w:val="000000" w:themeColor="text1"/>
                <w:spacing w:val="-2"/>
              </w:rPr>
              <w:t>stochastic lead time (range 3–15 per Section 3.5)</w:t>
            </w:r>
          </w:p>
        </w:tc>
        <w:tc>
          <w:tcPr>
            <w:tcW w:w="708" w:type="dxa"/>
          </w:tcPr>
          <w:p w14:paraId="131278F8" w14:textId="77777777" w:rsidR="008746C2" w:rsidRPr="001529A3" w:rsidRDefault="008746C2" w:rsidP="008746C2">
            <w:pPr>
              <w:rPr>
                <w:rFonts w:cs="Times New Roman"/>
                <w:color w:val="000000" w:themeColor="text1"/>
                <w:spacing w:val="-2"/>
              </w:rPr>
            </w:pPr>
            <w:r w:rsidRPr="001529A3">
              <w:rPr>
                <w:rFonts w:cs="Times New Roman"/>
                <w:color w:val="000000" w:themeColor="text1"/>
                <w:spacing w:val="-2"/>
              </w:rPr>
              <w:t>days</w:t>
            </w:r>
          </w:p>
        </w:tc>
      </w:tr>
      <w:tr w:rsidR="008746C2" w:rsidRPr="008746C2" w14:paraId="70FDF92E" w14:textId="77777777" w:rsidTr="008746C2">
        <w:trPr>
          <w:jc w:val="center"/>
        </w:trPr>
        <w:tc>
          <w:tcPr>
            <w:tcW w:w="1134" w:type="dxa"/>
          </w:tcPr>
          <w:p w14:paraId="08B5C1BD" w14:textId="5D9C8797" w:rsidR="008746C2" w:rsidRPr="008746C2" w:rsidRDefault="00000000">
            <w:pPr>
              <w:rPr>
                <w:rFonts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k</m:t>
                    </m:r>
                  </m:sub>
                </m:sSub>
              </m:oMath>
            </m:oMathPara>
          </w:p>
        </w:tc>
        <w:tc>
          <w:tcPr>
            <w:tcW w:w="5529" w:type="dxa"/>
          </w:tcPr>
          <w:p w14:paraId="3FD6254F" w14:textId="77777777" w:rsidR="008746C2" w:rsidRPr="008746C2" w:rsidRDefault="008746C2">
            <w:pPr>
              <w:rPr>
                <w:rFonts w:cs="Times New Roman"/>
              </w:rPr>
            </w:pPr>
            <w:r w:rsidRPr="008746C2">
              <w:rPr>
                <w:rFonts w:cs="Times New Roman"/>
              </w:rPr>
              <w:t>integer lead time (days) for order placed at day k</w:t>
            </w:r>
          </w:p>
        </w:tc>
        <w:tc>
          <w:tcPr>
            <w:tcW w:w="708" w:type="dxa"/>
          </w:tcPr>
          <w:p w14:paraId="156223A4" w14:textId="77777777" w:rsidR="008746C2" w:rsidRPr="008746C2" w:rsidRDefault="008746C2">
            <w:pPr>
              <w:rPr>
                <w:rFonts w:cs="Times New Roman"/>
              </w:rPr>
            </w:pPr>
            <w:r w:rsidRPr="008746C2">
              <w:rPr>
                <w:rFonts w:cs="Times New Roman"/>
              </w:rPr>
              <w:t>days</w:t>
            </w:r>
          </w:p>
        </w:tc>
      </w:tr>
      <w:tr w:rsidR="008746C2" w:rsidRPr="008746C2" w14:paraId="69181508" w14:textId="77777777" w:rsidTr="008746C2">
        <w:trPr>
          <w:jc w:val="center"/>
        </w:trPr>
        <w:tc>
          <w:tcPr>
            <w:tcW w:w="1134" w:type="dxa"/>
          </w:tcPr>
          <w:p w14:paraId="5A4D592A" w14:textId="3B7135D8" w:rsidR="008746C2" w:rsidRPr="008746C2" w:rsidRDefault="00FE7776">
            <w:pPr>
              <w:rPr>
                <w:rFonts w:cs="Times New Roman"/>
              </w:rPr>
            </w:pPr>
            <m:oMathPara>
              <m:oMath>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oMath>
            </m:oMathPara>
          </w:p>
        </w:tc>
        <w:tc>
          <w:tcPr>
            <w:tcW w:w="5529" w:type="dxa"/>
          </w:tcPr>
          <w:p w14:paraId="6462790C" w14:textId="2AC3B9F3" w:rsidR="008746C2" w:rsidRPr="008746C2" w:rsidRDefault="008746C2">
            <w:pPr>
              <w:rPr>
                <w:rFonts w:cs="Times New Roman"/>
              </w:rPr>
            </w:pPr>
            <w:r w:rsidRPr="008746C2">
              <w:rPr>
                <w:rFonts w:cs="Times New Roman"/>
              </w:rPr>
              <w:t xml:space="preserve">lost sales at day </w:t>
            </w:r>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e>
              </m:d>
            </m:oMath>
          </w:p>
        </w:tc>
        <w:tc>
          <w:tcPr>
            <w:tcW w:w="708" w:type="dxa"/>
          </w:tcPr>
          <w:p w14:paraId="30CAA491" w14:textId="77777777" w:rsidR="008746C2" w:rsidRPr="008746C2" w:rsidRDefault="008746C2">
            <w:pPr>
              <w:rPr>
                <w:rFonts w:cs="Times New Roman"/>
              </w:rPr>
            </w:pPr>
            <w:r w:rsidRPr="008746C2">
              <w:rPr>
                <w:rFonts w:cs="Times New Roman"/>
              </w:rPr>
              <w:t>units</w:t>
            </w:r>
          </w:p>
        </w:tc>
      </w:tr>
      <w:tr w:rsidR="008746C2" w:rsidRPr="008746C2" w14:paraId="1C7FC287" w14:textId="77777777" w:rsidTr="008746C2">
        <w:trPr>
          <w:jc w:val="center"/>
        </w:trPr>
        <w:tc>
          <w:tcPr>
            <w:tcW w:w="1134" w:type="dxa"/>
          </w:tcPr>
          <w:p w14:paraId="5BEBC340" w14:textId="1C53B6FE" w:rsidR="008746C2" w:rsidRDefault="00FE7776" w:rsidP="008746C2">
            <w:pPr>
              <w:rPr>
                <w:rFonts w:cs="Times New Roman"/>
                <w:i/>
                <w:iCs/>
                <w:color w:val="000000" w:themeColor="text1"/>
                <w:spacing w:val="-2"/>
              </w:rPr>
            </w:pPr>
            <m:oMathPara>
              <m:oMath>
                <m:r>
                  <w:rPr>
                    <w:rFonts w:ascii="Cambria Math" w:hAnsi="Cambria Math" w:cs="Times New Roman"/>
                    <w:color w:val="000000" w:themeColor="text1"/>
                    <w:spacing w:val="-2"/>
                  </w:rPr>
                  <m:t>Max</m:t>
                </m:r>
                <m:d>
                  <m:dPr>
                    <m:ctrlPr>
                      <w:rPr>
                        <w:rFonts w:ascii="Cambria Math" w:hAnsi="Cambria Math" w:cs="Times New Roman"/>
                        <w:i/>
                        <w:iCs/>
                        <w:color w:val="000000" w:themeColor="text1"/>
                        <w:spacing w:val="-2"/>
                      </w:rPr>
                    </m:ctrlPr>
                  </m:dPr>
                  <m:e>
                    <m:r>
                      <w:rPr>
                        <w:rFonts w:ascii="Cambria Math" w:hAnsi="Cambria Math" w:cs="Times New Roman"/>
                        <w:color w:val="000000" w:themeColor="text1"/>
                        <w:spacing w:val="-2"/>
                      </w:rPr>
                      <m:t>0,·</m:t>
                    </m:r>
                  </m:e>
                </m:d>
              </m:oMath>
            </m:oMathPara>
          </w:p>
        </w:tc>
        <w:tc>
          <w:tcPr>
            <w:tcW w:w="5529" w:type="dxa"/>
          </w:tcPr>
          <w:p w14:paraId="7EAE44F0" w14:textId="77777777" w:rsidR="008746C2" w:rsidRPr="001529A3" w:rsidRDefault="008746C2" w:rsidP="008746C2">
            <w:pPr>
              <w:rPr>
                <w:rFonts w:cs="Times New Roman"/>
                <w:color w:val="000000" w:themeColor="text1"/>
                <w:spacing w:val="-2"/>
              </w:rPr>
            </w:pPr>
            <w:r w:rsidRPr="001529A3">
              <w:rPr>
                <w:rFonts w:cs="Times New Roman"/>
                <w:color w:val="000000" w:themeColor="text1"/>
                <w:spacing w:val="-2"/>
              </w:rPr>
              <w:t>non-negativity constraint preventing negative inventory</w:t>
            </w:r>
          </w:p>
        </w:tc>
        <w:tc>
          <w:tcPr>
            <w:tcW w:w="708" w:type="dxa"/>
          </w:tcPr>
          <w:p w14:paraId="7E97B175" w14:textId="77777777" w:rsidR="008746C2" w:rsidRPr="001529A3" w:rsidRDefault="008746C2" w:rsidP="008746C2">
            <w:pPr>
              <w:rPr>
                <w:rFonts w:cs="Times New Roman"/>
                <w:color w:val="000000" w:themeColor="text1"/>
                <w:spacing w:val="-2"/>
              </w:rPr>
            </w:pPr>
          </w:p>
        </w:tc>
      </w:tr>
      <w:tr w:rsidR="008746C2" w:rsidRPr="008746C2" w14:paraId="3F484BF3" w14:textId="77777777" w:rsidTr="008746C2">
        <w:trPr>
          <w:jc w:val="center"/>
        </w:trPr>
        <w:tc>
          <w:tcPr>
            <w:tcW w:w="1134" w:type="dxa"/>
          </w:tcPr>
          <w:p w14:paraId="6C56739B" w14:textId="3DDED145" w:rsidR="008746C2" w:rsidRPr="008746C2" w:rsidRDefault="00000000">
            <w:pPr>
              <w:rPr>
                <w:rFonts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oMath>
            </m:oMathPara>
          </w:p>
        </w:tc>
        <w:tc>
          <w:tcPr>
            <w:tcW w:w="5529" w:type="dxa"/>
          </w:tcPr>
          <w:p w14:paraId="4B9DF4D9" w14:textId="77777777" w:rsidR="008746C2" w:rsidRPr="008746C2" w:rsidRDefault="008746C2">
            <w:pPr>
              <w:rPr>
                <w:rFonts w:cs="Times New Roman"/>
              </w:rPr>
            </w:pPr>
            <w:r w:rsidRPr="008746C2">
              <w:rPr>
                <w:rFonts w:cs="Times New Roman"/>
              </w:rPr>
              <w:t>pipeline inventory at day t</w:t>
            </w:r>
          </w:p>
        </w:tc>
        <w:tc>
          <w:tcPr>
            <w:tcW w:w="708" w:type="dxa"/>
          </w:tcPr>
          <w:p w14:paraId="05C70646" w14:textId="77777777" w:rsidR="008746C2" w:rsidRPr="008746C2" w:rsidRDefault="008746C2">
            <w:pPr>
              <w:rPr>
                <w:rFonts w:cs="Times New Roman"/>
              </w:rPr>
            </w:pPr>
            <w:r w:rsidRPr="008746C2">
              <w:rPr>
                <w:rFonts w:cs="Times New Roman"/>
              </w:rPr>
              <w:t>units</w:t>
            </w:r>
          </w:p>
        </w:tc>
      </w:tr>
      <w:tr w:rsidR="008746C2" w:rsidRPr="008746C2" w14:paraId="6CA449BF" w14:textId="77777777" w:rsidTr="008746C2">
        <w:trPr>
          <w:jc w:val="center"/>
        </w:trPr>
        <w:tc>
          <w:tcPr>
            <w:tcW w:w="1134" w:type="dxa"/>
          </w:tcPr>
          <w:p w14:paraId="53967CAC" w14:textId="62DDC30A" w:rsidR="008746C2" w:rsidRPr="008746C2" w:rsidRDefault="00000000">
            <w:pPr>
              <w:rPr>
                <w:rFonts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oMath>
            </m:oMathPara>
          </w:p>
        </w:tc>
        <w:tc>
          <w:tcPr>
            <w:tcW w:w="5529" w:type="dxa"/>
          </w:tcPr>
          <w:p w14:paraId="4F39B2B1" w14:textId="77777777" w:rsidR="008746C2" w:rsidRPr="008746C2" w:rsidRDefault="008746C2">
            <w:pPr>
              <w:rPr>
                <w:rFonts w:cs="Times New Roman"/>
              </w:rPr>
            </w:pPr>
            <w:r w:rsidRPr="008746C2">
              <w:rPr>
                <w:rFonts w:cs="Times New Roman"/>
              </w:rPr>
              <w:t>order quantity placed at day t</w:t>
            </w:r>
          </w:p>
        </w:tc>
        <w:tc>
          <w:tcPr>
            <w:tcW w:w="708" w:type="dxa"/>
          </w:tcPr>
          <w:p w14:paraId="738912D4" w14:textId="77777777" w:rsidR="008746C2" w:rsidRPr="008746C2" w:rsidRDefault="008746C2">
            <w:pPr>
              <w:rPr>
                <w:rFonts w:cs="Times New Roman"/>
              </w:rPr>
            </w:pPr>
            <w:r w:rsidRPr="008746C2">
              <w:rPr>
                <w:rFonts w:cs="Times New Roman"/>
              </w:rPr>
              <w:t>units</w:t>
            </w:r>
          </w:p>
        </w:tc>
      </w:tr>
      <w:tr w:rsidR="008746C2" w:rsidRPr="008746C2" w14:paraId="425D03A6" w14:textId="77777777" w:rsidTr="008746C2">
        <w:trPr>
          <w:jc w:val="center"/>
        </w:trPr>
        <w:tc>
          <w:tcPr>
            <w:tcW w:w="1134" w:type="dxa"/>
          </w:tcPr>
          <w:p w14:paraId="75AE129A" w14:textId="5816F97F" w:rsidR="008746C2" w:rsidRPr="008746C2" w:rsidRDefault="00000000">
            <w:pPr>
              <w:rPr>
                <w:rFonts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oMath>
            </m:oMathPara>
          </w:p>
        </w:tc>
        <w:tc>
          <w:tcPr>
            <w:tcW w:w="5529" w:type="dxa"/>
          </w:tcPr>
          <w:p w14:paraId="320CA5A4" w14:textId="77777777" w:rsidR="008746C2" w:rsidRPr="008746C2" w:rsidRDefault="008746C2">
            <w:pPr>
              <w:rPr>
                <w:rFonts w:cs="Times New Roman"/>
              </w:rPr>
            </w:pPr>
            <w:r w:rsidRPr="008746C2">
              <w:rPr>
                <w:rFonts w:cs="Times New Roman"/>
              </w:rPr>
              <w:t>fulfilled demand at day t</w:t>
            </w:r>
          </w:p>
        </w:tc>
        <w:tc>
          <w:tcPr>
            <w:tcW w:w="708" w:type="dxa"/>
          </w:tcPr>
          <w:p w14:paraId="2A3B5C9F" w14:textId="77777777" w:rsidR="008746C2" w:rsidRPr="008746C2" w:rsidRDefault="008746C2">
            <w:pPr>
              <w:rPr>
                <w:rFonts w:cs="Times New Roman"/>
              </w:rPr>
            </w:pPr>
            <w:r w:rsidRPr="008746C2">
              <w:rPr>
                <w:rFonts w:cs="Times New Roman"/>
              </w:rPr>
              <w:t>units</w:t>
            </w:r>
          </w:p>
        </w:tc>
      </w:tr>
      <w:tr w:rsidR="008746C2" w:rsidRPr="008746C2" w14:paraId="1DCCAC50" w14:textId="77777777" w:rsidTr="008746C2">
        <w:trPr>
          <w:jc w:val="center"/>
        </w:trPr>
        <w:tc>
          <w:tcPr>
            <w:tcW w:w="1134" w:type="dxa"/>
          </w:tcPr>
          <w:p w14:paraId="0561C083" w14:textId="41A57CDA" w:rsidR="008746C2" w:rsidRPr="008746C2" w:rsidRDefault="00FE7776">
            <w:pPr>
              <w:rPr>
                <w:rFonts w:cs="Times New Roman"/>
              </w:rPr>
            </w:pPr>
            <m:oMathPara>
              <m:oMath>
                <m:r>
                  <w:rPr>
                    <w:rFonts w:ascii="Cambria Math" w:hAnsi="Cambria Math" w:cs="Times New Roman"/>
                  </w:rPr>
                  <m:t>t, k</m:t>
                </m:r>
              </m:oMath>
            </m:oMathPara>
          </w:p>
        </w:tc>
        <w:tc>
          <w:tcPr>
            <w:tcW w:w="5529" w:type="dxa"/>
          </w:tcPr>
          <w:p w14:paraId="122326D4" w14:textId="77777777" w:rsidR="008746C2" w:rsidRPr="008746C2" w:rsidRDefault="008746C2">
            <w:pPr>
              <w:rPr>
                <w:rFonts w:cs="Times New Roman"/>
              </w:rPr>
            </w:pPr>
            <w:r w:rsidRPr="008746C2">
              <w:rPr>
                <w:rFonts w:cs="Times New Roman"/>
              </w:rPr>
              <w:t>day indices (decision epoch t; order placed at day k)</w:t>
            </w:r>
          </w:p>
        </w:tc>
        <w:tc>
          <w:tcPr>
            <w:tcW w:w="708" w:type="dxa"/>
          </w:tcPr>
          <w:p w14:paraId="69954032" w14:textId="77777777" w:rsidR="008746C2" w:rsidRPr="008746C2" w:rsidRDefault="008746C2">
            <w:pPr>
              <w:rPr>
                <w:rFonts w:cs="Times New Roman"/>
              </w:rPr>
            </w:pPr>
            <w:r w:rsidRPr="008746C2">
              <w:rPr>
                <w:rFonts w:cs="Times New Roman"/>
              </w:rPr>
              <w:t>days</w:t>
            </w:r>
          </w:p>
        </w:tc>
      </w:tr>
      <w:tr w:rsidR="008746C2" w:rsidRPr="008746C2" w14:paraId="6268CB96" w14:textId="77777777" w:rsidTr="008746C2">
        <w:trPr>
          <w:jc w:val="center"/>
        </w:trPr>
        <w:tc>
          <w:tcPr>
            <w:tcW w:w="1134" w:type="dxa"/>
          </w:tcPr>
          <w:p w14:paraId="4FFB2CFD" w14:textId="693A25A8" w:rsidR="008746C2" w:rsidRPr="008746C2" w:rsidRDefault="00000000">
            <w:pPr>
              <w:rPr>
                <w:rFonts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m:oMathPara>
          </w:p>
        </w:tc>
        <w:tc>
          <w:tcPr>
            <w:tcW w:w="5529" w:type="dxa"/>
          </w:tcPr>
          <w:p w14:paraId="71F9BB07" w14:textId="63CA9658" w:rsidR="008746C2" w:rsidRPr="008746C2" w:rsidRDefault="008746C2">
            <w:pPr>
              <w:rPr>
                <w:rFonts w:cs="Times New Roman"/>
              </w:rPr>
            </w:pPr>
            <w:r w:rsidRPr="008746C2">
              <w:rPr>
                <w:rFonts w:cs="Times New Roman"/>
              </w:rPr>
              <w:t xml:space="preserve">available inventory before demand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e>
              </m:d>
            </m:oMath>
          </w:p>
        </w:tc>
        <w:tc>
          <w:tcPr>
            <w:tcW w:w="708" w:type="dxa"/>
          </w:tcPr>
          <w:p w14:paraId="1488E293" w14:textId="77777777" w:rsidR="008746C2" w:rsidRPr="008746C2" w:rsidRDefault="008746C2">
            <w:pPr>
              <w:rPr>
                <w:rFonts w:cs="Times New Roman"/>
              </w:rPr>
            </w:pPr>
            <w:r w:rsidRPr="008746C2">
              <w:rPr>
                <w:rFonts w:cs="Times New Roman"/>
              </w:rPr>
              <w:t>units</w:t>
            </w:r>
          </w:p>
        </w:tc>
      </w:tr>
    </w:tbl>
    <w:p w14:paraId="69571D72" w14:textId="5D76DDEC" w:rsidR="00746363" w:rsidRDefault="00746363" w:rsidP="00746363">
      <w:pPr>
        <w:pStyle w:val="text-base"/>
        <w:spacing w:before="0" w:after="0"/>
        <w:jc w:val="both"/>
        <w:rPr>
          <w:color w:val="000000" w:themeColor="text1"/>
          <w:lang w:val="en-US"/>
        </w:rPr>
      </w:pPr>
      <w:r w:rsidRPr="00A25014">
        <w:rPr>
          <w:lang w:val="en-US"/>
        </w:rPr>
        <w:t xml:space="preserve">The model uses a periodic-review lost-sales inventory system.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oMath>
      <w:r w:rsidRPr="00A25014">
        <w:rPr>
          <w:lang w:val="en-US"/>
        </w:rPr>
        <w:t xml:space="preserve"> denotes on-hand inventory at the start of day t (units).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oMath>
      <w:r w:rsidRPr="00A25014">
        <w:rPr>
          <w:lang w:val="en-US"/>
        </w:rPr>
        <w:t xml:space="preserve"> denotes the order quantity placed at the start of day t (units).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oMath>
      <w:r w:rsidRPr="00A25014">
        <w:rPr>
          <w:lang w:val="en-US"/>
        </w:rPr>
        <w:t xml:space="preserve"> denotes realized demand during day t (units). Each order placed </w:t>
      </w:r>
      <w:r w:rsidR="00136957">
        <w:rPr>
          <w:lang w:val="en-US"/>
        </w:rPr>
        <w:t>on</w:t>
      </w:r>
      <w:r w:rsidRPr="00A25014">
        <w:rPr>
          <w:lang w:val="en-US"/>
        </w:rPr>
        <w:t xml:space="preserve"> day k faces an integer lead time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k</m:t>
            </m:r>
          </m:sub>
        </m:sSub>
      </m:oMath>
      <w:r w:rsidRPr="00A25014">
        <w:rPr>
          <w:lang w:val="en-US"/>
        </w:rPr>
        <w:t xml:space="preserve"> in days.</w:t>
      </w:r>
    </w:p>
    <w:p w14:paraId="4E118417" w14:textId="634B4181" w:rsidR="00746363" w:rsidRPr="008746C2" w:rsidRDefault="00000000" w:rsidP="00EC2EF2">
      <w:pPr>
        <w:pStyle w:val="text-base"/>
        <w:numPr>
          <w:ilvl w:val="0"/>
          <w:numId w:val="40"/>
        </w:numPr>
        <w:spacing w:before="0" w:beforeAutospacing="0" w:after="0" w:afterAutospacing="0"/>
        <w:jc w:val="both"/>
        <w:rPr>
          <w:lang w:val="en-US"/>
        </w:rPr>
      </w:pP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k=1</m:t>
            </m:r>
          </m:sub>
          <m:sup>
            <m:r>
              <w:rPr>
                <w:rFonts w:ascii="Cambria Math" w:hAnsi="Cambria Math"/>
                <w:lang w:val="en-US"/>
              </w:rPr>
              <m:t>t-1</m:t>
            </m:r>
          </m:sup>
        </m:sSubSup>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k</m:t>
            </m:r>
          </m:sub>
        </m:sSub>
        <m:r>
          <w:rPr>
            <w:rFonts w:ascii="Cambria Math" w:hAnsi="Cambria Math"/>
            <w:lang w:val="en-US"/>
          </w:rPr>
          <m:t>·1</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k</m:t>
            </m:r>
          </m:sub>
        </m:sSub>
        <m:r>
          <w:rPr>
            <w:rFonts w:ascii="Cambria Math" w:hAnsi="Cambria Math"/>
            <w:lang w:val="en-US"/>
          </w:rPr>
          <m:t>=t-k</m:t>
        </m:r>
      </m:oMath>
      <w:r w:rsidR="001529A3" w:rsidRPr="00A25014">
        <w:rPr>
          <w:lang w:val="en-US"/>
        </w:rPr>
        <w:t>, arrivals at day t (units).</w:t>
      </w:r>
    </w:p>
    <w:p w14:paraId="110552DB" w14:textId="0A4704A8" w:rsidR="00746363" w:rsidRPr="008746C2" w:rsidRDefault="00000000" w:rsidP="00EC2EF2">
      <w:pPr>
        <w:pStyle w:val="text-base"/>
        <w:numPr>
          <w:ilvl w:val="0"/>
          <w:numId w:val="40"/>
        </w:numPr>
        <w:spacing w:before="0" w:beforeAutospacing="0" w:after="0" w:afterAutospacing="0"/>
        <w:jc w:val="both"/>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oMath>
      <w:proofErr w:type="gramStart"/>
      <w:r w:rsidR="004C1558" w:rsidRPr="00A25014">
        <w:rPr>
          <w:lang w:val="en-US"/>
        </w:rPr>
        <w:t>, available</w:t>
      </w:r>
      <w:proofErr w:type="gramEnd"/>
      <w:r w:rsidR="004C1558" w:rsidRPr="00A25014">
        <w:rPr>
          <w:lang w:val="en-US"/>
        </w:rPr>
        <w:t xml:space="preserve"> inventory before demand (units).</w:t>
      </w:r>
    </w:p>
    <w:p w14:paraId="14484FA3" w14:textId="61E1D454" w:rsidR="001529A3" w:rsidRPr="008746C2" w:rsidRDefault="00000000" w:rsidP="00EC2EF2">
      <w:pPr>
        <w:pStyle w:val="text-base"/>
        <w:numPr>
          <w:ilvl w:val="0"/>
          <w:numId w:val="40"/>
        </w:numPr>
        <w:spacing w:before="0" w:beforeAutospacing="0" w:after="0" w:afterAutospacing="0"/>
        <w:jc w:val="both"/>
        <w:rPr>
          <w:lang w:val="en-US"/>
        </w:rPr>
      </w:pP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=min</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oMath>
      <w:r w:rsidR="001529A3" w:rsidRPr="008746C2">
        <w:rPr>
          <w:lang w:val="en-US"/>
        </w:rPr>
        <w:t xml:space="preserve">, fulfilled demand (units); </w:t>
      </w:r>
      <m:oMath>
        <m:r>
          <w:rPr>
            <w:rFonts w:ascii="Cambria Math" w:hAnsi="Cambria Math"/>
            <w:lang w:val="en-US"/>
          </w:rPr>
          <m:t>L</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=max0,</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oMath>
      <w:r w:rsidR="001529A3" w:rsidRPr="008746C2">
        <w:rPr>
          <w:lang w:val="en-US"/>
        </w:rPr>
        <w:t>, lost sales (units).</w:t>
      </w:r>
    </w:p>
    <w:p w14:paraId="3523DCE8" w14:textId="4BA9C8C6" w:rsidR="00746363" w:rsidRPr="008746C2" w:rsidRDefault="00000000" w:rsidP="00EC2EF2">
      <w:pPr>
        <w:pStyle w:val="text-base"/>
        <w:numPr>
          <w:ilvl w:val="0"/>
          <w:numId w:val="40"/>
        </w:numPr>
        <w:spacing w:before="0" w:beforeAutospacing="0" w:after="0" w:afterAutospacing="0"/>
        <w:jc w:val="both"/>
        <w:rPr>
          <w:lang w:val="en-US"/>
        </w:rPr>
      </w:pP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=max0,</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oMath>
      <w:r w:rsidR="00746363" w:rsidRPr="008746C2">
        <w:rPr>
          <w:lang w:val="en-US"/>
        </w:rPr>
        <w:t>, end-of-day on-hand (units).</w:t>
      </w:r>
    </w:p>
    <w:p w14:paraId="3BDE8F11" w14:textId="56E80A66" w:rsidR="00746363" w:rsidRDefault="00000000" w:rsidP="00EC2EF2">
      <w:pPr>
        <w:pStyle w:val="text-base"/>
        <w:numPr>
          <w:ilvl w:val="0"/>
          <w:numId w:val="40"/>
        </w:numPr>
        <w:spacing w:before="0" w:beforeAutospacing="0" w:after="0" w:afterAutospacing="0"/>
        <w:jc w:val="both"/>
        <w:rPr>
          <w:lang w:val="en-U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k=1</m:t>
            </m:r>
          </m:sub>
          <m:sup>
            <m:r>
              <w:rPr>
                <w:rFonts w:ascii="Cambria Math" w:hAnsi="Cambria Math"/>
                <w:lang w:val="en-US"/>
              </w:rPr>
              <m:t>t-1</m:t>
            </m:r>
          </m:sup>
        </m:sSubSup>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k</m:t>
            </m:r>
          </m:sub>
        </m:sSub>
        <m:r>
          <w:rPr>
            <w:rFonts w:ascii="Cambria Math" w:hAnsi="Cambria Math"/>
            <w:lang w:val="en-US"/>
          </w:rPr>
          <m:t>·1</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k</m:t>
            </m:r>
          </m:sub>
        </m:sSub>
        <m:r>
          <w:rPr>
            <w:rFonts w:ascii="Cambria Math" w:hAnsi="Cambria Math"/>
            <w:lang w:val="en-US"/>
          </w:rPr>
          <m:t>&gt;t-k</m:t>
        </m:r>
      </m:oMath>
      <w:r w:rsidR="00746363" w:rsidRPr="008746C2">
        <w:rPr>
          <w:lang w:val="en-US"/>
        </w:rPr>
        <w:t xml:space="preserve">, pipeline inventory at day t (units); </w:t>
      </w:r>
      <m:oMath>
        <m:r>
          <w:rPr>
            <w:rFonts w:ascii="Cambria Math" w:hAnsi="Cambria Math"/>
            <w:lang w:val="en-US"/>
          </w:rPr>
          <m:t>I</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oMath>
      <w:r w:rsidR="00746363" w:rsidRPr="008746C2">
        <w:rPr>
          <w:lang w:val="en-US"/>
        </w:rPr>
        <w:t>, inventory position (units).</w:t>
      </w:r>
    </w:p>
    <w:p w14:paraId="00AE6F34" w14:textId="77777777" w:rsidR="002F0D8D" w:rsidRDefault="00000000" w:rsidP="00896A3B">
      <w:pPr>
        <w:pStyle w:val="text-base"/>
        <w:spacing w:before="0" w:after="0" w:afterAutospacing="0"/>
        <w:jc w:val="both"/>
        <w:rPr>
          <w:lang w:val="en-US"/>
        </w:rPr>
      </w:pPr>
      <w:r w:rsidRPr="00653ACC">
        <w:rPr>
          <w:lang w:val="en-US"/>
        </w:rPr>
        <w:t xml:space="preserve">The simulator updates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oMath>
      <w:r w:rsidRPr="00653ACC">
        <w:rPr>
          <w:lang w:val="en-US"/>
        </w:rPr>
        <w:t xml:space="preserve"> from the pipeline and rarely subtracts a time quantity from a stock quantity. </w:t>
      </w:r>
    </w:p>
    <w:p w14:paraId="1AF2B9D0" w14:textId="6A64F2BF" w:rsidR="002F0D8D" w:rsidRPr="002F0D8D" w:rsidRDefault="002F0D8D" w:rsidP="002F0D8D">
      <w:pPr>
        <w:pStyle w:val="text-base"/>
        <w:jc w:val="both"/>
        <w:rPr>
          <w:color w:val="A02B93" w:themeColor="accent5"/>
          <w:lang w:val="en-US"/>
        </w:rPr>
      </w:pPr>
      <w:r w:rsidRPr="002F0D8D">
        <w:rPr>
          <w:color w:val="A02B93" w:themeColor="accent5"/>
          <w:lang w:val="en-US"/>
        </w:rPr>
        <w:t>A lost-sales formulation is adopted rather than backlogging</w:t>
      </w:r>
      <w:r w:rsidR="00FB254A">
        <w:rPr>
          <w:color w:val="A02B93" w:themeColor="accent5"/>
          <w:lang w:val="en-US"/>
        </w:rPr>
        <w:t>. The choice</w:t>
      </w:r>
      <w:r w:rsidRPr="002F0D8D">
        <w:rPr>
          <w:color w:val="A02B93" w:themeColor="accent5"/>
          <w:lang w:val="en-US"/>
        </w:rPr>
        <w:t xml:space="preserve"> </w:t>
      </w:r>
      <w:r w:rsidR="00FB254A">
        <w:rPr>
          <w:color w:val="A02B93" w:themeColor="accent5"/>
          <w:lang w:val="en-US"/>
        </w:rPr>
        <w:t>aligns with the public health setting examined here: unmet demand cannot be deferred without the potential for</w:t>
      </w:r>
      <w:r w:rsidRPr="002F0D8D">
        <w:rPr>
          <w:color w:val="A02B93" w:themeColor="accent5"/>
          <w:lang w:val="en-US"/>
        </w:rPr>
        <w:t xml:space="preserve"> clinical harm, so treating unsatisfied orders as permanently </w:t>
      </w:r>
      <w:r w:rsidRPr="002F0D8D">
        <w:rPr>
          <w:color w:val="A02B93" w:themeColor="accent5"/>
          <w:lang w:val="en-US"/>
        </w:rPr>
        <w:lastRenderedPageBreak/>
        <w:t xml:space="preserve">lost better reflects the operational reality of medicine stockouts in the SUS. Daily total cost is defined as </w:t>
      </w:r>
      <m:oMath>
        <m:sSub>
          <m:sSubPr>
            <m:ctrlPr>
              <w:rPr>
                <w:rFonts w:ascii="Cambria Math" w:hAnsi="Cambria Math"/>
                <w:color w:val="A02B93" w:themeColor="accent5"/>
              </w:rPr>
            </m:ctrlPr>
          </m:sSubPr>
          <m:e>
            <m:r>
              <m:rPr>
                <m:scr m:val="script"/>
              </m:rPr>
              <w:rPr>
                <w:rFonts w:ascii="Cambria Math" w:hAnsi="Cambria Math"/>
                <w:color w:val="A02B93" w:themeColor="accent5"/>
              </w:rPr>
              <m:t>C</m:t>
            </m:r>
          </m:e>
          <m:sub>
            <m:r>
              <w:rPr>
                <w:rFonts w:ascii="Cambria Math" w:hAnsi="Cambria Math"/>
                <w:color w:val="A02B93" w:themeColor="accent5"/>
              </w:rPr>
              <m:t>t</m:t>
            </m:r>
          </m:sub>
        </m:sSub>
        <m:r>
          <w:rPr>
            <w:rFonts w:ascii="Cambria Math" w:hAnsi="Cambria Math"/>
            <w:color w:val="A02B93" w:themeColor="accent5"/>
            <w:lang w:val="en-US"/>
          </w:rPr>
          <m:t>=(h⋅</m:t>
        </m:r>
        <m:sSub>
          <m:sSubPr>
            <m:ctrlPr>
              <w:rPr>
                <w:rFonts w:ascii="Cambria Math" w:hAnsi="Cambria Math"/>
                <w:color w:val="A02B93" w:themeColor="accent5"/>
              </w:rPr>
            </m:ctrlPr>
          </m:sSubPr>
          <m:e>
            <m:r>
              <w:rPr>
                <w:rFonts w:ascii="Cambria Math" w:hAnsi="Cambria Math"/>
                <w:color w:val="A02B93" w:themeColor="accent5"/>
              </w:rPr>
              <m:t>C</m:t>
            </m:r>
          </m:e>
          <m:sub>
            <m:r>
              <w:rPr>
                <w:rFonts w:ascii="Cambria Math" w:hAnsi="Cambria Math"/>
                <w:color w:val="A02B93" w:themeColor="accent5"/>
              </w:rPr>
              <m:t>t</m:t>
            </m:r>
          </m:sub>
        </m:sSub>
        <m:r>
          <w:rPr>
            <w:rFonts w:ascii="Cambria Math" w:hAnsi="Cambria Math"/>
            <w:color w:val="A02B93" w:themeColor="accent5"/>
            <w:lang w:val="en-US"/>
          </w:rPr>
          <m:t>)</m:t>
        </m:r>
        <m:sSub>
          <m:sSubPr>
            <m:ctrlPr>
              <w:rPr>
                <w:rFonts w:ascii="Cambria Math" w:hAnsi="Cambria Math"/>
                <w:color w:val="A02B93" w:themeColor="accent5"/>
              </w:rPr>
            </m:ctrlPr>
          </m:sSubPr>
          <m:e>
            <m:r>
              <w:rPr>
                <w:rFonts w:ascii="Cambria Math" w:hAnsi="Cambria Math"/>
                <w:color w:val="A02B93" w:themeColor="accent5"/>
              </w:rPr>
              <m:t>I</m:t>
            </m:r>
          </m:e>
          <m:sub>
            <m:r>
              <w:rPr>
                <w:rFonts w:ascii="Cambria Math" w:hAnsi="Cambria Math"/>
                <w:color w:val="A02B93" w:themeColor="accent5"/>
              </w:rPr>
              <m:t>t</m:t>
            </m:r>
            <m:r>
              <w:rPr>
                <w:rFonts w:ascii="Cambria Math" w:hAnsi="Cambria Math"/>
                <w:color w:val="A02B93" w:themeColor="accent5"/>
                <w:lang w:val="en-US"/>
              </w:rPr>
              <m:t>+1</m:t>
            </m:r>
          </m:sub>
        </m:sSub>
        <m:r>
          <w:rPr>
            <w:rFonts w:ascii="Cambria Math" w:hAnsi="Cambria Math"/>
            <w:color w:val="A02B93" w:themeColor="accent5"/>
            <w:lang w:val="en-US"/>
          </w:rPr>
          <m:t>+</m:t>
        </m:r>
        <m:sSub>
          <m:sSubPr>
            <m:ctrlPr>
              <w:rPr>
                <w:rFonts w:ascii="Cambria Math" w:hAnsi="Cambria Math"/>
                <w:color w:val="A02B93" w:themeColor="accent5"/>
              </w:rPr>
            </m:ctrlPr>
          </m:sSubPr>
          <m:e>
            <m:r>
              <w:rPr>
                <w:rFonts w:ascii="Cambria Math" w:hAnsi="Cambria Math"/>
                <w:color w:val="A02B93" w:themeColor="accent5"/>
              </w:rPr>
              <m:t>p</m:t>
            </m:r>
          </m:e>
          <m:sub>
            <m:r>
              <w:rPr>
                <w:rFonts w:ascii="Cambria Math" w:hAnsi="Cambria Math"/>
                <w:color w:val="A02B93" w:themeColor="accent5"/>
              </w:rPr>
              <m:t>s</m:t>
            </m:r>
          </m:sub>
        </m:sSub>
        <m:r>
          <w:rPr>
            <w:rFonts w:ascii="Cambria Math" w:hAnsi="Cambria Math"/>
            <w:color w:val="A02B93" w:themeColor="accent5"/>
          </w:rPr>
          <m:t>L</m:t>
        </m:r>
        <m:sSub>
          <m:sSubPr>
            <m:ctrlPr>
              <w:rPr>
                <w:rFonts w:ascii="Cambria Math" w:hAnsi="Cambria Math"/>
                <w:color w:val="A02B93" w:themeColor="accent5"/>
              </w:rPr>
            </m:ctrlPr>
          </m:sSubPr>
          <m:e>
            <m:r>
              <w:rPr>
                <w:rFonts w:ascii="Cambria Math" w:hAnsi="Cambria Math"/>
                <w:color w:val="A02B93" w:themeColor="accent5"/>
              </w:rPr>
              <m:t>S</m:t>
            </m:r>
          </m:e>
          <m:sub>
            <m:r>
              <w:rPr>
                <w:rFonts w:ascii="Cambria Math" w:hAnsi="Cambria Math"/>
                <w:color w:val="A02B93" w:themeColor="accent5"/>
              </w:rPr>
              <m:t>t</m:t>
            </m:r>
          </m:sub>
        </m:sSub>
        <m:r>
          <w:rPr>
            <w:rFonts w:ascii="Cambria Math" w:hAnsi="Cambria Math"/>
            <w:color w:val="A02B93" w:themeColor="accent5"/>
            <w:lang w:val="en-US"/>
          </w:rPr>
          <m:t>+</m:t>
        </m:r>
        <m:sSub>
          <m:sSubPr>
            <m:ctrlPr>
              <w:rPr>
                <w:rFonts w:ascii="Cambria Math" w:hAnsi="Cambria Math"/>
                <w:color w:val="A02B93" w:themeColor="accent5"/>
              </w:rPr>
            </m:ctrlPr>
          </m:sSubPr>
          <m:e>
            <m:r>
              <w:rPr>
                <w:rFonts w:ascii="Cambria Math" w:hAnsi="Cambria Math"/>
                <w:color w:val="A02B93" w:themeColor="accent5"/>
              </w:rPr>
              <m:t>p</m:t>
            </m:r>
          </m:e>
          <m:sub>
            <m:r>
              <w:rPr>
                <w:rFonts w:ascii="Cambria Math" w:hAnsi="Cambria Math"/>
                <w:color w:val="A02B93" w:themeColor="accent5"/>
              </w:rPr>
              <m:t>sq</m:t>
            </m:r>
          </m:sub>
        </m:sSub>
        <m:r>
          <w:rPr>
            <w:rFonts w:ascii="Cambria Math" w:hAnsi="Cambria Math"/>
            <w:color w:val="A02B93" w:themeColor="accent5"/>
            <w:lang w:val="en-US"/>
          </w:rPr>
          <m:t>(</m:t>
        </m:r>
        <m:r>
          <w:rPr>
            <w:rFonts w:ascii="Cambria Math" w:hAnsi="Cambria Math"/>
            <w:color w:val="A02B93" w:themeColor="accent5"/>
          </w:rPr>
          <m:t>L</m:t>
        </m:r>
        <m:sSub>
          <m:sSubPr>
            <m:ctrlPr>
              <w:rPr>
                <w:rFonts w:ascii="Cambria Math" w:hAnsi="Cambria Math"/>
                <w:color w:val="A02B93" w:themeColor="accent5"/>
              </w:rPr>
            </m:ctrlPr>
          </m:sSubPr>
          <m:e>
            <m:r>
              <w:rPr>
                <w:rFonts w:ascii="Cambria Math" w:hAnsi="Cambria Math"/>
                <w:color w:val="A02B93" w:themeColor="accent5"/>
              </w:rPr>
              <m:t>S</m:t>
            </m:r>
          </m:e>
          <m:sub>
            <m:r>
              <w:rPr>
                <w:rFonts w:ascii="Cambria Math" w:hAnsi="Cambria Math"/>
                <w:color w:val="A02B93" w:themeColor="accent5"/>
              </w:rPr>
              <m:t>t</m:t>
            </m:r>
          </m:sub>
        </m:sSub>
        <m:sSup>
          <m:sSupPr>
            <m:ctrlPr>
              <w:rPr>
                <w:rFonts w:ascii="Cambria Math" w:hAnsi="Cambria Math"/>
                <w:color w:val="A02B93" w:themeColor="accent5"/>
              </w:rPr>
            </m:ctrlPr>
          </m:sSupPr>
          <m:e>
            <m:r>
              <w:rPr>
                <w:rFonts w:ascii="Cambria Math" w:hAnsi="Cambria Math"/>
                <w:color w:val="A02B93" w:themeColor="accent5"/>
                <w:lang w:val="en-US"/>
              </w:rPr>
              <m:t>)</m:t>
            </m:r>
          </m:e>
          <m:sup>
            <m:r>
              <w:rPr>
                <w:rFonts w:ascii="Cambria Math" w:hAnsi="Cambria Math"/>
                <w:color w:val="A02B93" w:themeColor="accent5"/>
                <w:lang w:val="en-US"/>
              </w:rPr>
              <m:t>2</m:t>
            </m:r>
          </m:sup>
        </m:sSup>
        <m:r>
          <w:rPr>
            <w:rFonts w:ascii="Cambria Math" w:hAnsi="Cambria Math"/>
            <w:color w:val="A02B93" w:themeColor="accent5"/>
            <w:lang w:val="en-US"/>
          </w:rPr>
          <m:t>+</m:t>
        </m:r>
        <m:sSub>
          <m:sSubPr>
            <m:ctrlPr>
              <w:rPr>
                <w:rFonts w:ascii="Cambria Math" w:hAnsi="Cambria Math"/>
                <w:color w:val="A02B93" w:themeColor="accent5"/>
              </w:rPr>
            </m:ctrlPr>
          </m:sSubPr>
          <m:e>
            <m:r>
              <w:rPr>
                <w:rFonts w:ascii="Cambria Math" w:hAnsi="Cambria Math"/>
                <w:color w:val="A02B93" w:themeColor="accent5"/>
              </w:rPr>
              <m:t>c</m:t>
            </m:r>
          </m:e>
          <m:sub>
            <m:r>
              <w:rPr>
                <w:rFonts w:ascii="Cambria Math" w:hAnsi="Cambria Math"/>
                <w:color w:val="A02B93" w:themeColor="accent5"/>
              </w:rPr>
              <m:t>o</m:t>
            </m:r>
          </m:sub>
        </m:sSub>
        <m:sSub>
          <m:sSubPr>
            <m:ctrlPr>
              <w:rPr>
                <w:rFonts w:ascii="Cambria Math" w:hAnsi="Cambria Math"/>
                <w:color w:val="A02B93" w:themeColor="accent5"/>
              </w:rPr>
            </m:ctrlPr>
          </m:sSubPr>
          <m:e>
            <m:r>
              <w:rPr>
                <w:rFonts w:ascii="Cambria Math" w:hAnsi="Cambria Math"/>
                <w:color w:val="A02B93" w:themeColor="accent5"/>
              </w:rPr>
              <m:t>q</m:t>
            </m:r>
          </m:e>
          <m:sub>
            <m:r>
              <w:rPr>
                <w:rFonts w:ascii="Cambria Math" w:hAnsi="Cambria Math"/>
                <w:color w:val="A02B93" w:themeColor="accent5"/>
              </w:rPr>
              <m:t>t</m:t>
            </m:r>
          </m:sub>
        </m:sSub>
        <m:r>
          <w:rPr>
            <w:rFonts w:ascii="Cambria Math" w:hAnsi="Cambria Math"/>
            <w:color w:val="A02B93" w:themeColor="accent5"/>
            <w:lang w:val="en-US"/>
          </w:rPr>
          <m:t>+</m:t>
        </m:r>
        <m:sSub>
          <m:sSubPr>
            <m:ctrlPr>
              <w:rPr>
                <w:rFonts w:ascii="Cambria Math" w:hAnsi="Cambria Math"/>
                <w:color w:val="A02B93" w:themeColor="accent5"/>
              </w:rPr>
            </m:ctrlPr>
          </m:sSubPr>
          <m:e>
            <m:r>
              <w:rPr>
                <w:rFonts w:ascii="Cambria Math" w:hAnsi="Cambria Math"/>
                <w:color w:val="A02B93" w:themeColor="accent5"/>
              </w:rPr>
              <m:t>c</m:t>
            </m:r>
          </m:e>
          <m:sub>
            <m:r>
              <w:rPr>
                <w:rFonts w:ascii="Cambria Math" w:hAnsi="Cambria Math"/>
                <w:color w:val="A02B93" w:themeColor="accent5"/>
              </w:rPr>
              <m:t>r</m:t>
            </m:r>
          </m:sub>
        </m:sSub>
        <m:sSub>
          <m:sSubPr>
            <m:ctrlPr>
              <w:rPr>
                <w:rFonts w:ascii="Cambria Math" w:hAnsi="Cambria Math"/>
                <w:color w:val="A02B93" w:themeColor="accent5"/>
              </w:rPr>
            </m:ctrlPr>
          </m:sSubPr>
          <m:e>
            <m:r>
              <w:rPr>
                <w:rFonts w:ascii="Cambria Math" w:hAnsi="Cambria Math"/>
                <w:color w:val="A02B93" w:themeColor="accent5"/>
              </w:rPr>
              <m:t>R</m:t>
            </m:r>
          </m:e>
          <m:sub>
            <m:r>
              <w:rPr>
                <w:rFonts w:ascii="Cambria Math" w:hAnsi="Cambria Math"/>
                <w:color w:val="A02B93" w:themeColor="accent5"/>
              </w:rPr>
              <m:t>t</m:t>
            </m:r>
          </m:sub>
        </m:sSub>
      </m:oMath>
      <w:r w:rsidRPr="002F0D8D">
        <w:rPr>
          <w:color w:val="A02B93" w:themeColor="accent5"/>
          <w:lang w:val="en-US"/>
        </w:rPr>
        <w:t>, where</w:t>
      </w:r>
      <w:r>
        <w:rPr>
          <w:color w:val="A02B93" w:themeColor="accent5"/>
          <w:lang w:val="en-US"/>
        </w:rPr>
        <w:t xml:space="preserve"> </w:t>
      </w:r>
      <m:oMath>
        <m:sSub>
          <m:sSubPr>
            <m:ctrlPr>
              <w:rPr>
                <w:rFonts w:ascii="Cambria Math" w:hAnsi="Cambria Math"/>
                <w:color w:val="A02B93" w:themeColor="accent5"/>
              </w:rPr>
            </m:ctrlPr>
          </m:sSubPr>
          <m:e>
            <m:r>
              <w:rPr>
                <w:rFonts w:ascii="Cambria Math" w:hAnsi="Cambria Math"/>
                <w:color w:val="A02B93" w:themeColor="accent5"/>
              </w:rPr>
              <m:t>I</m:t>
            </m:r>
          </m:e>
          <m:sub>
            <m:r>
              <w:rPr>
                <w:rFonts w:ascii="Cambria Math" w:hAnsi="Cambria Math"/>
                <w:color w:val="A02B93" w:themeColor="accent5"/>
              </w:rPr>
              <m:t>t</m:t>
            </m:r>
            <m:r>
              <w:rPr>
                <w:rFonts w:ascii="Cambria Math" w:hAnsi="Cambria Math"/>
                <w:color w:val="A02B93" w:themeColor="accent5"/>
                <w:lang w:val="en-US"/>
              </w:rPr>
              <m:t>+1</m:t>
            </m:r>
          </m:sub>
        </m:sSub>
      </m:oMath>
      <w:r w:rsidRPr="002F0D8D">
        <w:rPr>
          <w:color w:val="A02B93" w:themeColor="accent5"/>
          <w:lang w:val="en-US"/>
        </w:rPr>
        <w:t xml:space="preserve"> den</w:t>
      </w:r>
      <w:r>
        <w:rPr>
          <w:color w:val="A02B93" w:themeColor="accent5"/>
          <w:lang w:val="en-US"/>
        </w:rPr>
        <w:t xml:space="preserve">otes </w:t>
      </w:r>
      <w:r w:rsidRPr="002F0D8D">
        <w:rPr>
          <w:color w:val="A02B93" w:themeColor="accent5"/>
          <w:lang w:val="en-US"/>
        </w:rPr>
        <w:t xml:space="preserve">end-of-day inventory, </w:t>
      </w:r>
      <m:oMath>
        <m:r>
          <w:rPr>
            <w:rFonts w:ascii="Cambria Math" w:hAnsi="Cambria Math"/>
            <w:color w:val="A02B93" w:themeColor="accent5"/>
          </w:rPr>
          <m:t>L</m:t>
        </m:r>
        <m:sSub>
          <m:sSubPr>
            <m:ctrlPr>
              <w:rPr>
                <w:rFonts w:ascii="Cambria Math" w:hAnsi="Cambria Math"/>
                <w:color w:val="A02B93" w:themeColor="accent5"/>
              </w:rPr>
            </m:ctrlPr>
          </m:sSubPr>
          <m:e>
            <m:r>
              <w:rPr>
                <w:rFonts w:ascii="Cambria Math" w:hAnsi="Cambria Math"/>
                <w:color w:val="A02B93" w:themeColor="accent5"/>
              </w:rPr>
              <m:t>S</m:t>
            </m:r>
          </m:e>
          <m:sub>
            <m:r>
              <w:rPr>
                <w:rFonts w:ascii="Cambria Math" w:hAnsi="Cambria Math"/>
                <w:color w:val="A02B93" w:themeColor="accent5"/>
              </w:rPr>
              <m:t>t</m:t>
            </m:r>
          </m:sub>
        </m:sSub>
      </m:oMath>
      <w:r w:rsidRPr="002F0D8D">
        <w:rPr>
          <w:color w:val="A02B93" w:themeColor="accent5"/>
          <w:lang w:val="en-US"/>
        </w:rPr>
        <w:t xml:space="preserve">lost sales, </w:t>
      </w:r>
      <m:oMath>
        <m:sSub>
          <m:sSubPr>
            <m:ctrlPr>
              <w:rPr>
                <w:rFonts w:ascii="Cambria Math" w:hAnsi="Cambria Math"/>
                <w:color w:val="A02B93" w:themeColor="accent5"/>
              </w:rPr>
            </m:ctrlPr>
          </m:sSubPr>
          <m:e>
            <m:r>
              <w:rPr>
                <w:rFonts w:ascii="Cambria Math" w:hAnsi="Cambria Math"/>
                <w:color w:val="A02B93" w:themeColor="accent5"/>
              </w:rPr>
              <m:t>q</m:t>
            </m:r>
          </m:e>
          <m:sub>
            <m:r>
              <w:rPr>
                <w:rFonts w:ascii="Cambria Math" w:hAnsi="Cambria Math"/>
                <w:color w:val="A02B93" w:themeColor="accent5"/>
              </w:rPr>
              <m:t>t</m:t>
            </m:r>
          </m:sub>
        </m:sSub>
      </m:oMath>
      <w:r w:rsidRPr="002F0D8D">
        <w:rPr>
          <w:color w:val="A02B93" w:themeColor="accent5"/>
          <w:lang w:val="en-US"/>
        </w:rPr>
        <w:t xml:space="preserve">order quantity, and </w:t>
      </w:r>
      <m:oMath>
        <m:sSub>
          <m:sSubPr>
            <m:ctrlPr>
              <w:rPr>
                <w:rFonts w:ascii="Cambria Math" w:hAnsi="Cambria Math"/>
                <w:color w:val="A02B93" w:themeColor="accent5"/>
              </w:rPr>
            </m:ctrlPr>
          </m:sSubPr>
          <m:e>
            <m:r>
              <w:rPr>
                <w:rFonts w:ascii="Cambria Math" w:hAnsi="Cambria Math"/>
                <w:color w:val="A02B93" w:themeColor="accent5"/>
              </w:rPr>
              <m:t>R</m:t>
            </m:r>
          </m:e>
          <m:sub>
            <m:r>
              <w:rPr>
                <w:rFonts w:ascii="Cambria Math" w:hAnsi="Cambria Math"/>
                <w:color w:val="A02B93" w:themeColor="accent5"/>
              </w:rPr>
              <m:t>t</m:t>
            </m:r>
          </m:sub>
        </m:sSub>
      </m:oMath>
      <w:r w:rsidRPr="002F0D8D">
        <w:rPr>
          <w:color w:val="A02B93" w:themeColor="accent5"/>
          <w:lang w:val="en-US"/>
        </w:rPr>
        <w:t>routing cost units, as detailed in Section 3.3. Lead times are drawn from the empirical baseline distribution under stable conditions (Section 3.5). Under the Supply Disruption regime, however, a subset of orders incurs an additional three to four weeks of delay—long enough to exhaust safety stock under most baseline policies and to expose behavioral differences between controllers trained and not trained under disrupted conditions (Table 5).</w:t>
      </w:r>
    </w:p>
    <w:p w14:paraId="223FD789" w14:textId="77777777" w:rsidR="00121EE7" w:rsidRPr="00DD5FF3" w:rsidRDefault="00121EE7"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Hybrid AI Framework and Data Integration</w:t>
      </w:r>
    </w:p>
    <w:p w14:paraId="7BF34B13" w14:textId="4CC060F4" w:rsidR="000C19FF" w:rsidRDefault="00FB254A" w:rsidP="001F64AE">
      <w:pPr>
        <w:pStyle w:val="text-base"/>
        <w:spacing w:before="0" w:after="0" w:afterAutospacing="0"/>
        <w:jc w:val="both"/>
        <w:rPr>
          <w:color w:val="000000" w:themeColor="text1"/>
          <w:lang w:val="en-US"/>
        </w:rPr>
      </w:pPr>
      <w:r w:rsidRPr="00FB254A">
        <w:rPr>
          <w:color w:val="A02B93" w:themeColor="accent5"/>
          <w:lang w:val="en-US"/>
        </w:rPr>
        <w:t xml:space="preserve">Three decision modules with non-overlapping roles constitute the hybrid framework. The forecasting module applies machine learning to predict next-period demand; the control module maps observed states to replenishment decisions </w:t>
      </w:r>
      <w:r>
        <w:rPr>
          <w:color w:val="A02B93" w:themeColor="accent5"/>
          <w:lang w:val="en-US"/>
        </w:rPr>
        <w:t>via reinforcement learning; and the routing module estimates a proxy for routing costs</w:t>
      </w:r>
      <w:r w:rsidRPr="00FB254A">
        <w:rPr>
          <w:color w:val="A02B93" w:themeColor="accent5"/>
          <w:lang w:val="en-US"/>
        </w:rPr>
        <w:t xml:space="preserve"> using a genetic algorithm. Each module addresses a distinct subproblem, a decomposition that limits cross-module interference but also means that errors in one layer</w:t>
      </w:r>
      <w:r>
        <w:rPr>
          <w:color w:val="A02B93" w:themeColor="accent5"/>
          <w:lang w:val="en-US"/>
        </w:rPr>
        <w:t xml:space="preserve">, </w:t>
      </w:r>
      <w:r w:rsidRPr="00FB254A">
        <w:rPr>
          <w:color w:val="A02B93" w:themeColor="accent5"/>
          <w:lang w:val="en-US"/>
        </w:rPr>
        <w:t>particularly forecast bias under distributional shift</w:t>
      </w:r>
      <w:r>
        <w:rPr>
          <w:color w:val="A02B93" w:themeColor="accent5"/>
          <w:lang w:val="en-US"/>
        </w:rPr>
        <w:t xml:space="preserve">, </w:t>
      </w:r>
      <w:r w:rsidRPr="00FB254A">
        <w:rPr>
          <w:color w:val="A02B93" w:themeColor="accent5"/>
          <w:lang w:val="en-US"/>
        </w:rPr>
        <w:t xml:space="preserve">propagate into the state representation seen by the control module without correction. </w:t>
      </w:r>
      <w:r w:rsidR="000C19FF" w:rsidRPr="004A50DC">
        <w:rPr>
          <w:color w:val="000000" w:themeColor="text1"/>
          <w:lang w:val="en-US"/>
        </w:rPr>
        <w:t>The decomposition is maintained throughout the experiments, a choice that permits module-level ablation and improves attribution when performance shifts across scenarios.</w:t>
      </w:r>
    </w:p>
    <w:p w14:paraId="71BB3A68" w14:textId="64A41F0E" w:rsidR="002342EF" w:rsidRPr="002342EF" w:rsidRDefault="002342EF" w:rsidP="002342EF">
      <w:pPr>
        <w:pStyle w:val="text-base"/>
        <w:jc w:val="both"/>
        <w:rPr>
          <w:color w:val="A02B93" w:themeColor="accent5"/>
          <w:lang w:val="en-US"/>
        </w:rPr>
      </w:pPr>
      <w:r w:rsidRPr="002342EF">
        <w:rPr>
          <w:color w:val="A02B93" w:themeColor="accent5"/>
          <w:lang w:val="en-US"/>
        </w:rPr>
        <w:t xml:space="preserve">The motivating application is a multi-facility healthcare network with multiple SKUs, but the simulator operates at an aggregated SKU-equivalent level. In each replication, item-level variation is mapped </w:t>
      </w:r>
      <w:r w:rsidR="006141E0">
        <w:rPr>
          <w:color w:val="A02B93" w:themeColor="accent5"/>
          <w:lang w:val="en-US"/>
        </w:rPr>
        <w:t>to a single network-level demand process for inventory control, while holding, ordering, stockout, and, when enabled, routing-proxy costs are aggregated at the same level</w:t>
      </w:r>
      <w:r w:rsidRPr="002342EF">
        <w:rPr>
          <w:color w:val="A02B93" w:themeColor="accent5"/>
          <w:lang w:val="en-US"/>
        </w:rPr>
        <w:t>. State and decision variables in the core inventory equations</w:t>
      </w:r>
      <w:r w:rsidR="006141E0">
        <w:rPr>
          <w:color w:val="A02B93" w:themeColor="accent5"/>
          <w:lang w:val="en-US"/>
        </w:rPr>
        <w:t>,</w:t>
      </w:r>
      <w:r w:rsidRPr="002342EF">
        <w:rPr>
          <w:color w:val="A02B93" w:themeColor="accent5"/>
          <w:lang w:val="en-US"/>
        </w:rPr>
        <w:t xml:space="preserve"> therefore</w:t>
      </w:r>
      <w:r w:rsidR="006141E0">
        <w:rPr>
          <w:color w:val="A02B93" w:themeColor="accent5"/>
          <w:lang w:val="en-US"/>
        </w:rPr>
        <w:t>,</w:t>
      </w:r>
      <w:r w:rsidRPr="002342EF">
        <w:rPr>
          <w:color w:val="A02B93" w:themeColor="accent5"/>
          <w:lang w:val="en-US"/>
        </w:rPr>
        <w:t xml:space="preserve"> denote aggregated SKU-equivalent quantities rather than SKU-specific states, a choice that means the controller does not solve a separate optimization problem for each item. References to multi-SKU behavior should therefore be read narrowly: the aggregate process is constructed from empirical SKU series and preserves observed variability regimes, yet individual-item dynamics are not directly represented in the control signal.</w:t>
      </w:r>
    </w:p>
    <w:p w14:paraId="7CA25604" w14:textId="77777777" w:rsidR="002342EF" w:rsidRPr="002342EF" w:rsidRDefault="002342EF" w:rsidP="002342EF">
      <w:pPr>
        <w:pStyle w:val="text-base"/>
        <w:jc w:val="both"/>
        <w:rPr>
          <w:color w:val="A02B93" w:themeColor="accent5"/>
          <w:lang w:val="en-US"/>
        </w:rPr>
      </w:pPr>
      <w:r w:rsidRPr="002342EF">
        <w:rPr>
          <w:color w:val="A02B93" w:themeColor="accent5"/>
          <w:lang w:val="en-US"/>
        </w:rPr>
        <w:t xml:space="preserve">On the data side, the experimental design combines empirical demand histories with expert-informed synthetic supply parameters. The first component anchors simulations in observed utilization patterns; the second </w:t>
      </w:r>
      <w:proofErr w:type="gramStart"/>
      <w:r w:rsidRPr="002342EF">
        <w:rPr>
          <w:color w:val="A02B93" w:themeColor="accent5"/>
          <w:lang w:val="en-US"/>
        </w:rPr>
        <w:t>permits controlled</w:t>
      </w:r>
      <w:proofErr w:type="gramEnd"/>
      <w:r w:rsidRPr="002342EF">
        <w:rPr>
          <w:color w:val="A02B93" w:themeColor="accent5"/>
          <w:lang w:val="en-US"/>
        </w:rPr>
        <w:t xml:space="preserve"> variation in supply conditions while preserving operational plausibility. Demand data were assembled from 1,000 requests recorded by the Bahia State Health Department (SESAB) and the Federal University of Bahia Hospital (HUPES) during 2022–2023, generating 9,170 medication-by-quantity line items across 50 distinct SKUs and two procurement systems.</w:t>
      </w:r>
    </w:p>
    <w:p w14:paraId="53FF2B7F" w14:textId="77777777" w:rsidR="002342EF" w:rsidRPr="002342EF" w:rsidRDefault="002342EF" w:rsidP="002342EF">
      <w:pPr>
        <w:pStyle w:val="text-base"/>
        <w:jc w:val="both"/>
        <w:rPr>
          <w:color w:val="A02B93" w:themeColor="accent5"/>
          <w:lang w:val="en-US"/>
        </w:rPr>
      </w:pPr>
      <w:r w:rsidRPr="002342EF">
        <w:rPr>
          <w:color w:val="A02B93" w:themeColor="accent5"/>
          <w:lang w:val="en-US"/>
        </w:rPr>
        <w:t xml:space="preserve">The empirical series spans a wide range of values. High-volume standardized supplies are priced at approximately BRL 0.49 to BRL 10 per unit, whereas specialty pharmaceuticals reach approximately BRL 100 to BRL 500 per unit. Some municipal orders are also large in absolute terms, with one observed antibiotic procurement reaching BRL 408.3 million. At the network-day level, however, total medicine spending is considerably less erratic, averaging between BRL 600,000 and BRL 2.9 million. These differences matter for interpreting absolute cost magnitudes but do not invalidate longitudinal policy comparisons, since the simulator evaluates complete stochastic trajectories rather than isolated transactions. Under prolonged disruption, Monte Carlo totals may reach billions of BRL, not because of accounting duplication, but because the model accumulates repeated inventory, shortage, ordering, and routing consequences across facilities and time. Appendix A.5 reports the accounting checks used to verify unit consistency and exclude </w:t>
      </w:r>
      <w:proofErr w:type="gramStart"/>
      <w:r w:rsidRPr="002342EF">
        <w:rPr>
          <w:color w:val="A02B93" w:themeColor="accent5"/>
          <w:lang w:val="en-US"/>
        </w:rPr>
        <w:t>double-counting</w:t>
      </w:r>
      <w:proofErr w:type="gramEnd"/>
      <w:r w:rsidRPr="002342EF">
        <w:rPr>
          <w:color w:val="A02B93" w:themeColor="accent5"/>
          <w:lang w:val="en-US"/>
        </w:rPr>
        <w:t xml:space="preserve"> in the aggregation logic.</w:t>
      </w:r>
    </w:p>
    <w:p w14:paraId="5987240D" w14:textId="1EBD2C0B" w:rsidR="002342EF" w:rsidRPr="002342EF" w:rsidRDefault="002342EF" w:rsidP="002342EF">
      <w:pPr>
        <w:pStyle w:val="text-base"/>
        <w:spacing w:before="0" w:after="0" w:afterAutospacing="0"/>
        <w:jc w:val="both"/>
        <w:rPr>
          <w:color w:val="A02B93" w:themeColor="accent5"/>
          <w:lang w:val="en-US"/>
        </w:rPr>
      </w:pPr>
      <w:r w:rsidRPr="002342EF">
        <w:rPr>
          <w:color w:val="A02B93" w:themeColor="accent5"/>
          <w:lang w:val="en-US"/>
        </w:rPr>
        <w:t xml:space="preserve">Because supply-side inputs are partly synthetic, the main </w:t>
      </w:r>
      <w:proofErr w:type="spellStart"/>
      <w:r w:rsidRPr="002342EF">
        <w:rPr>
          <w:color w:val="A02B93" w:themeColor="accent5"/>
          <w:lang w:val="en-US"/>
        </w:rPr>
        <w:t>estimand</w:t>
      </w:r>
      <w:proofErr w:type="spellEnd"/>
      <w:r w:rsidRPr="002342EF">
        <w:rPr>
          <w:color w:val="A02B93" w:themeColor="accent5"/>
          <w:lang w:val="en-US"/>
        </w:rPr>
        <w:t xml:space="preserve"> is relative policy ranking under fixed accounting rules rather than exact replication of any observed cost total. The question is whether policy ordering is preserved when the cost structure and stochastic environment are held fixed, not whether a particular parameterization reproduces a realized aggregate. Ranking stability remains high under parameter perturbation, with Kendall’s τ ranging from 0.86 to 0.92 (Section 3.6), assessed through Latin Hypercube sensitivity analysis (Appendix D.1), bootstrap confidence intervals for the main performance metrics, and cross-validation under alternative synthetic supply distributions (Appendix E). Appendix D reports these assumptions in sufficient detail to support replication and code review; Appendix E.5 describes the scenario ranges and parameter values derived from SUS operating conditions and epidemic-related demand shifts.</w:t>
      </w:r>
    </w:p>
    <w:p w14:paraId="5E3F6544" w14:textId="77777777" w:rsidR="00885932" w:rsidRPr="00DD5FF3" w:rsidRDefault="00885932"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Hybrid AI Framework Architecture</w:t>
      </w:r>
    </w:p>
    <w:p w14:paraId="072E0B58" w14:textId="68CE6F8C" w:rsidR="00885932" w:rsidRPr="00A70916" w:rsidRDefault="006141E0" w:rsidP="00E140BB">
      <w:pPr>
        <w:pStyle w:val="text-base"/>
        <w:spacing w:before="0" w:after="0" w:afterAutospacing="0"/>
        <w:jc w:val="both"/>
        <w:rPr>
          <w:color w:val="000000" w:themeColor="text1"/>
          <w:lang w:val="en-US"/>
        </w:rPr>
      </w:pPr>
      <w:r w:rsidRPr="006141E0">
        <w:rPr>
          <w:color w:val="A02B93" w:themeColor="accent5"/>
          <w:lang w:val="en-US"/>
        </w:rPr>
        <w:t>The hybrid architecture is specified as a sequential modular system rather than as a fully integrated black-box controller. This choice is central to the study’s identification strategy because it allows one component to be fixed</w:t>
      </w:r>
      <w:r>
        <w:rPr>
          <w:color w:val="A02B93" w:themeColor="accent5"/>
          <w:lang w:val="en-US"/>
        </w:rPr>
        <w:t xml:space="preserve">. </w:t>
      </w:r>
      <w:r w:rsidRPr="00AE4183">
        <w:rPr>
          <w:color w:val="000000" w:themeColor="text1"/>
          <w:lang w:val="en-US"/>
        </w:rPr>
        <w:t>At the same time, another is varied, allowing the contribution of forecasting to be separated from that of policy learning and from the routing proxy within the benchmark framework.</w:t>
      </w:r>
      <w:r w:rsidR="00E140BB" w:rsidRPr="00AE4183">
        <w:rPr>
          <w:color w:val="000000" w:themeColor="text1"/>
          <w:lang w:val="en-US"/>
        </w:rPr>
        <w:t xml:space="preserve"> In the forecasting layer, a univariate LSTM generates baseline one-step-ahead demand forecasts, which are then adjusted by a Random Forest residual corrector (LSTM+RF).</w:t>
      </w:r>
      <w:r w:rsidR="00885932" w:rsidRPr="00AE4183">
        <w:rPr>
          <w:color w:val="000000" w:themeColor="text1"/>
          <w:lang w:val="en-US"/>
        </w:rPr>
        <w:t xml:space="preserve"> We deriv</w:t>
      </w:r>
      <w:r w:rsidR="00885932" w:rsidRPr="003055F8">
        <w:rPr>
          <w:color w:val="000000" w:themeColor="text1"/>
          <w:lang w:val="en-US"/>
        </w:rPr>
        <w:t xml:space="preserve">e uncertainty proxies from bootstrap resampling of residuals; we treat these as heuristic dispersion estimates rather than as fully calibrated </w:t>
      </w:r>
      <w:r w:rsidR="00885932" w:rsidRPr="003055F8">
        <w:rPr>
          <w:color w:val="000000" w:themeColor="text1"/>
          <w:lang w:val="en-US"/>
        </w:rPr>
        <w:lastRenderedPageBreak/>
        <w:t xml:space="preserve">predictive distributions. Appendix F.1 reports </w:t>
      </w:r>
      <w:r w:rsidR="00885932" w:rsidRPr="005B3F97">
        <w:rPr>
          <w:lang w:val="en-US"/>
        </w:rPr>
        <w:t xml:space="preserve">point-forecast diagnostics and documents where uncertainty calibration metrics (coverage, </w:t>
      </w:r>
      <w:r w:rsidR="00292D37" w:rsidRPr="00292D37">
        <w:rPr>
          <w:lang w:val="en-US"/>
        </w:rPr>
        <w:t>Continuous Ranked Probability Score</w:t>
      </w:r>
      <w:r w:rsidR="00D45628">
        <w:rPr>
          <w:lang w:val="en-US"/>
        </w:rPr>
        <w:t xml:space="preserve"> - CRPS</w:t>
      </w:r>
      <w:r w:rsidR="00885932" w:rsidRPr="005B3F97">
        <w:rPr>
          <w:lang w:val="en-US"/>
        </w:rPr>
        <w:t xml:space="preserve">, </w:t>
      </w:r>
      <w:r w:rsidR="00292D37" w:rsidRPr="00292D37">
        <w:rPr>
          <w:lang w:val="en-US"/>
        </w:rPr>
        <w:t>Probability Integral Transform</w:t>
      </w:r>
      <w:r w:rsidR="00D45628">
        <w:rPr>
          <w:lang w:val="en-US"/>
        </w:rPr>
        <w:t xml:space="preserve"> - PIT</w:t>
      </w:r>
      <w:r w:rsidR="00885932" w:rsidRPr="005B3F97">
        <w:rPr>
          <w:lang w:val="en-US"/>
        </w:rPr>
        <w:t>) are available.</w:t>
      </w:r>
    </w:p>
    <w:p w14:paraId="0C75DBB4" w14:textId="43A8D738" w:rsidR="0047501B" w:rsidRPr="00A25014" w:rsidRDefault="00000000" w:rsidP="009B258B">
      <w:pPr>
        <w:pStyle w:val="text-base"/>
        <w:spacing w:before="0" w:after="0" w:afterAutospacing="0"/>
        <w:jc w:val="both"/>
        <w:rPr>
          <w:lang w:val="en-US"/>
        </w:rPr>
      </w:pPr>
      <w:r w:rsidRPr="00211F52">
        <w:rPr>
          <w:lang w:val="en-US"/>
        </w:rPr>
        <w:t xml:space="preserve">Short SKU histories </w:t>
      </w:r>
      <w:r w:rsidR="008B31E2">
        <w:rPr>
          <w:lang w:val="en-US"/>
        </w:rPr>
        <w:t>directly shape the forecasting problem</w:t>
      </w:r>
      <w:r w:rsidRPr="00211F52">
        <w:rPr>
          <w:lang w:val="en-US"/>
        </w:rPr>
        <w:t xml:space="preserve">. The </w:t>
      </w:r>
      <w:r w:rsidR="00BF4BF7">
        <w:rPr>
          <w:lang w:val="en-US"/>
        </w:rPr>
        <w:t>empirical data show a mean series length of</w:t>
      </w:r>
      <w:r w:rsidRPr="00211F52">
        <w:rPr>
          <w:lang w:val="en-US"/>
        </w:rPr>
        <w:t xml:space="preserve"> about 20 records per SKU, which rules out strong claims about distributional calibration. We therefore treat the LSTM+RF ensemble as a pragmatic forecasting component </w:t>
      </w:r>
      <w:r w:rsidR="00BF4BF7">
        <w:rPr>
          <w:lang w:val="en-US"/>
        </w:rPr>
        <w:t>selected on a temporal validation split and retained for the downstream simulation, as</w:t>
      </w:r>
      <w:r w:rsidRPr="00211F52">
        <w:rPr>
          <w:lang w:val="en-US"/>
        </w:rPr>
        <w:t xml:space="preserve"> it handled short, irregular histories better than the alternatives tested (Appendix F.1). Longer SKU histories remain the main requirement for confirmatory replication.</w:t>
      </w:r>
    </w:p>
    <w:p w14:paraId="207A4CBA" w14:textId="77777777" w:rsidR="007E6298" w:rsidRPr="005F27B7" w:rsidRDefault="00885932" w:rsidP="009B258B">
      <w:pPr>
        <w:pStyle w:val="text-base"/>
        <w:spacing w:before="0" w:after="0" w:afterAutospacing="0"/>
        <w:jc w:val="both"/>
        <w:rPr>
          <w:color w:val="000000" w:themeColor="text1"/>
          <w:lang w:val="en-US"/>
        </w:rPr>
      </w:pPr>
      <w:r w:rsidRPr="00A70916">
        <w:rPr>
          <w:color w:val="000000" w:themeColor="text1"/>
          <w:lang w:val="en-US"/>
        </w:rPr>
        <w:t xml:space="preserve">The </w:t>
      </w:r>
      <w:r w:rsidR="00EF6DC0">
        <w:rPr>
          <w:color w:val="000000" w:themeColor="text1"/>
          <w:lang w:val="en-US"/>
        </w:rPr>
        <w:t>RL</w:t>
      </w:r>
      <w:r w:rsidRPr="00A70916">
        <w:rPr>
          <w:color w:val="000000" w:themeColor="text1"/>
          <w:lang w:val="en-US"/>
        </w:rPr>
        <w:t xml:space="preserve"> inventory policy component </w:t>
      </w:r>
      <w:r w:rsidR="006846BB">
        <w:rPr>
          <w:color w:val="000000" w:themeColor="text1"/>
          <w:lang w:val="en-US"/>
        </w:rPr>
        <w:t>was</w:t>
      </w:r>
      <w:r w:rsidRPr="00A70916">
        <w:rPr>
          <w:color w:val="000000" w:themeColor="text1"/>
          <w:lang w:val="en-US"/>
        </w:rPr>
        <w:t xml:space="preserve"> a Double Q-learning agent that convert</w:t>
      </w:r>
      <w:r w:rsidR="006846BB">
        <w:rPr>
          <w:color w:val="000000" w:themeColor="text1"/>
          <w:lang w:val="en-US"/>
        </w:rPr>
        <w:t>ed</w:t>
      </w:r>
      <w:r w:rsidRPr="00A70916">
        <w:rPr>
          <w:color w:val="000000" w:themeColor="text1"/>
          <w:lang w:val="en-US"/>
        </w:rPr>
        <w:t xml:space="preserve"> demand estimat</w:t>
      </w:r>
      <w:r w:rsidR="00136957">
        <w:rPr>
          <w:color w:val="000000" w:themeColor="text1"/>
          <w:lang w:val="en-US"/>
        </w:rPr>
        <w:t xml:space="preserve">es into adaptive orderings </w:t>
      </w:r>
      <w:r w:rsidR="00D508F7">
        <w:rPr>
          <w:color w:val="000000" w:themeColor="text1"/>
          <w:lang w:val="en-US"/>
        </w:rPr>
        <w:t>by learning from state-action pairs through repeated interaction</w:t>
      </w:r>
      <w:r w:rsidRPr="00A70916">
        <w:rPr>
          <w:color w:val="000000" w:themeColor="text1"/>
          <w:lang w:val="en-US"/>
        </w:rPr>
        <w:t xml:space="preserve">s. The state space </w:t>
      </w:r>
      <w:r w:rsidR="006846BB">
        <w:rPr>
          <w:color w:val="000000" w:themeColor="text1"/>
          <w:lang w:val="en-US"/>
        </w:rPr>
        <w:t>was</w:t>
      </w:r>
      <w:r w:rsidRPr="00A70916">
        <w:rPr>
          <w:color w:val="000000" w:themeColor="text1"/>
          <w:lang w:val="en-US"/>
        </w:rPr>
        <w:t xml:space="preserve"> discretized based on the inventory levels of each facility and the projected values</w:t>
      </w:r>
      <w:r w:rsidR="00EC5848" w:rsidRPr="00A70916">
        <w:rPr>
          <w:color w:val="000000" w:themeColor="text1"/>
          <w:lang w:val="en-US"/>
        </w:rPr>
        <w:t>,</w:t>
      </w:r>
      <w:r w:rsidRPr="00A70916">
        <w:rPr>
          <w:color w:val="000000" w:themeColor="text1"/>
          <w:lang w:val="en-US"/>
        </w:rPr>
        <w:t xml:space="preserve"> where states </w:t>
      </w:r>
      <w:r w:rsidR="006846BB">
        <w:rPr>
          <w:color w:val="000000" w:themeColor="text1"/>
          <w:lang w:val="en-US"/>
        </w:rPr>
        <w:t>were</w:t>
      </w:r>
      <w:r w:rsidRPr="00A70916">
        <w:rPr>
          <w:color w:val="000000" w:themeColor="text1"/>
          <w:lang w:val="en-US"/>
        </w:rPr>
        <w:t xml:space="preserve"> binarized within ranges created by ten historical deciles (10th-90th percentiles)</w:t>
      </w:r>
      <w:r w:rsidR="00EC5848" w:rsidRPr="00A70916">
        <w:rPr>
          <w:color w:val="000000" w:themeColor="text1"/>
          <w:lang w:val="en-US"/>
        </w:rPr>
        <w:t>,</w:t>
      </w:r>
      <w:r w:rsidRPr="00A70916">
        <w:rPr>
          <w:color w:val="000000" w:themeColor="text1"/>
          <w:lang w:val="en-US"/>
        </w:rPr>
        <w:t xml:space="preserve"> before </w:t>
      </w:r>
      <w:r w:rsidR="00EC5848" w:rsidRPr="00A70916">
        <w:rPr>
          <w:color w:val="000000" w:themeColor="text1"/>
          <w:lang w:val="en-US"/>
        </w:rPr>
        <w:t xml:space="preserve">being </w:t>
      </w:r>
      <w:r w:rsidRPr="00A70916">
        <w:rPr>
          <w:color w:val="000000" w:themeColor="text1"/>
          <w:lang w:val="en-US"/>
        </w:rPr>
        <w:t>compared to the maximum values to avoid overflow.</w:t>
      </w:r>
      <w:r w:rsidR="005F27B7">
        <w:rPr>
          <w:color w:val="000000" w:themeColor="text1"/>
          <w:lang w:val="en-US"/>
        </w:rPr>
        <w:t xml:space="preserve"> </w:t>
      </w:r>
      <w:r w:rsidR="004B7031" w:rsidRPr="004B7031">
        <w:rPr>
          <w:color w:val="000000" w:themeColor="text1"/>
          <w:lang w:val="en-US"/>
        </w:rPr>
        <w:t xml:space="preserve">A </w:t>
      </w:r>
      <w:r w:rsidR="00136957">
        <w:rPr>
          <w:color w:val="000000" w:themeColor="text1"/>
          <w:lang w:val="en-US"/>
        </w:rPr>
        <w:t>10×10 discretization was selected for</w:t>
      </w:r>
      <w:r w:rsidR="004B7031" w:rsidRPr="004B7031">
        <w:rPr>
          <w:color w:val="000000" w:themeColor="text1"/>
          <w:lang w:val="en-US"/>
        </w:rPr>
        <w:t xml:space="preserve"> implementation to balance policy granularity with computational efficiency. Th</w:t>
      </w:r>
      <w:r w:rsidR="004B7031">
        <w:rPr>
          <w:color w:val="000000" w:themeColor="text1"/>
          <w:lang w:val="en-US"/>
        </w:rPr>
        <w:t>e</w:t>
      </w:r>
      <w:r w:rsidR="004B7031" w:rsidRPr="004B7031">
        <w:rPr>
          <w:color w:val="000000" w:themeColor="text1"/>
          <w:lang w:val="en-US"/>
        </w:rPr>
        <w:t xml:space="preserve"> resolution aligned with facility-specific historical deciles and was capped at three times the maximum average daily demand to prevent state overflow.</w:t>
      </w:r>
    </w:p>
    <w:p w14:paraId="0EDE483A" w14:textId="34A0B302" w:rsidR="0047501B" w:rsidRPr="001F64AE" w:rsidRDefault="00000000" w:rsidP="009B258B">
      <w:pPr>
        <w:pStyle w:val="text-base"/>
        <w:spacing w:before="0" w:after="0" w:afterAutospacing="0"/>
        <w:jc w:val="both"/>
        <w:rPr>
          <w:lang w:val="en-US"/>
        </w:rPr>
      </w:pPr>
      <w:r w:rsidRPr="001F64AE">
        <w:rPr>
          <w:lang w:val="en-US"/>
        </w:rPr>
        <w:t>During evaluation, the learned policy is frozen: Q-values are not updated</w:t>
      </w:r>
      <w:r w:rsidR="00136957">
        <w:rPr>
          <w:lang w:val="en-US"/>
        </w:rPr>
        <w:t>,</w:t>
      </w:r>
      <w:r w:rsidRPr="001F64AE">
        <w:rPr>
          <w:lang w:val="en-US"/>
        </w:rPr>
        <w:t xml:space="preserve"> and exploration is disabled (epsilon = 0). All 90- and 180-day performance metrics</w:t>
      </w:r>
      <w:r w:rsidR="00136957">
        <w:rPr>
          <w:lang w:val="en-US"/>
        </w:rPr>
        <w:t>,</w:t>
      </w:r>
      <w:r w:rsidRPr="001F64AE">
        <w:rPr>
          <w:lang w:val="en-US"/>
        </w:rPr>
        <w:t xml:space="preserve"> therefore</w:t>
      </w:r>
      <w:r w:rsidR="00136957">
        <w:rPr>
          <w:lang w:val="en-US"/>
        </w:rPr>
        <w:t>,</w:t>
      </w:r>
      <w:r w:rsidRPr="001F64AE">
        <w:rPr>
          <w:lang w:val="en-US"/>
        </w:rPr>
        <w:t xml:space="preserve"> reflect a fixed policy applied to new stochastic realizations</w:t>
      </w:r>
      <w:r w:rsidR="005D66A8">
        <w:rPr>
          <w:lang w:val="en-US"/>
        </w:rPr>
        <w:t xml:space="preserve"> rather than</w:t>
      </w:r>
      <w:r w:rsidRPr="001F64AE">
        <w:rPr>
          <w:lang w:val="en-US"/>
        </w:rPr>
        <w:t xml:space="preserve"> online learning.</w:t>
      </w:r>
    </w:p>
    <w:p w14:paraId="00858595" w14:textId="2E655B9A" w:rsidR="00A763B0" w:rsidRPr="00E7288E" w:rsidRDefault="00000000" w:rsidP="00A763B0">
      <w:pPr>
        <w:pStyle w:val="text-base"/>
        <w:spacing w:before="0" w:after="0"/>
        <w:jc w:val="both"/>
        <w:rPr>
          <w:color w:val="000000" w:themeColor="text1"/>
          <w:lang w:val="en-US"/>
        </w:rPr>
      </w:pPr>
      <w:r w:rsidRPr="00653ACC">
        <w:rPr>
          <w:lang w:val="en-US"/>
        </w:rPr>
        <w:t xml:space="preserve">RL action </w:t>
      </w:r>
      <w:r w:rsidRPr="001743D4">
        <w:rPr>
          <w:lang w:val="en-US"/>
        </w:rPr>
        <w:t>space, bounds, and feasibility enforcement. The RL agent outputs a discrete adjustment</w:t>
      </w:r>
      <w:r w:rsidR="009C0FA5">
        <w:rPr>
          <w:lang w:val="en-US"/>
        </w:rPr>
        <w:t>,</w:t>
      </w:r>
      <w:r w:rsidRPr="001743D4">
        <w:rPr>
          <w:lang w:val="en-US"/>
        </w:rPr>
        <w:t xml:space="preserv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oMath>
      <w:r w:rsidRPr="001743D4">
        <w:rPr>
          <w:lang w:val="en-US"/>
        </w:rPr>
        <w:t xml:space="preserve"> applied to a forecast-based order-up-to target </w:t>
      </w:r>
      <m:oMath>
        <m:r>
          <w:rPr>
            <w:rFonts w:ascii="Cambria Math" w:hAnsi="Cambria Math"/>
            <w:lang w:val="en-US"/>
          </w:rPr>
          <m:t>OU</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m:t>
            </m:r>
          </m:sub>
        </m:sSub>
      </m:oMath>
      <w:r w:rsidRPr="001743D4">
        <w:rPr>
          <w:lang w:val="en-US"/>
        </w:rPr>
        <w:t>. The simulator defines a symmetric bound A and restricts a_t to an evenly spaced grid within [−A, A]. We set</w:t>
      </w:r>
      <w:r w:rsidR="00994A04" w:rsidRPr="001743D4">
        <w:rPr>
          <w:lang w:val="en-US"/>
        </w:rPr>
        <w:t xml:space="preserve"> </w:t>
      </w:r>
      <m:oMath>
        <m:r>
          <w:rPr>
            <w:rFonts w:ascii="Cambria Math" w:hAnsi="Cambria Math"/>
            <w:lang w:val="en-US"/>
          </w:rPr>
          <m:t>A=κ</m:t>
        </m:r>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ctrlPr>
              <w:rPr>
                <w:rFonts w:ascii="Cambria Math" w:hAnsi="Cambria Math"/>
                <w:lang w:val="en-US"/>
              </w:rPr>
            </m:ctrlPr>
          </m:e>
          <m:sub>
            <m:r>
              <w:rPr>
                <w:rFonts w:ascii="Cambria Math" w:hAnsi="Cambria Math"/>
                <w:lang w:val="en-US"/>
              </w:rPr>
              <m:t>90</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hist</m:t>
                </m:r>
              </m:sub>
            </m:sSub>
          </m:e>
        </m:d>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ctrlPr>
              <w:rPr>
                <w:rFonts w:ascii="Cambria Math" w:hAnsi="Cambria Math"/>
                <w:lang w:val="en-US"/>
              </w:rPr>
            </m:ctrlPr>
          </m:e>
          <m:sub>
            <m:r>
              <w:rPr>
                <w:rFonts w:ascii="Cambria Math" w:hAnsi="Cambria Math"/>
                <w:lang w:val="en-US"/>
              </w:rPr>
              <m:t>max</m:t>
            </m:r>
          </m:sub>
        </m:sSub>
        <m:d>
          <m:dPr>
            <m:ctrlPr>
              <w:rPr>
                <w:rFonts w:ascii="Cambria Math" w:hAnsi="Cambria Math"/>
                <w:i/>
                <w:lang w:val="en-US"/>
              </w:rPr>
            </m:ctrlPr>
          </m:dPr>
          <m:e>
            <m:r>
              <w:rPr>
                <w:rFonts w:ascii="Cambria Math" w:hAnsi="Cambria Math"/>
                <w:lang w:val="en-US"/>
              </w:rPr>
              <m:t>scenario</m:t>
            </m:r>
          </m:e>
        </m:d>
      </m:oMath>
      <w:r w:rsidRPr="001743D4">
        <w:rPr>
          <w:lang w:val="en-US"/>
        </w:rPr>
        <w:t>, where P90</w:t>
      </w:r>
      <w:r w:rsidR="00A763B0" w:rsidRPr="001743D4">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m:rPr>
                    <m:sty m:val="p"/>
                  </m:rPr>
                  <w:rPr>
                    <w:rFonts w:ascii="Cambria Math" w:hAnsi="Cambria Math"/>
                    <w:lang w:val="en-US"/>
                  </w:rPr>
                  <m:t>h</m:t>
                </m:r>
                <m:r>
                  <w:rPr>
                    <w:rFonts w:ascii="Cambria Math" w:hAnsi="Cambria Math"/>
                    <w:lang w:val="en-US"/>
                  </w:rPr>
                  <m:t>ist</m:t>
                </m:r>
              </m:sub>
            </m:sSub>
          </m:e>
        </m:d>
      </m:oMath>
      <w:r w:rsidRPr="001743D4">
        <w:rPr>
          <w:lang w:val="en-US"/>
        </w:rPr>
        <w:t xml:space="preserve"> denotes the 90th percentile of historical daily demand (SKU-equivalent units)</w:t>
      </w:r>
      <w:r w:rsidR="00931AFF" w:rsidRPr="001743D4">
        <w:rPr>
          <w:lang w:val="en-US"/>
        </w:rPr>
        <w:t>,</w:t>
      </w:r>
      <w:r w:rsidRPr="001743D4">
        <w:rPr>
          <w:lang w:val="en-US"/>
        </w:rPr>
        <w:t xml:space="preserve"> and </w:t>
      </w:r>
      <w:proofErr w:type="spellStart"/>
      <w:r w:rsidRPr="001743D4">
        <w:rPr>
          <w:lang w:val="en-US"/>
        </w:rPr>
        <w:t>L_max</w:t>
      </w:r>
      <w:proofErr w:type="spellEnd"/>
      <w:r w:rsidRPr="001743D4">
        <w:rPr>
          <w:lang w:val="en-US"/>
        </w:rPr>
        <w:t xml:space="preserve"> is the scenario-specific maximum lead time. The executed order quantity is computed as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ctrlPr>
              <w:rPr>
                <w:rFonts w:ascii="Cambria Math" w:hAnsi="Cambria Math"/>
                <w:i/>
                <w:lang w:val="en-US"/>
              </w:rPr>
            </m:ctrlPr>
          </m:fName>
          <m:e>
            <m:d>
              <m:dPr>
                <m:ctrlPr>
                  <w:rPr>
                    <w:rFonts w:ascii="Cambria Math" w:hAnsi="Cambria Math"/>
                    <w:lang w:val="en-US"/>
                  </w:rPr>
                </m:ctrlPr>
              </m:dPr>
              <m:e>
                <m:r>
                  <w:rPr>
                    <w:rFonts w:ascii="Cambria Math" w:hAnsi="Cambria Math"/>
                    <w:lang w:val="en-US"/>
                  </w:rPr>
                  <m:t>0, </m:t>
                </m:r>
                <m:acc>
                  <m:accPr>
                    <m:ctrlPr>
                      <w:rPr>
                        <w:rFonts w:ascii="Cambria Math" w:hAnsi="Cambria Math"/>
                        <w:lang w:val="en-US"/>
                      </w:rPr>
                    </m:ctrlPr>
                  </m:accPr>
                  <m:e>
                    <m:r>
                      <w:rPr>
                        <w:rFonts w:ascii="Cambria Math" w:hAnsi="Cambria Math"/>
                        <w:lang w:val="en-US"/>
                      </w:rPr>
                      <m:t>OU</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-I</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ctrlPr>
                  <w:rPr>
                    <w:rFonts w:ascii="Cambria Math" w:hAnsi="Cambria Math"/>
                    <w:i/>
                    <w:lang w:val="en-US"/>
                  </w:rPr>
                </m:ctrlPr>
              </m:e>
            </m:d>
          </m:e>
        </m:func>
      </m:oMath>
      <w:r w:rsidR="00994A04" w:rsidRPr="001743D4">
        <w:rPr>
          <w:lang w:val="en-US"/>
        </w:rPr>
        <w:t xml:space="preserve">. </w:t>
      </w:r>
      <w:r w:rsidRPr="001743D4">
        <w:rPr>
          <w:lang w:val="en-US"/>
        </w:rPr>
        <w:t xml:space="preserve">When feasibility constraints impose an upper bound, the simulator clips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oMath>
      <w:r w:rsidRPr="001743D4">
        <w:rPr>
          <w:lang w:val="en-US"/>
        </w:rPr>
        <w:t xml:space="preserve"> to the feasible range before simulation. Evaluation uses a frozen greedy policy (epsilon = 0) to isolate policy quality from exploration.</w:t>
      </w:r>
    </w:p>
    <w:p w14:paraId="1D625490" w14:textId="0DEAC431" w:rsidR="00982799" w:rsidRPr="00E7288E" w:rsidRDefault="005958C5" w:rsidP="00A763B0">
      <w:pPr>
        <w:pStyle w:val="text-base"/>
        <w:spacing w:before="0" w:after="0"/>
        <w:jc w:val="both"/>
        <w:rPr>
          <w:color w:val="000000" w:themeColor="text1"/>
          <w:lang w:val="en-US"/>
        </w:rPr>
      </w:pPr>
      <w:r w:rsidRPr="00E7288E">
        <w:rPr>
          <w:color w:val="000000" w:themeColor="text1"/>
          <w:lang w:val="en-US"/>
        </w:rPr>
        <w:t xml:space="preserve">The Double Q-learning architecture maintains two separate Q-value estimates to counter the overestimation bias inherent in classical Q-learning, thereby separating action selection from value estimation. </w:t>
      </w:r>
      <w:r w:rsidR="00276C4F" w:rsidRPr="00E7288E">
        <w:rPr>
          <w:color w:val="000000" w:themeColor="text1"/>
          <w:lang w:val="en-US"/>
        </w:rPr>
        <w:t xml:space="preserve">Training convergence was assessed through the maximum Q-value difference criterion. Convergence was declared when the criterion remained below 0.001 for 50 consecutive episodes, which occurred after </w:t>
      </w:r>
      <w:proofErr w:type="gramStart"/>
      <w:r w:rsidRPr="00E7288E">
        <w:rPr>
          <w:color w:val="000000" w:themeColor="text1"/>
          <w:lang w:val="en-US"/>
        </w:rPr>
        <w:t>400±50</w:t>
      </w:r>
      <w:proofErr w:type="gramEnd"/>
      <w:r w:rsidRPr="00E7288E">
        <w:rPr>
          <w:color w:val="000000" w:themeColor="text1"/>
          <w:lang w:val="en-US"/>
        </w:rPr>
        <w:t xml:space="preserve"> episodes (Figure E1, Appendix E.7). </w:t>
      </w:r>
      <w:r w:rsidR="00276C4F" w:rsidRPr="00E7288E">
        <w:rPr>
          <w:color w:val="000000" w:themeColor="text1"/>
          <w:lang w:val="en-US"/>
        </w:rPr>
        <w:t>The controller was trained with discount factor</w:t>
      </w:r>
      <w:r w:rsidRPr="00E7288E">
        <w:rPr>
          <w:color w:val="000000" w:themeColor="text1"/>
          <w:lang w:val="en-US"/>
        </w:rPr>
        <w:t xml:space="preserve"> </w:t>
      </w:r>
      <w:r w:rsidRPr="00E7288E">
        <w:rPr>
          <w:color w:val="000000" w:themeColor="text1"/>
        </w:rPr>
        <w:t>γ</w:t>
      </w:r>
      <w:r w:rsidRPr="00E7288E">
        <w:rPr>
          <w:color w:val="000000" w:themeColor="text1"/>
          <w:lang w:val="en-US"/>
        </w:rPr>
        <w:t xml:space="preserve"> = 0.95 and an </w:t>
      </w:r>
      <w:r w:rsidR="00276C4F" w:rsidRPr="00E7288E">
        <w:rPr>
          <w:color w:val="000000" w:themeColor="text1"/>
        </w:rPr>
        <w:t>ε</w:t>
      </w:r>
      <w:r w:rsidR="00276C4F" w:rsidRPr="00E7288E">
        <w:rPr>
          <w:color w:val="000000" w:themeColor="text1"/>
          <w:lang w:val="en-US"/>
        </w:rPr>
        <w:t xml:space="preserve">-greedy schedule in which </w:t>
      </w:r>
      <w:r w:rsidR="00276C4F" w:rsidRPr="00E7288E">
        <w:rPr>
          <w:color w:val="000000" w:themeColor="text1"/>
        </w:rPr>
        <w:t>ε</w:t>
      </w:r>
      <w:r w:rsidR="00276C4F" w:rsidRPr="00E7288E">
        <w:rPr>
          <w:color w:val="000000" w:themeColor="text1"/>
          <w:lang w:val="en-US"/>
        </w:rPr>
        <w:t xml:space="preserve"> </w:t>
      </w:r>
      <w:r w:rsidRPr="00E7288E">
        <w:rPr>
          <w:color w:val="000000" w:themeColor="text1"/>
          <w:lang w:val="en-US"/>
        </w:rPr>
        <w:t>decay</w:t>
      </w:r>
      <w:r w:rsidR="00276C4F" w:rsidRPr="00E7288E">
        <w:rPr>
          <w:color w:val="000000" w:themeColor="text1"/>
          <w:lang w:val="en-US"/>
        </w:rPr>
        <w:t>ed</w:t>
      </w:r>
      <w:r w:rsidRPr="00E7288E">
        <w:rPr>
          <w:color w:val="000000" w:themeColor="text1"/>
          <w:lang w:val="en-US"/>
        </w:rPr>
        <w:t xml:space="preserve"> from 0.20 to 0.02</w:t>
      </w:r>
      <w:r w:rsidR="00276C4F" w:rsidRPr="00E7288E">
        <w:rPr>
          <w:color w:val="000000" w:themeColor="text1"/>
          <w:lang w:val="en-US"/>
        </w:rPr>
        <w:t>. Hyperparameters were fixed across replications to ensure reproducibility.</w:t>
      </w:r>
    </w:p>
    <w:p w14:paraId="6052CAF7" w14:textId="77777777" w:rsidR="00885932" w:rsidRPr="00F76699" w:rsidRDefault="00885932" w:rsidP="009B258B">
      <w:pPr>
        <w:pStyle w:val="text-base"/>
        <w:spacing w:before="0" w:after="0" w:afterAutospacing="0"/>
        <w:jc w:val="both"/>
        <w:rPr>
          <w:color w:val="000000" w:themeColor="text1"/>
          <w:lang w:val="en-US"/>
        </w:rPr>
      </w:pPr>
      <w:r w:rsidRPr="00F76699">
        <w:rPr>
          <w:color w:val="000000" w:themeColor="text1"/>
          <w:lang w:val="en-US"/>
        </w:rPr>
        <w:t xml:space="preserve">The reward function </w:t>
      </w:r>
      <w:r w:rsidR="00BD38AF" w:rsidRPr="00F76699">
        <w:rPr>
          <w:color w:val="000000" w:themeColor="text1"/>
          <w:lang w:val="en-US"/>
        </w:rPr>
        <w:t xml:space="preserve">(specified in Appendix A.1) </w:t>
      </w:r>
      <w:r w:rsidRPr="00F76699">
        <w:rPr>
          <w:color w:val="000000" w:themeColor="text1"/>
          <w:lang w:val="en-US"/>
        </w:rPr>
        <w:t>distinguishe</w:t>
      </w:r>
      <w:r w:rsidR="006846BB" w:rsidRPr="00F76699">
        <w:rPr>
          <w:color w:val="000000" w:themeColor="text1"/>
          <w:lang w:val="en-US"/>
        </w:rPr>
        <w:t>d</w:t>
      </w:r>
      <w:r w:rsidRPr="00F76699">
        <w:rPr>
          <w:color w:val="000000" w:themeColor="text1"/>
          <w:lang w:val="en-US"/>
        </w:rPr>
        <w:t xml:space="preserve"> </w:t>
      </w:r>
      <w:r w:rsidR="00EC5848" w:rsidRPr="00F76699">
        <w:rPr>
          <w:color w:val="000000" w:themeColor="text1"/>
          <w:lang w:val="en-US"/>
        </w:rPr>
        <w:t>between service</w:t>
      </w:r>
      <w:r w:rsidR="00136957">
        <w:rPr>
          <w:color w:val="000000" w:themeColor="text1"/>
          <w:lang w:val="en-US"/>
        </w:rPr>
        <w:t>-level (avoiding stockouts) and cost-based outcomes (stockholding and ordering costs), with penalties</w:t>
      </w:r>
      <w:r w:rsidR="00EC5848" w:rsidRPr="00F76699">
        <w:rPr>
          <w:color w:val="000000" w:themeColor="text1"/>
          <w:lang w:val="en-US"/>
        </w:rPr>
        <w:t xml:space="preserve"> defined in relation to</w:t>
      </w:r>
      <w:r w:rsidRPr="00F76699">
        <w:rPr>
          <w:color w:val="000000" w:themeColor="text1"/>
          <w:lang w:val="en-US"/>
        </w:rPr>
        <w:t xml:space="preserve"> SUS operational objectives. The in-depth technical analysis</w:t>
      </w:r>
      <w:r w:rsidR="00EC5848" w:rsidRPr="00F76699">
        <w:rPr>
          <w:color w:val="000000" w:themeColor="text1"/>
          <w:lang w:val="en-US"/>
        </w:rPr>
        <w:t>, including state discretization definitions, reward function parameterization, and convergence criteria, is presente</w:t>
      </w:r>
      <w:r w:rsidRPr="00F76699">
        <w:rPr>
          <w:color w:val="000000" w:themeColor="text1"/>
          <w:lang w:val="en-US"/>
        </w:rPr>
        <w:t xml:space="preserve">d </w:t>
      </w:r>
      <w:r w:rsidR="00F76699" w:rsidRPr="00F76699">
        <w:rPr>
          <w:color w:val="000000" w:themeColor="text1"/>
          <w:lang w:val="en-US"/>
        </w:rPr>
        <w:t>in Appendix A.1 and Appendix C.3.</w:t>
      </w:r>
    </w:p>
    <w:p w14:paraId="634142FA" w14:textId="77777777" w:rsidR="003533F7" w:rsidRPr="003533F7" w:rsidRDefault="003836DD" w:rsidP="009B258B">
      <w:pPr>
        <w:pStyle w:val="text-base"/>
        <w:spacing w:before="0" w:after="0" w:afterAutospacing="0"/>
        <w:jc w:val="both"/>
        <w:rPr>
          <w:color w:val="000000" w:themeColor="text1"/>
          <w:lang w:val="en-US"/>
        </w:rPr>
      </w:pPr>
      <w:proofErr w:type="gramStart"/>
      <w:r w:rsidRPr="005B3F97">
        <w:rPr>
          <w:lang w:val="en-US"/>
        </w:rPr>
        <w:t>The GA</w:t>
      </w:r>
      <w:proofErr w:type="gramEnd"/>
      <w:r w:rsidRPr="005B3F97">
        <w:rPr>
          <w:lang w:val="en-US"/>
        </w:rPr>
        <w:t xml:space="preserve"> optimizes a routing proxy cost for each replenishment episode. In the disruption diagnostic and the 365-day sensitivity check, routing cost</w:t>
      </w:r>
      <w:r w:rsidR="00667011">
        <w:rPr>
          <w:lang w:val="en-US"/>
        </w:rPr>
        <w:t>s account for a small share of the</w:t>
      </w:r>
      <w:r w:rsidRPr="005B3F97">
        <w:rPr>
          <w:lang w:val="en-US"/>
        </w:rPr>
        <w:t xml:space="preserve"> mean total cost (Tables E.8–E.9), so changes in ordering and stockout dynamics drive the regime-level performance gaps.</w:t>
      </w:r>
    </w:p>
    <w:p w14:paraId="59B35FDD" w14:textId="2C281D4C" w:rsidR="003836DD" w:rsidRPr="00D71174" w:rsidRDefault="003836DD" w:rsidP="009B258B">
      <w:pPr>
        <w:pStyle w:val="text-base"/>
        <w:spacing w:before="0" w:after="0" w:afterAutospacing="0"/>
        <w:jc w:val="both"/>
        <w:rPr>
          <w:color w:val="000000" w:themeColor="text1"/>
          <w:lang w:val="en-US"/>
        </w:rPr>
      </w:pPr>
      <w:r w:rsidRPr="00FD0529">
        <w:rPr>
          <w:lang w:val="en-US"/>
        </w:rPr>
        <w:t>At each decision epoch, the forecaster produces lead-time demand estimates</w:t>
      </w:r>
      <w:r w:rsidR="00136957">
        <w:rPr>
          <w:lang w:val="en-US"/>
        </w:rPr>
        <w:t xml:space="preserve">; the inventory controller maps the state and forecast to an order </w:t>
      </w:r>
      <w:r w:rsidR="00136957" w:rsidRPr="00D71174">
        <w:rPr>
          <w:color w:val="000000" w:themeColor="text1"/>
          <w:lang w:val="en-US"/>
        </w:rPr>
        <w:t>quantity;</w:t>
      </w:r>
      <w:r w:rsidRPr="00D71174">
        <w:rPr>
          <w:color w:val="000000" w:themeColor="text1"/>
          <w:lang w:val="en-US"/>
        </w:rPr>
        <w:t xml:space="preserve"> and the routing module computes a feasible delivery plan when </w:t>
      </w:r>
      <m:oMath>
        <m:sSub>
          <m:sSubPr>
            <m:ctrlPr>
              <w:rPr>
                <w:rFonts w:ascii="Cambria Math" w:hAnsi="Cambria Math"/>
                <w:i/>
                <w:color w:val="000000" w:themeColor="text1"/>
                <w:lang w:val="en-US"/>
              </w:rPr>
            </m:ctrlPr>
          </m:sSubPr>
          <m:e>
            <m:r>
              <w:rPr>
                <w:rFonts w:ascii="Cambria Math" w:hAnsi="Cambria Math"/>
                <w:color w:val="000000" w:themeColor="text1"/>
                <w:lang w:val="en-US"/>
              </w:rPr>
              <m:t>q</m:t>
            </m:r>
          </m:e>
          <m:sub>
            <m:r>
              <w:rPr>
                <w:rFonts w:ascii="Cambria Math" w:hAnsi="Cambria Math"/>
                <w:color w:val="000000" w:themeColor="text1"/>
                <w:lang w:val="en-US"/>
              </w:rPr>
              <m:t>t</m:t>
            </m:r>
          </m:sub>
        </m:sSub>
      </m:oMath>
      <w:r w:rsidRPr="00D71174">
        <w:rPr>
          <w:color w:val="000000" w:themeColor="text1"/>
          <w:lang w:val="en-US"/>
        </w:rPr>
        <w:t xml:space="preserve">&gt; 0. We treat the </w:t>
      </w:r>
      <w:r w:rsidR="008E66BF" w:rsidRPr="00D71174">
        <w:rPr>
          <w:color w:val="000000" w:themeColor="text1"/>
          <w:lang w:val="en-US"/>
        </w:rPr>
        <w:t>whole</w:t>
      </w:r>
      <w:r w:rsidRPr="00D71174">
        <w:rPr>
          <w:color w:val="000000" w:themeColor="text1"/>
          <w:lang w:val="en-US"/>
        </w:rPr>
        <w:t xml:space="preserve"> system with GA enabled as the primary configuration and report diagnostics and ablations that </w:t>
      </w:r>
      <w:r w:rsidR="00136957" w:rsidRPr="00D71174">
        <w:rPr>
          <w:color w:val="000000" w:themeColor="text1"/>
          <w:lang w:val="en-US"/>
        </w:rPr>
        <w:t>turn off</w:t>
      </w:r>
      <w:r w:rsidRPr="00D71174">
        <w:rPr>
          <w:color w:val="000000" w:themeColor="text1"/>
          <w:lang w:val="en-US"/>
        </w:rPr>
        <w:t xml:space="preserve"> routing or its cost term to test whether routing explains material variance in outcomes.</w:t>
      </w:r>
    </w:p>
    <w:p w14:paraId="51718277" w14:textId="4592E819" w:rsidR="003836DD" w:rsidRPr="00D71174" w:rsidRDefault="00931AFF" w:rsidP="009B258B">
      <w:pPr>
        <w:pStyle w:val="text-base"/>
        <w:spacing w:before="0" w:after="0" w:afterAutospacing="0"/>
        <w:jc w:val="both"/>
        <w:rPr>
          <w:color w:val="000000" w:themeColor="text1"/>
          <w:lang w:val="en-US"/>
        </w:rPr>
      </w:pPr>
      <w:r w:rsidRPr="00D71174">
        <w:rPr>
          <w:color w:val="000000" w:themeColor="text1"/>
          <w:lang w:val="en-US"/>
        </w:rPr>
        <w:t>The full parameter settings are reported in Appendix A, while Appendix C.3 provides the technical details on state discretization and the convergence criteria.</w:t>
      </w:r>
    </w:p>
    <w:p w14:paraId="0AA6FFA0" w14:textId="77777777" w:rsidR="003836DD" w:rsidRPr="00DD5FF3" w:rsidRDefault="003836DD"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Benchmark Scenarios</w:t>
      </w:r>
    </w:p>
    <w:p w14:paraId="5E6A7A10" w14:textId="6B70B2AF" w:rsidR="00FC76B1" w:rsidRPr="00D71174" w:rsidRDefault="003836DD" w:rsidP="00FC76B1">
      <w:pPr>
        <w:pStyle w:val="text-base"/>
        <w:jc w:val="both"/>
        <w:rPr>
          <w:color w:val="000000" w:themeColor="text1"/>
          <w:lang w:val="en-US"/>
        </w:rPr>
      </w:pPr>
      <w:r w:rsidRPr="00D71174">
        <w:rPr>
          <w:color w:val="000000" w:themeColor="text1"/>
          <w:lang w:val="en-US"/>
        </w:rPr>
        <w:t>T</w:t>
      </w:r>
      <w:r w:rsidR="00FC76B1" w:rsidRPr="00D71174">
        <w:rPr>
          <w:color w:val="000000" w:themeColor="text1"/>
          <w:lang w:val="en-US"/>
        </w:rPr>
        <w:t xml:space="preserve">he </w:t>
      </w:r>
      <w:proofErr w:type="gramStart"/>
      <w:r w:rsidR="00FC76B1" w:rsidRPr="00D71174">
        <w:rPr>
          <w:color w:val="000000" w:themeColor="text1"/>
          <w:lang w:val="en-US"/>
        </w:rPr>
        <w:t>scenarios</w:t>
      </w:r>
      <w:proofErr w:type="gramEnd"/>
      <w:r w:rsidR="00FC76B1" w:rsidRPr="00D71174">
        <w:rPr>
          <w:color w:val="000000" w:themeColor="text1"/>
          <w:lang w:val="en-US"/>
        </w:rPr>
        <w:t xml:space="preserve"> benchmark demand regimes and information constraints through empirically defined demand generators (Section 3.3). Parametric examples are introduced for notational illustration only; all reported experiments draw demand realizations from the empirical regime defin</w:t>
      </w:r>
      <w:r w:rsidR="0045656A" w:rsidRPr="00D71174">
        <w:rPr>
          <w:color w:val="000000" w:themeColor="text1"/>
          <w:lang w:val="en-US"/>
        </w:rPr>
        <w:t>ed for</w:t>
      </w:r>
      <w:r w:rsidR="00FC76B1" w:rsidRPr="00D71174">
        <w:rPr>
          <w:color w:val="000000" w:themeColor="text1"/>
          <w:lang w:val="en-US"/>
        </w:rPr>
        <w:t xml:space="preserve"> each scenario.</w:t>
      </w:r>
    </w:p>
    <w:p w14:paraId="4FD647C6" w14:textId="79C9ACFF" w:rsidR="00FC76B1" w:rsidRPr="00D71174" w:rsidRDefault="00FC76B1" w:rsidP="00585AAF">
      <w:pPr>
        <w:pStyle w:val="text-base"/>
        <w:jc w:val="both"/>
        <w:rPr>
          <w:rFonts w:ascii="Cambria Math" w:hAnsi="Cambria Math"/>
          <w:color w:val="000000" w:themeColor="text1"/>
          <w:szCs w:val="20"/>
          <w:lang w:val="en-US"/>
        </w:rPr>
      </w:pPr>
      <w:r w:rsidRPr="00D71174">
        <w:rPr>
          <w:color w:val="000000" w:themeColor="text1"/>
          <w:lang w:val="en-US"/>
        </w:rPr>
        <w:lastRenderedPageBreak/>
        <w:t xml:space="preserve">Inventory position and order mapping are defined as follows. Let </w:t>
      </w:r>
      <m:oMath>
        <m:r>
          <w:rPr>
            <w:rFonts w:ascii="Cambria Math" w:hAnsi="Cambria Math"/>
            <w:color w:val="000000" w:themeColor="text1"/>
          </w:rPr>
          <m:t>I</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lang w:val="en-US"/>
          </w:rPr>
          <m:t xml:space="preserve"> </m:t>
        </m:r>
      </m:oMath>
      <w:r w:rsidRPr="00D71174">
        <w:rPr>
          <w:color w:val="000000" w:themeColor="text1"/>
          <w:lang w:val="en-US"/>
        </w:rPr>
        <w:t xml:space="preserve">denote inventory position at decision </w:t>
      </w:r>
      <w:proofErr w:type="gramStart"/>
      <w:r w:rsidRPr="00D71174">
        <w:rPr>
          <w:color w:val="000000" w:themeColor="text1"/>
          <w:lang w:val="en-US"/>
        </w:rPr>
        <w:t xml:space="preserve">epoch </w:t>
      </w:r>
      <w:r w:rsidRPr="00D71174">
        <w:rPr>
          <w:rFonts w:ascii="Cambria Math" w:hAnsi="Cambria Math" w:cs="Cambria Math"/>
          <w:color w:val="000000" w:themeColor="text1"/>
          <w:lang w:val="en-US"/>
        </w:rPr>
        <w:t>𝑡</w:t>
      </w:r>
      <w:proofErr w:type="gramEnd"/>
      <w:r w:rsidRPr="00D71174">
        <w:rPr>
          <w:color w:val="000000" w:themeColor="text1"/>
          <w:lang w:val="en-US"/>
        </w:rPr>
        <w:t xml:space="preserve">, given by on-hand inventory plus outstanding pipeline inventory, </w:t>
      </w:r>
      <m:oMath>
        <m:r>
          <w:rPr>
            <w:rFonts w:ascii="Cambria Math" w:hAnsi="Cambria Math"/>
            <w:color w:val="000000" w:themeColor="text1"/>
          </w:rPr>
          <m:t>I</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t</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oMath>
      <w:r w:rsidRPr="00D71174">
        <w:rPr>
          <w:color w:val="000000" w:themeColor="text1"/>
          <w:lang w:val="en-US"/>
        </w:rPr>
        <w:t xml:space="preserve">. The model </w:t>
      </w:r>
      <w:r w:rsidR="0045656A" w:rsidRPr="00D71174">
        <w:rPr>
          <w:color w:val="000000" w:themeColor="text1"/>
          <w:lang w:val="en-US"/>
        </w:rPr>
        <w:t>uses a lost-sales formulation and therefore does not account for</w:t>
      </w:r>
      <w:r w:rsidRPr="00D71174">
        <w:rPr>
          <w:color w:val="000000" w:themeColor="text1"/>
          <w:lang w:val="en-US"/>
        </w:rPr>
        <w:t xml:space="preserve"> </w:t>
      </w:r>
      <w:proofErr w:type="gramStart"/>
      <w:r w:rsidRPr="00D71174">
        <w:rPr>
          <w:color w:val="000000" w:themeColor="text1"/>
          <w:lang w:val="en-US"/>
        </w:rPr>
        <w:t>backorders</w:t>
      </w:r>
      <w:proofErr w:type="gramEnd"/>
      <w:r w:rsidRPr="00D71174">
        <w:rPr>
          <w:color w:val="000000" w:themeColor="text1"/>
          <w:lang w:val="en-US"/>
        </w:rPr>
        <w:t xml:space="preserve">. </w:t>
      </w:r>
      <w:r w:rsidR="005A3B80" w:rsidRPr="00D71174">
        <w:rPr>
          <w:color w:val="000000" w:themeColor="text1"/>
          <w:lang w:val="en-US"/>
        </w:rPr>
        <w:t>Across all policies, the executed order quantity</w:t>
      </w:r>
      <w:r w:rsidRPr="00D71174">
        <w:rPr>
          <w:color w:val="000000" w:themeColor="text1"/>
          <w:lang w:val="en-US"/>
        </w:rPr>
        <w:t xml:space="preserve"> </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t</m:t>
            </m:r>
          </m:sub>
        </m:sSub>
      </m:oMath>
      <w:r w:rsidRPr="00D71174">
        <w:rPr>
          <w:color w:val="000000" w:themeColor="text1"/>
          <w:lang w:val="en-US"/>
        </w:rPr>
        <w:t xml:space="preserve"> is constrained to be non-negative. When a policy computes an order-up-to target,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OUT</m:t>
                </m:r>
              </m:e>
            </m:acc>
          </m:e>
          <m:sub>
            <m:r>
              <w:rPr>
                <w:rFonts w:ascii="Cambria Math" w:hAnsi="Cambria Math"/>
                <w:color w:val="000000" w:themeColor="text1"/>
              </w:rPr>
              <m:t>t</m:t>
            </m:r>
          </m:sub>
        </m:sSub>
        <m:r>
          <w:rPr>
            <w:rFonts w:ascii="Cambria Math" w:hAnsi="Cambria Math"/>
            <w:color w:val="000000" w:themeColor="text1"/>
            <w:lang w:val="en-US"/>
          </w:rPr>
          <m:t>.</m:t>
        </m:r>
      </m:oMath>
      <w:r w:rsidRPr="00D71174">
        <w:rPr>
          <w:color w:val="000000" w:themeColor="text1"/>
          <w:lang w:val="en-US"/>
        </w:rPr>
        <w:t xml:space="preserve"> </w:t>
      </w:r>
      <w:r w:rsidR="0045656A" w:rsidRPr="00D71174">
        <w:rPr>
          <w:color w:val="000000" w:themeColor="text1"/>
          <w:lang w:val="en-US"/>
        </w:rPr>
        <w:t>T</w:t>
      </w:r>
      <w:r w:rsidRPr="00D71174">
        <w:rPr>
          <w:color w:val="000000" w:themeColor="text1"/>
          <w:lang w:val="en-US"/>
        </w:rPr>
        <w:t>he implemented order is</w:t>
      </w:r>
      <w:r w:rsidR="00585AAF" w:rsidRPr="00D71174">
        <w:rPr>
          <w:color w:val="000000" w:themeColor="text1"/>
          <w:lang w:val="en-US"/>
        </w:rPr>
        <w:t xml:space="preserve"> </w:t>
      </w:r>
      <m:oMath>
        <m:sSub>
          <m:sSubPr>
            <m:ctrlPr>
              <w:rPr>
                <w:rFonts w:ascii="Cambria Math" w:hAnsi="Cambria Math"/>
                <w:color w:val="000000" w:themeColor="text1"/>
                <w:szCs w:val="20"/>
              </w:rPr>
            </m:ctrlPr>
          </m:sSubPr>
          <m:e>
            <m:r>
              <w:rPr>
                <w:rFonts w:ascii="Cambria Math" w:hAnsi="Cambria Math"/>
                <w:color w:val="000000" w:themeColor="text1"/>
                <w:szCs w:val="20"/>
              </w:rPr>
              <m:t>q</m:t>
            </m:r>
          </m:e>
          <m:sub>
            <m:r>
              <w:rPr>
                <w:rFonts w:ascii="Cambria Math" w:hAnsi="Cambria Math"/>
                <w:color w:val="000000" w:themeColor="text1"/>
                <w:szCs w:val="20"/>
              </w:rPr>
              <m:t>t</m:t>
            </m:r>
          </m:sub>
        </m:sSub>
        <m:r>
          <w:rPr>
            <w:rFonts w:ascii="Cambria Math" w:hAnsi="Cambria Math"/>
            <w:color w:val="000000" w:themeColor="text1"/>
            <w:szCs w:val="20"/>
            <w:lang w:val="en-US"/>
          </w:rPr>
          <m:t>=</m:t>
        </m:r>
        <m:r>
          <w:rPr>
            <w:rFonts w:ascii="Cambria Math" w:hAnsi="Cambria Math"/>
            <w:color w:val="000000" w:themeColor="text1"/>
            <w:szCs w:val="20"/>
          </w:rPr>
          <m:t>ma</m:t>
        </m:r>
        <m:func>
          <m:funcPr>
            <m:ctrlPr>
              <w:rPr>
                <w:rFonts w:ascii="Cambria Math" w:hAnsi="Cambria Math"/>
                <w:i/>
                <w:color w:val="000000" w:themeColor="text1"/>
                <w:szCs w:val="20"/>
              </w:rPr>
            </m:ctrlPr>
          </m:funcPr>
          <m:fName>
            <m:r>
              <w:rPr>
                <w:rFonts w:ascii="Cambria Math" w:hAnsi="Cambria Math"/>
                <w:color w:val="000000" w:themeColor="text1"/>
                <w:szCs w:val="20"/>
              </w:rPr>
              <m:t>x</m:t>
            </m:r>
            <m:ctrlPr>
              <w:rPr>
                <w:rFonts w:ascii="Cambria Math" w:hAnsi="Cambria Math"/>
                <w:color w:val="000000" w:themeColor="text1"/>
                <w:szCs w:val="20"/>
              </w:rPr>
            </m:ctrlPr>
          </m:fName>
          <m:e>
            <m:d>
              <m:dPr>
                <m:ctrlPr>
                  <w:rPr>
                    <w:rFonts w:ascii="Cambria Math" w:hAnsi="Cambria Math"/>
                    <w:i/>
                    <w:color w:val="000000" w:themeColor="text1"/>
                    <w:szCs w:val="20"/>
                  </w:rPr>
                </m:ctrlPr>
              </m:dPr>
              <m:e>
                <m:r>
                  <w:rPr>
                    <w:rFonts w:ascii="Cambria Math" w:hAnsi="Cambria Math"/>
                    <w:color w:val="000000" w:themeColor="text1"/>
                    <w:szCs w:val="20"/>
                    <w:lang w:val="en-US"/>
                  </w:rPr>
                  <m:t>0,</m:t>
                </m:r>
                <m:sSub>
                  <m:sSubPr>
                    <m:ctrlPr>
                      <w:rPr>
                        <w:rFonts w:ascii="Cambria Math" w:hAnsi="Cambria Math"/>
                        <w:color w:val="000000" w:themeColor="text1"/>
                        <w:szCs w:val="20"/>
                      </w:rPr>
                    </m:ctrlPr>
                  </m:sSubPr>
                  <m:e>
                    <m:acc>
                      <m:accPr>
                        <m:ctrlPr>
                          <w:rPr>
                            <w:rFonts w:ascii="Cambria Math" w:hAnsi="Cambria Math"/>
                            <w:color w:val="000000" w:themeColor="text1"/>
                            <w:szCs w:val="20"/>
                          </w:rPr>
                        </m:ctrlPr>
                      </m:accPr>
                      <m:e>
                        <m:r>
                          <w:rPr>
                            <w:rFonts w:ascii="Cambria Math" w:hAnsi="Cambria Math"/>
                            <w:color w:val="000000" w:themeColor="text1"/>
                            <w:szCs w:val="20"/>
                          </w:rPr>
                          <m:t>OUT</m:t>
                        </m:r>
                      </m:e>
                    </m:acc>
                  </m:e>
                  <m:sub>
                    <m:r>
                      <w:rPr>
                        <w:rFonts w:ascii="Cambria Math" w:hAnsi="Cambria Math"/>
                        <w:color w:val="000000" w:themeColor="text1"/>
                        <w:szCs w:val="20"/>
                      </w:rPr>
                      <m:t>t</m:t>
                    </m:r>
                  </m:sub>
                </m:sSub>
                <m:r>
                  <w:rPr>
                    <w:rFonts w:ascii="Cambria Math" w:hAnsi="Cambria Math"/>
                    <w:color w:val="000000" w:themeColor="text1"/>
                    <w:szCs w:val="20"/>
                    <w:lang w:val="en-US"/>
                  </w:rPr>
                  <m:t>-</m:t>
                </m:r>
                <m:r>
                  <w:rPr>
                    <w:rFonts w:ascii="Cambria Math" w:hAnsi="Cambria Math"/>
                    <w:color w:val="000000" w:themeColor="text1"/>
                    <w:szCs w:val="20"/>
                  </w:rPr>
                  <m:t>I</m:t>
                </m:r>
                <m:sSub>
                  <m:sSubPr>
                    <m:ctrlPr>
                      <w:rPr>
                        <w:rFonts w:ascii="Cambria Math" w:hAnsi="Cambria Math"/>
                        <w:color w:val="000000" w:themeColor="text1"/>
                        <w:szCs w:val="20"/>
                      </w:rPr>
                    </m:ctrlPr>
                  </m:sSubPr>
                  <m:e>
                    <m:r>
                      <w:rPr>
                        <w:rFonts w:ascii="Cambria Math" w:hAnsi="Cambria Math"/>
                        <w:color w:val="000000" w:themeColor="text1"/>
                        <w:szCs w:val="20"/>
                      </w:rPr>
                      <m:t>P</m:t>
                    </m:r>
                  </m:e>
                  <m:sub>
                    <m:r>
                      <w:rPr>
                        <w:rFonts w:ascii="Cambria Math" w:hAnsi="Cambria Math"/>
                        <w:color w:val="000000" w:themeColor="text1"/>
                        <w:szCs w:val="20"/>
                      </w:rPr>
                      <m:t>t</m:t>
                    </m:r>
                  </m:sub>
                </m:sSub>
              </m:e>
            </m:d>
          </m:e>
        </m:func>
        <m:r>
          <m:rPr>
            <m:sty m:val="p"/>
          </m:rPr>
          <w:rPr>
            <w:rFonts w:ascii="Cambria Math" w:hAnsi="Cambria Math"/>
            <w:color w:val="000000" w:themeColor="text1"/>
            <w:szCs w:val="20"/>
            <w:lang w:val="en-US"/>
          </w:rPr>
          <m:t xml:space="preserve">. </m:t>
        </m:r>
      </m:oMath>
      <w:r w:rsidRPr="00D71174">
        <w:rPr>
          <w:color w:val="000000" w:themeColor="text1"/>
          <w:lang w:val="en-US"/>
        </w:rPr>
        <w:t xml:space="preserve">For clarity, </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t</m:t>
            </m:r>
          </m:sub>
        </m:sSub>
      </m:oMath>
      <w:r w:rsidRPr="00D71174">
        <w:rPr>
          <w:color w:val="000000" w:themeColor="text1"/>
          <w:lang w:val="en-US"/>
        </w:rPr>
        <w:t xml:space="preserve"> is </w:t>
      </w:r>
      <w:r w:rsidR="0045656A" w:rsidRPr="00D71174">
        <w:rPr>
          <w:color w:val="000000" w:themeColor="text1"/>
          <w:lang w:val="en-US"/>
        </w:rPr>
        <w:t>consistently used throughout to denote th</w:t>
      </w:r>
      <w:r w:rsidR="005A3B80" w:rsidRPr="00D71174">
        <w:rPr>
          <w:color w:val="000000" w:themeColor="text1"/>
          <w:lang w:val="en-US"/>
        </w:rPr>
        <w:t>e order quantity, and alternative notations are avoided</w:t>
      </w:r>
      <w:r w:rsidRPr="00D71174">
        <w:rPr>
          <w:color w:val="000000" w:themeColor="text1"/>
          <w:lang w:val="en-US"/>
        </w:rPr>
        <w:t>.</w:t>
      </w:r>
    </w:p>
    <w:p w14:paraId="295024D7" w14:textId="360D87C5" w:rsidR="005A3B80" w:rsidRPr="00D71174" w:rsidRDefault="00FC76B1" w:rsidP="005A3B80">
      <w:pPr>
        <w:widowControl/>
        <w:autoSpaceDE/>
        <w:autoSpaceDN/>
        <w:jc w:val="both"/>
        <w:rPr>
          <w:color w:val="000000" w:themeColor="text1"/>
        </w:rPr>
      </w:pPr>
      <w:r w:rsidRPr="00D71174">
        <w:rPr>
          <w:b/>
          <w:bCs/>
          <w:color w:val="000000" w:themeColor="text1"/>
        </w:rPr>
        <w:t>Static policy (fixed order-up-to)</w:t>
      </w:r>
      <w:r w:rsidRPr="00D71174">
        <w:rPr>
          <w:color w:val="000000" w:themeColor="text1"/>
        </w:rPr>
        <w:t xml:space="preserve">. The Static policy sets a time-invariant order-up-to level from full-sample demand moments. Let </w:t>
      </w:r>
      <m:oMath>
        <m:acc>
          <m:accPr>
            <m:chr m:val="ˉ"/>
            <m:ctrlPr>
              <w:rPr>
                <w:rFonts w:ascii="Cambria Math" w:hAnsi="Cambria Math"/>
                <w:color w:val="000000" w:themeColor="text1"/>
              </w:rPr>
            </m:ctrlPr>
          </m:accPr>
          <m:e>
            <m:r>
              <w:rPr>
                <w:rFonts w:ascii="Cambria Math" w:hAnsi="Cambria Math"/>
                <w:color w:val="000000" w:themeColor="text1"/>
              </w:rPr>
              <m:t>D</m:t>
            </m:r>
          </m:e>
        </m:acc>
        <m:r>
          <m:rPr>
            <m:sty m:val="p"/>
          </m:rPr>
          <w:rPr>
            <w:rFonts w:ascii="Cambria Math" w:hAnsi="Cambria Math"/>
            <w:color w:val="000000" w:themeColor="text1"/>
          </w:rPr>
          <m:t xml:space="preserve">and </m:t>
        </m:r>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D</m:t>
            </m:r>
          </m:sub>
        </m:sSub>
        <m:r>
          <w:rPr>
            <w:rFonts w:ascii="Cambria Math" w:hAnsi="Cambria Math"/>
            <w:color w:val="000000" w:themeColor="text1"/>
          </w:rPr>
          <m:t xml:space="preserve"> </m:t>
        </m:r>
      </m:oMath>
      <w:r w:rsidRPr="00D71174">
        <w:rPr>
          <w:color w:val="000000" w:themeColor="text1"/>
        </w:rPr>
        <w:t>denote the sample mean and standard deviation of daily demand, respectively, estimated over the full sample.</w:t>
      </w:r>
      <w:r w:rsidR="00585AAF" w:rsidRPr="00D71174">
        <w:rPr>
          <w:color w:val="000000" w:themeColor="text1"/>
        </w:rPr>
        <w:t xml:space="preserve"> </w:t>
      </w:r>
      <w:r w:rsidR="003836DD" w:rsidRPr="00D71174">
        <w:rPr>
          <w:color w:val="000000" w:themeColor="text1"/>
        </w:rPr>
        <w:t xml:space="preserve">Static sets </w:t>
      </w:r>
      <m:oMath>
        <m:r>
          <m:rPr>
            <m:sty m:val="p"/>
          </m:rPr>
          <w:rPr>
            <w:rFonts w:ascii="Cambria Math" w:hAnsi="Cambria Math"/>
            <w:color w:val="000000" w:themeColor="text1"/>
          </w:rPr>
          <m:t>OU</m:t>
        </m:r>
        <m:sSup>
          <m:sSupPr>
            <m:ctrlPr>
              <w:rPr>
                <w:rFonts w:ascii="Cambria Math" w:hAnsi="Cambria Math"/>
                <w:color w:val="000000" w:themeColor="text1"/>
              </w:rPr>
            </m:ctrlPr>
          </m:sSupPr>
          <m:e>
            <m:r>
              <m:rPr>
                <m:sty m:val="p"/>
              </m:rPr>
              <w:rPr>
                <w:rFonts w:ascii="Cambria Math" w:hAnsi="Cambria Math"/>
                <w:color w:val="000000" w:themeColor="text1"/>
              </w:rPr>
              <m:t>T</m:t>
            </m:r>
          </m:e>
          <m:sup>
            <m:r>
              <m:rPr>
                <m:sty m:val="p"/>
              </m:rPr>
              <w:rPr>
                <w:rFonts w:ascii="Cambria Math" w:hAnsi="Cambria Math"/>
                <w:color w:val="000000" w:themeColor="text1"/>
              </w:rPr>
              <m:t>S</m:t>
            </m:r>
          </m:sup>
        </m:sSup>
        <m:r>
          <m:rPr>
            <m:sty m:val="p"/>
          </m:rPr>
          <w:rPr>
            <w:rFonts w:ascii="Cambria Math" w:hAnsi="Cambria Math"/>
            <w:color w:val="000000" w:themeColor="text1"/>
          </w:rPr>
          <m:t>=</m:t>
        </m:r>
        <m:acc>
          <m:accPr>
            <m:chr m:val="̅"/>
            <m:ctrlPr>
              <w:rPr>
                <w:rFonts w:ascii="Cambria Math" w:hAnsi="Cambria Math"/>
                <w:color w:val="000000" w:themeColor="text1"/>
              </w:rPr>
            </m:ctrlPr>
          </m:accPr>
          <m:e>
            <m:r>
              <m:rPr>
                <m:sty m:val="p"/>
              </m:rPr>
              <w:rPr>
                <w:rFonts w:ascii="Cambria Math" w:hAnsi="Cambria Math"/>
                <w:color w:val="000000" w:themeColor="text1"/>
              </w:rPr>
              <m:t>D</m:t>
            </m:r>
          </m:e>
        </m:acc>
        <m:d>
          <m:dPr>
            <m:ctrlPr>
              <w:rPr>
                <w:rFonts w:ascii="Cambria Math" w:hAnsi="Cambria Math"/>
                <w:color w:val="000000" w:themeColor="text1"/>
              </w:rPr>
            </m:ctrlPr>
          </m:dPr>
          <m:e>
            <m:r>
              <m:rPr>
                <m:sty m:val="p"/>
              </m:rPr>
              <w:rPr>
                <w:rFonts w:ascii="Cambria Math" w:hAnsi="Cambria Math"/>
                <w:color w:val="000000" w:themeColor="text1"/>
              </w:rPr>
              <m:t>L+R</m:t>
            </m:r>
          </m:e>
        </m:d>
        <m:r>
          <m:rPr>
            <m:sty m:val="p"/>
          </m:rPr>
          <w:rPr>
            <w:rFonts w:ascii="Cambria Math" w:hAnsi="Cambria Math"/>
            <w:color w:val="000000" w:themeColor="text1"/>
          </w:rPr>
          <m:t>+z⋅</m:t>
        </m:r>
        <m:sSub>
          <m:sSubPr>
            <m:ctrlPr>
              <w:rPr>
                <w:rFonts w:ascii="Cambria Math" w:hAnsi="Cambria Math"/>
                <w:color w:val="000000" w:themeColor="text1"/>
              </w:rPr>
            </m:ctrlPr>
          </m:sSubPr>
          <m:e>
            <m:r>
              <m:rPr>
                <m:sty m:val="p"/>
              </m:rPr>
              <w:rPr>
                <w:rFonts w:ascii="Cambria Math" w:hAnsi="Cambria Math"/>
                <w:color w:val="000000" w:themeColor="text1"/>
              </w:rPr>
              <m:t>σ</m:t>
            </m:r>
          </m:e>
          <m:sub>
            <m:r>
              <m:rPr>
                <m:sty m:val="p"/>
              </m:rPr>
              <w:rPr>
                <w:rFonts w:ascii="Cambria Math" w:hAnsi="Cambria Math"/>
                <w:color w:val="000000" w:themeColor="text1"/>
              </w:rPr>
              <m:t>D</m:t>
            </m:r>
          </m:sub>
        </m:sSub>
        <m:rad>
          <m:radPr>
            <m:degHide m:val="1"/>
            <m:ctrlPr>
              <w:rPr>
                <w:rFonts w:ascii="Cambria Math" w:hAnsi="Cambria Math"/>
                <w:color w:val="000000" w:themeColor="text1"/>
              </w:rPr>
            </m:ctrlPr>
          </m:radPr>
          <m:deg/>
          <m:e>
            <m:r>
              <m:rPr>
                <m:sty m:val="p"/>
              </m:rPr>
              <w:rPr>
                <w:rFonts w:ascii="Cambria Math" w:hAnsi="Cambria Math"/>
                <w:color w:val="000000" w:themeColor="text1"/>
              </w:rPr>
              <m:t>L+R</m:t>
            </m:r>
          </m:e>
        </m:rad>
        <m:r>
          <m:rPr>
            <m:sty m:val="p"/>
          </m:rPr>
          <w:rPr>
            <w:rFonts w:ascii="Cambria Math" w:hAnsi="Cambria Math"/>
            <w:color w:val="000000" w:themeColor="text1"/>
          </w:rPr>
          <m:t xml:space="preserve">,  </m:t>
        </m:r>
        <m:sSub>
          <m:sSubPr>
            <m:ctrlPr>
              <w:rPr>
                <w:rFonts w:ascii="Cambria Math" w:hAnsi="Cambria Math"/>
                <w:color w:val="000000" w:themeColor="text1"/>
              </w:rPr>
            </m:ctrlPr>
          </m:sSubPr>
          <m:e>
            <m:r>
              <m:rPr>
                <m:sty m:val="p"/>
              </m:rPr>
              <w:rPr>
                <w:rFonts w:ascii="Cambria Math" w:hAnsi="Cambria Math"/>
                <w:color w:val="000000" w:themeColor="text1"/>
              </w:rPr>
              <m:t>q</m:t>
            </m:r>
          </m:e>
          <m:sub>
            <m:r>
              <m:rPr>
                <m:sty m:val="p"/>
              </m:rPr>
              <w:rPr>
                <w:rFonts w:ascii="Cambria Math" w:hAnsi="Cambria Math"/>
                <w:color w:val="000000" w:themeColor="text1"/>
              </w:rPr>
              <m:t>t</m:t>
            </m:r>
          </m:sub>
        </m:sSub>
        <m:r>
          <m:rPr>
            <m:sty m:val="p"/>
          </m:rP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r>
                  <m:rPr>
                    <m:sty m:val="p"/>
                  </m:rPr>
                  <w:rPr>
                    <w:rFonts w:ascii="Cambria Math" w:hAnsi="Cambria Math"/>
                    <w:color w:val="000000" w:themeColor="text1"/>
                  </w:rPr>
                  <m:t>0, OU</m:t>
                </m:r>
                <m:sSup>
                  <m:sSupPr>
                    <m:ctrlPr>
                      <w:rPr>
                        <w:rFonts w:ascii="Cambria Math" w:hAnsi="Cambria Math"/>
                        <w:color w:val="000000" w:themeColor="text1"/>
                      </w:rPr>
                    </m:ctrlPr>
                  </m:sSupPr>
                  <m:e>
                    <m:r>
                      <m:rPr>
                        <m:sty m:val="p"/>
                      </m:rPr>
                      <w:rPr>
                        <w:rFonts w:ascii="Cambria Math" w:hAnsi="Cambria Math"/>
                        <w:color w:val="000000" w:themeColor="text1"/>
                      </w:rPr>
                      <m:t>T</m:t>
                    </m:r>
                  </m:e>
                  <m:sup>
                    <m:r>
                      <m:rPr>
                        <m:sty m:val="p"/>
                      </m:rPr>
                      <w:rPr>
                        <w:rFonts w:ascii="Cambria Math" w:hAnsi="Cambria Math"/>
                        <w:color w:val="000000" w:themeColor="text1"/>
                      </w:rPr>
                      <m:t>S</m:t>
                    </m:r>
                  </m:sup>
                </m:sSup>
                <m:r>
                  <m:rPr>
                    <m:sty m:val="p"/>
                  </m:rPr>
                  <w:rPr>
                    <w:rFonts w:ascii="Cambria Math" w:hAnsi="Cambria Math"/>
                    <w:color w:val="000000" w:themeColor="text1"/>
                  </w:rPr>
                  <m:t>-I</m:t>
                </m:r>
                <m:sSub>
                  <m:sSubPr>
                    <m:ctrlPr>
                      <w:rPr>
                        <w:rFonts w:ascii="Cambria Math" w:hAnsi="Cambria Math"/>
                        <w:color w:val="000000" w:themeColor="text1"/>
                      </w:rPr>
                    </m:ctrlPr>
                  </m:sSubPr>
                  <m:e>
                    <m:r>
                      <m:rPr>
                        <m:sty m:val="p"/>
                      </m:rPr>
                      <w:rPr>
                        <w:rFonts w:ascii="Cambria Math" w:hAnsi="Cambria Math"/>
                        <w:color w:val="000000" w:themeColor="text1"/>
                      </w:rPr>
                      <m:t>P</m:t>
                    </m:r>
                  </m:e>
                  <m:sub>
                    <m:r>
                      <m:rPr>
                        <m:sty m:val="p"/>
                      </m:rPr>
                      <w:rPr>
                        <w:rFonts w:ascii="Cambria Math" w:hAnsi="Cambria Math"/>
                        <w:color w:val="000000" w:themeColor="text1"/>
                      </w:rPr>
                      <m:t>t</m:t>
                    </m:r>
                  </m:sub>
                </m:sSub>
              </m:e>
            </m:d>
          </m:e>
        </m:func>
      </m:oMath>
      <w:r w:rsidR="00585AAF" w:rsidRPr="00D71174">
        <w:rPr>
          <w:color w:val="000000" w:themeColor="text1"/>
        </w:rPr>
        <w:t>.</w:t>
      </w:r>
    </w:p>
    <w:p w14:paraId="69839D81" w14:textId="3FED1B91" w:rsidR="00982799" w:rsidRPr="00D71174" w:rsidRDefault="00000000" w:rsidP="00BC4C18">
      <w:pPr>
        <w:pStyle w:val="text-base"/>
        <w:spacing w:before="0" w:after="0" w:afterAutospacing="0"/>
        <w:jc w:val="both"/>
        <w:rPr>
          <w:color w:val="000000" w:themeColor="text1"/>
          <w:lang w:val="en-US"/>
        </w:rPr>
      </w:pPr>
      <w:r w:rsidRPr="00D71174">
        <w:rPr>
          <w:b/>
          <w:bCs/>
          <w:color w:val="000000" w:themeColor="text1"/>
          <w:lang w:val="en-US"/>
        </w:rPr>
        <w:t>Dynamic (reactive)</w:t>
      </w:r>
      <w:r w:rsidR="00A763B0" w:rsidRPr="00D71174">
        <w:rPr>
          <w:color w:val="000000" w:themeColor="text1"/>
          <w:lang w:val="en-US"/>
        </w:rPr>
        <w:t xml:space="preserve">: </w:t>
      </w:r>
      <w:r w:rsidR="008E552F" w:rsidRPr="00D71174">
        <w:rPr>
          <w:color w:val="000000" w:themeColor="text1"/>
          <w:lang w:val="en-US"/>
        </w:rPr>
        <w:t xml:space="preserve">The Dynamic policy recomputes demand moments over a trailing window of length </w:t>
      </w:r>
      <m:oMath>
        <m:r>
          <m:rPr>
            <m:lit/>
          </m:rPr>
          <w:rPr>
            <w:rFonts w:ascii="Cambria Math" w:hAnsi="Cambria Math"/>
            <w:color w:val="000000" w:themeColor="text1"/>
            <w:lang w:val="en-US"/>
          </w:rPr>
          <m:t>(</m:t>
        </m:r>
        <m:r>
          <w:rPr>
            <w:rFonts w:ascii="Cambria Math" w:hAnsi="Cambria Math"/>
            <w:color w:val="000000" w:themeColor="text1"/>
            <w:lang w:val="en-US"/>
          </w:rPr>
          <m:t>w</m:t>
        </m:r>
        <m:r>
          <m:rPr>
            <m:lit/>
          </m:rPr>
          <w:rPr>
            <w:rFonts w:ascii="Cambria Math" w:hAnsi="Cambria Math"/>
            <w:color w:val="000000" w:themeColor="text1"/>
            <w:lang w:val="en-US"/>
          </w:rPr>
          <m:t>)</m:t>
        </m:r>
      </m:oMath>
      <w:r w:rsidR="008E552F" w:rsidRPr="00D71174">
        <w:rPr>
          <w:color w:val="000000" w:themeColor="text1"/>
          <w:lang w:val="en-US"/>
        </w:rPr>
        <w:t xml:space="preserve"> using realized demand. It sets </w:t>
      </w:r>
      <m:oMath>
        <m:r>
          <w:rPr>
            <w:rFonts w:ascii="Cambria Math" w:hAnsi="Cambria Math"/>
            <w:color w:val="000000" w:themeColor="text1"/>
            <w:lang w:val="en-US"/>
          </w:rPr>
          <m:t>OU</m:t>
        </m:r>
        <m:sSubSup>
          <m:sSubSupPr>
            <m:ctrlPr>
              <w:rPr>
                <w:rFonts w:ascii="Cambria Math" w:hAnsi="Cambria Math"/>
                <w:i/>
                <w:color w:val="000000" w:themeColor="text1"/>
                <w:lang w:val="en-US"/>
              </w:rPr>
            </m:ctrlPr>
          </m:sSubSupPr>
          <m:e>
            <m:r>
              <w:rPr>
                <w:rFonts w:ascii="Cambria Math" w:hAnsi="Cambria Math"/>
                <w:color w:val="000000" w:themeColor="text1"/>
                <w:lang w:val="en-US"/>
              </w:rPr>
              <m:t>T</m:t>
            </m:r>
          </m:e>
          <m:sub>
            <m:r>
              <w:rPr>
                <w:rFonts w:ascii="Cambria Math" w:hAnsi="Cambria Math"/>
                <w:color w:val="000000" w:themeColor="text1"/>
                <w:lang w:val="en-US"/>
              </w:rPr>
              <m:t>t</m:t>
            </m:r>
          </m:sub>
          <m:sup>
            <m:r>
              <w:rPr>
                <w:rFonts w:ascii="Cambria Math" w:hAnsi="Cambria Math"/>
                <w:color w:val="000000" w:themeColor="text1"/>
                <w:lang w:val="en-US"/>
              </w:rPr>
              <m:t>D</m:t>
            </m:r>
          </m:sup>
        </m:sSubSup>
        <m:r>
          <w:rPr>
            <w:rFonts w:ascii="Cambria Math" w:hAnsi="Cambria Math"/>
            <w:color w:val="000000" w:themeColor="text1"/>
            <w:lang w:val="en-US"/>
          </w:rPr>
          <m:t>=</m:t>
        </m:r>
        <m:acc>
          <m:accPr>
            <m:chr m:val="̅"/>
            <m:ctrlPr>
              <w:rPr>
                <w:rFonts w:ascii="Cambria Math" w:hAnsi="Cambria Math"/>
                <w:color w:val="000000" w:themeColor="text1"/>
                <w:lang w:val="en-US"/>
              </w:rPr>
            </m:ctrlPr>
          </m:accPr>
          <m:e>
            <m:sSub>
              <m:sSubPr>
                <m:ctrlPr>
                  <w:rPr>
                    <w:rFonts w:ascii="Cambria Math" w:hAnsi="Cambria Math"/>
                    <w:i/>
                    <w:color w:val="000000" w:themeColor="text1"/>
                    <w:lang w:val="en-US"/>
                  </w:rPr>
                </m:ctrlPr>
              </m:sSubPr>
              <m:e>
                <m:r>
                  <w:rPr>
                    <w:rFonts w:ascii="Cambria Math" w:hAnsi="Cambria Math"/>
                    <w:color w:val="000000" w:themeColor="text1"/>
                    <w:lang w:val="en-US"/>
                  </w:rPr>
                  <m:t>D</m:t>
                </m:r>
                <m:ctrlPr>
                  <w:rPr>
                    <w:rFonts w:ascii="Cambria Math" w:hAnsi="Cambria Math"/>
                    <w:color w:val="000000" w:themeColor="text1"/>
                    <w:lang w:val="en-US"/>
                  </w:rPr>
                </m:ctrlPr>
              </m:e>
              <m:sub>
                <m:r>
                  <w:rPr>
                    <w:rFonts w:ascii="Cambria Math" w:hAnsi="Cambria Math"/>
                    <w:color w:val="000000" w:themeColor="text1"/>
                    <w:lang w:val="en-US"/>
                  </w:rPr>
                  <m:t>t,w</m:t>
                </m:r>
              </m:sub>
            </m:sSub>
          </m:e>
        </m:acc>
        <m:d>
          <m:dPr>
            <m:ctrlPr>
              <w:rPr>
                <w:rFonts w:ascii="Cambria Math" w:hAnsi="Cambria Math"/>
                <w:i/>
                <w:color w:val="000000" w:themeColor="text1"/>
                <w:lang w:val="en-US"/>
              </w:rPr>
            </m:ctrlPr>
          </m:dPr>
          <m:e>
            <m:r>
              <w:rPr>
                <w:rFonts w:ascii="Cambria Math" w:hAnsi="Cambria Math"/>
                <w:color w:val="000000" w:themeColor="text1"/>
                <w:lang w:val="en-US"/>
              </w:rPr>
              <m:t>L+R</m:t>
            </m:r>
          </m:e>
        </m:d>
        <m:r>
          <w:rPr>
            <w:rFonts w:ascii="Cambria Math" w:hAnsi="Cambria Math"/>
            <w:color w:val="000000" w:themeColor="text1"/>
            <w:lang w:val="en-US"/>
          </w:rPr>
          <m:t>+z </m:t>
        </m:r>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σ</m:t>
            </m:r>
          </m:e>
          <m:sub>
            <m:r>
              <w:rPr>
                <w:rFonts w:ascii="Cambria Math" w:hAnsi="Cambria Math"/>
                <w:color w:val="000000" w:themeColor="text1"/>
                <w:lang w:val="en-US"/>
              </w:rPr>
              <m:t>t,w</m:t>
            </m:r>
            <m:rad>
              <m:radPr>
                <m:degHide m:val="1"/>
                <m:ctrlPr>
                  <w:rPr>
                    <w:rFonts w:ascii="Cambria Math" w:hAnsi="Cambria Math"/>
                    <w:color w:val="000000" w:themeColor="text1"/>
                    <w:lang w:val="en-US"/>
                  </w:rPr>
                </m:ctrlPr>
              </m:radPr>
              <m:deg>
                <m:ctrlPr>
                  <w:rPr>
                    <w:rFonts w:ascii="Cambria Math" w:hAnsi="Cambria Math"/>
                    <w:i/>
                    <w:color w:val="000000" w:themeColor="text1"/>
                    <w:lang w:val="en-US"/>
                  </w:rPr>
                </m:ctrlPr>
              </m:deg>
              <m:e>
                <m:r>
                  <w:rPr>
                    <w:rFonts w:ascii="Cambria Math" w:hAnsi="Cambria Math"/>
                    <w:color w:val="000000" w:themeColor="text1"/>
                    <w:lang w:val="en-US"/>
                  </w:rPr>
                  <m:t>L+R</m:t>
                </m:r>
              </m:e>
            </m:rad>
          </m:sub>
        </m:sSub>
      </m:oMath>
      <w:r w:rsidR="005A595E" w:rsidRPr="00D71174">
        <w:rPr>
          <w:color w:val="000000" w:themeColor="text1"/>
          <w:lang w:val="en-US"/>
        </w:rPr>
        <w:t xml:space="preserve">, </w:t>
      </w:r>
      <w:r w:rsidRPr="00D71174">
        <w:rPr>
          <w:color w:val="000000" w:themeColor="text1"/>
          <w:lang w:val="en-US"/>
        </w:rPr>
        <w:t xml:space="preserve">where </w:t>
      </w:r>
      <m:oMath>
        <m:r>
          <m:rPr>
            <m:lit/>
          </m:rPr>
          <w:rPr>
            <w:rFonts w:ascii="Cambria Math" w:hAnsi="Cambria Math"/>
            <w:color w:val="000000" w:themeColor="text1"/>
            <w:lang w:val="en-US"/>
          </w:rPr>
          <m:t>(</m:t>
        </m:r>
        <m:acc>
          <m:accPr>
            <m:chr m:val="̅"/>
            <m:ctrlPr>
              <w:rPr>
                <w:rFonts w:ascii="Cambria Math" w:hAnsi="Cambria Math"/>
                <w:color w:val="000000" w:themeColor="text1"/>
                <w:lang w:val="en-US"/>
              </w:rPr>
            </m:ctrlPr>
          </m:accPr>
          <m:e>
            <m:sSub>
              <m:sSubPr>
                <m:ctrlPr>
                  <w:rPr>
                    <w:rFonts w:ascii="Cambria Math" w:hAnsi="Cambria Math"/>
                    <w:i/>
                    <w:color w:val="000000" w:themeColor="text1"/>
                    <w:lang w:val="en-US"/>
                  </w:rPr>
                </m:ctrlPr>
              </m:sSubPr>
              <m:e>
                <m:r>
                  <w:rPr>
                    <w:rFonts w:ascii="Cambria Math" w:hAnsi="Cambria Math"/>
                    <w:color w:val="000000" w:themeColor="text1"/>
                    <w:lang w:val="en-US"/>
                  </w:rPr>
                  <m:t>D</m:t>
                </m:r>
                <m:ctrlPr>
                  <w:rPr>
                    <w:rFonts w:ascii="Cambria Math" w:hAnsi="Cambria Math"/>
                    <w:color w:val="000000" w:themeColor="text1"/>
                    <w:lang w:val="en-US"/>
                  </w:rPr>
                </m:ctrlPr>
              </m:e>
              <m:sub>
                <m:r>
                  <w:rPr>
                    <w:rFonts w:ascii="Cambria Math" w:hAnsi="Cambria Math"/>
                    <w:color w:val="000000" w:themeColor="text1"/>
                    <w:lang w:val="en-US"/>
                  </w:rPr>
                  <m:t>t,w</m:t>
                </m:r>
              </m:sub>
            </m:sSub>
            <m:r>
              <m:rPr>
                <m:lit/>
              </m:rPr>
              <w:rPr>
                <w:rFonts w:ascii="Cambria Math" w:hAnsi="Cambria Math"/>
                <w:color w:val="000000" w:themeColor="text1"/>
                <w:lang w:val="en-US"/>
              </w:rPr>
              <m:t>)</m:t>
            </m:r>
          </m:e>
        </m:acc>
      </m:oMath>
      <w:r w:rsidRPr="00D71174">
        <w:rPr>
          <w:color w:val="000000" w:themeColor="text1"/>
          <w:lang w:val="en-US"/>
        </w:rPr>
        <w:t xml:space="preserve"> </w:t>
      </w:r>
      <w:r w:rsidR="008E552F" w:rsidRPr="00D71174">
        <w:rPr>
          <w:color w:val="000000" w:themeColor="text1"/>
          <w:lang w:val="en-US"/>
        </w:rPr>
        <w:t xml:space="preserve">and </w:t>
      </w:r>
      <m:oMath>
        <m:r>
          <m:rPr>
            <m:lit/>
          </m:rP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σ</m:t>
            </m:r>
            <m:ctrlPr>
              <w:rPr>
                <w:rFonts w:ascii="Cambria Math" w:hAnsi="Cambria Math"/>
                <w:color w:val="000000" w:themeColor="text1"/>
                <w:lang w:val="en-US"/>
              </w:rPr>
            </m:ctrlPr>
          </m:e>
          <m:sub>
            <m:r>
              <w:rPr>
                <w:rFonts w:ascii="Cambria Math" w:hAnsi="Cambria Math"/>
                <w:color w:val="000000" w:themeColor="text1"/>
                <w:lang w:val="en-US"/>
              </w:rPr>
              <m:t>t,w</m:t>
            </m:r>
          </m:sub>
        </m:sSub>
        <m:r>
          <m:rPr>
            <m:lit/>
          </m:rPr>
          <w:rPr>
            <w:rFonts w:ascii="Cambria Math" w:hAnsi="Cambria Math"/>
            <w:color w:val="000000" w:themeColor="text1"/>
            <w:lang w:val="en-US"/>
          </w:rPr>
          <m:t>)</m:t>
        </m:r>
        <m:r>
          <w:rPr>
            <w:rFonts w:ascii="Cambria Math" w:hAnsi="Cambria Math"/>
            <w:color w:val="000000" w:themeColor="text1"/>
            <w:lang w:val="en-US"/>
          </w:rPr>
          <m:t xml:space="preserve"> </m:t>
        </m:r>
      </m:oMath>
      <w:r w:rsidR="008E552F" w:rsidRPr="00D71174">
        <w:rPr>
          <w:color w:val="000000" w:themeColor="text1"/>
          <w:lang w:val="en-US"/>
        </w:rPr>
        <w:t xml:space="preserve">denote the window mean and standard deviation. The pair </w:t>
      </w:r>
      <m:oMath>
        <m:r>
          <w:rPr>
            <w:rFonts w:ascii="Cambria Math" w:hAnsi="Cambria Math"/>
            <w:color w:val="000000" w:themeColor="text1"/>
            <w:lang w:val="en-US"/>
          </w:rPr>
          <m:t>((w,z)</m:t>
        </m:r>
        <m:r>
          <m:rPr>
            <m:lit/>
          </m:rPr>
          <w:rPr>
            <w:rFonts w:ascii="Cambria Math" w:hAnsi="Cambria Math"/>
            <w:color w:val="000000" w:themeColor="text1"/>
            <w:lang w:val="en-US"/>
          </w:rPr>
          <m:t>)</m:t>
        </m:r>
        <m:r>
          <w:rPr>
            <w:rFonts w:ascii="Cambria Math" w:hAnsi="Cambria Math"/>
            <w:color w:val="000000" w:themeColor="text1"/>
            <w:lang w:val="en-US"/>
          </w:rPr>
          <m:t xml:space="preserve"> </m:t>
        </m:r>
      </m:oMath>
      <w:r w:rsidR="008E552F" w:rsidRPr="00D71174">
        <w:rPr>
          <w:color w:val="000000" w:themeColor="text1"/>
          <w:lang w:val="en-US"/>
        </w:rPr>
        <w:t xml:space="preserve"> is tuned by structured grid search on the training portion of each scenario.</w:t>
      </w:r>
    </w:p>
    <w:p w14:paraId="793E597E" w14:textId="68B3EA52" w:rsidR="004F4E8A" w:rsidRPr="00D71174" w:rsidRDefault="00000000" w:rsidP="00DB3F23">
      <w:pPr>
        <w:pStyle w:val="text-base"/>
        <w:spacing w:before="0" w:after="0" w:afterAutospacing="0"/>
        <w:jc w:val="both"/>
        <w:rPr>
          <w:color w:val="000000" w:themeColor="text1"/>
          <w:highlight w:val="yellow"/>
          <w:lang w:val="en-US"/>
        </w:rPr>
      </w:pPr>
      <w:r w:rsidRPr="00D71174">
        <w:rPr>
          <w:b/>
          <w:bCs/>
          <w:color w:val="000000" w:themeColor="text1"/>
          <w:lang w:val="en-US"/>
        </w:rPr>
        <w:t>Dynamic + Forecast (forecast-informed mean)</w:t>
      </w:r>
      <w:r w:rsidR="00A763B0" w:rsidRPr="00D71174">
        <w:rPr>
          <w:color w:val="000000" w:themeColor="text1"/>
          <w:lang w:val="en-US"/>
        </w:rPr>
        <w:t xml:space="preserve">: </w:t>
      </w:r>
      <w:r w:rsidRPr="00D71174">
        <w:rPr>
          <w:color w:val="000000" w:themeColor="text1"/>
          <w:lang w:val="en-US"/>
        </w:rPr>
        <w:t>T</w:t>
      </w:r>
      <w:r w:rsidR="009C524D" w:rsidRPr="00D71174">
        <w:rPr>
          <w:color w:val="000000" w:themeColor="text1"/>
          <w:lang w:val="en-US"/>
        </w:rPr>
        <w:t xml:space="preserve">his policy retains the order-up-to structure but replaces the rolling-window mean with a forecast-informed mean. Let </w:t>
      </w:r>
      <m:oMath>
        <m:r>
          <m:rPr>
            <m:lit/>
          </m:rPr>
          <w:rPr>
            <w:rFonts w:ascii="Cambria Math" w:hAnsi="Cambria Math"/>
            <w:color w:val="000000" w:themeColor="text1"/>
            <w:lang w:val="en-US"/>
          </w:rPr>
          <m:t>(</m:t>
        </m:r>
        <m:acc>
          <m:accPr>
            <m:ctrlPr>
              <w:rPr>
                <w:rFonts w:ascii="Cambria Math" w:hAnsi="Cambria Math"/>
                <w:color w:val="000000" w:themeColor="text1"/>
                <w:lang w:val="en-US"/>
              </w:rPr>
            </m:ctrlPr>
          </m:accPr>
          <m:e>
            <m:sSub>
              <m:sSubPr>
                <m:ctrlPr>
                  <w:rPr>
                    <w:rFonts w:ascii="Cambria Math" w:hAnsi="Cambria Math"/>
                    <w:i/>
                    <w:color w:val="000000" w:themeColor="text1"/>
                    <w:lang w:val="en-US"/>
                  </w:rPr>
                </m:ctrlPr>
              </m:sSubPr>
              <m:e>
                <m:r>
                  <w:rPr>
                    <w:rFonts w:ascii="Cambria Math" w:hAnsi="Cambria Math"/>
                    <w:color w:val="000000" w:themeColor="text1"/>
                    <w:lang w:val="en-US"/>
                  </w:rPr>
                  <m:t>d</m:t>
                </m:r>
                <m:ctrlPr>
                  <w:rPr>
                    <w:rFonts w:ascii="Cambria Math" w:hAnsi="Cambria Math"/>
                    <w:color w:val="000000" w:themeColor="text1"/>
                    <w:lang w:val="en-US"/>
                  </w:rPr>
                </m:ctrlPr>
              </m:e>
              <m:sub>
                <m:r>
                  <w:rPr>
                    <w:rFonts w:ascii="Cambria Math" w:hAnsi="Cambria Math"/>
                    <w:color w:val="000000" w:themeColor="text1"/>
                    <w:lang w:val="en-US"/>
                  </w:rPr>
                  <m:t>t+1</m:t>
                </m:r>
                <m:r>
                  <m:rPr>
                    <m:sty m:val="p"/>
                  </m:rPr>
                  <w:rPr>
                    <w:rFonts w:ascii="Cambria Math" w:hAnsi="Cambria Math"/>
                    <w:color w:val="000000" w:themeColor="text1"/>
                    <w:lang w:val="en-US"/>
                  </w:rPr>
                  <m:t>∣</m:t>
                </m:r>
                <m:r>
                  <w:rPr>
                    <w:rFonts w:ascii="Cambria Math" w:hAnsi="Cambria Math"/>
                    <w:color w:val="000000" w:themeColor="text1"/>
                    <w:lang w:val="en-US"/>
                  </w:rPr>
                  <m:t>t</m:t>
                </m:r>
                <m:r>
                  <m:rPr>
                    <m:lit/>
                  </m:rPr>
                  <w:rPr>
                    <w:rFonts w:ascii="Cambria Math" w:hAnsi="Cambria Math"/>
                    <w:color w:val="000000" w:themeColor="text1"/>
                    <w:lang w:val="en-US"/>
                  </w:rPr>
                  <m:t>)</m:t>
                </m:r>
              </m:sub>
            </m:sSub>
          </m:e>
        </m:acc>
      </m:oMath>
      <w:r w:rsidR="009C524D" w:rsidRPr="00D71174">
        <w:rPr>
          <w:color w:val="000000" w:themeColor="text1"/>
          <w:lang w:val="en-US"/>
        </w:rPr>
        <w:t xml:space="preserve"> denote the one-step-ahead point forecast. The policy s</w:t>
      </w:r>
      <w:r w:rsidRPr="00D71174">
        <w:rPr>
          <w:color w:val="000000" w:themeColor="text1"/>
          <w:lang w:val="en-US"/>
        </w:rPr>
        <w:t xml:space="preserve">ets </w:t>
      </w:r>
      <m:oMath>
        <m:r>
          <w:rPr>
            <w:rFonts w:ascii="Cambria Math" w:hAnsi="Cambria Math"/>
            <w:color w:val="000000" w:themeColor="text1"/>
            <w:lang w:val="en-US"/>
          </w:rPr>
          <m:t>OU</m:t>
        </m:r>
        <m:sSubSup>
          <m:sSubSupPr>
            <m:ctrlPr>
              <w:rPr>
                <w:rFonts w:ascii="Cambria Math" w:hAnsi="Cambria Math"/>
                <w:i/>
                <w:color w:val="000000" w:themeColor="text1"/>
                <w:lang w:val="en-US"/>
              </w:rPr>
            </m:ctrlPr>
          </m:sSubSupPr>
          <m:e>
            <m:r>
              <w:rPr>
                <w:rFonts w:ascii="Cambria Math" w:hAnsi="Cambria Math"/>
                <w:color w:val="000000" w:themeColor="text1"/>
                <w:lang w:val="en-US"/>
              </w:rPr>
              <m:t>T</m:t>
            </m:r>
          </m:e>
          <m:sub>
            <m:r>
              <w:rPr>
                <w:rFonts w:ascii="Cambria Math" w:hAnsi="Cambria Math"/>
                <w:color w:val="000000" w:themeColor="text1"/>
                <w:lang w:val="en-US"/>
              </w:rPr>
              <m:t>t</m:t>
            </m:r>
          </m:sub>
          <m:sup>
            <m:r>
              <w:rPr>
                <w:rFonts w:ascii="Cambria Math" w:hAnsi="Cambria Math"/>
                <w:color w:val="000000" w:themeColor="text1"/>
                <w:lang w:val="en-US"/>
              </w:rPr>
              <m:t>DF</m:t>
            </m:r>
          </m:sup>
        </m:sSubSup>
        <m:r>
          <w:rPr>
            <w:rFonts w:ascii="Cambria Math" w:hAnsi="Cambria Math"/>
            <w:color w:val="000000" w:themeColor="text1"/>
            <w:lang w:val="en-US"/>
          </w:rPr>
          <m:t>=</m:t>
        </m:r>
        <m:acc>
          <m:accPr>
            <m:ctrlPr>
              <w:rPr>
                <w:rFonts w:ascii="Cambria Math" w:hAnsi="Cambria Math"/>
                <w:color w:val="000000" w:themeColor="text1"/>
                <w:lang w:val="en-US"/>
              </w:rPr>
            </m:ctrlPr>
          </m:accPr>
          <m:e>
            <m:sSub>
              <m:sSubPr>
                <m:ctrlPr>
                  <w:rPr>
                    <w:rFonts w:ascii="Cambria Math" w:hAnsi="Cambria Math"/>
                    <w:i/>
                    <w:color w:val="000000" w:themeColor="text1"/>
                    <w:lang w:val="en-US"/>
                  </w:rPr>
                </m:ctrlPr>
              </m:sSubPr>
              <m:e>
                <m:r>
                  <w:rPr>
                    <w:rFonts w:ascii="Cambria Math" w:hAnsi="Cambria Math"/>
                    <w:color w:val="000000" w:themeColor="text1"/>
                    <w:lang w:val="en-US"/>
                  </w:rPr>
                  <m:t>d</m:t>
                </m:r>
                <m:ctrlPr>
                  <w:rPr>
                    <w:rFonts w:ascii="Cambria Math" w:hAnsi="Cambria Math"/>
                    <w:color w:val="000000" w:themeColor="text1"/>
                    <w:lang w:val="en-US"/>
                  </w:rPr>
                </m:ctrlPr>
              </m:e>
              <m:sub>
                <m:r>
                  <w:rPr>
                    <w:rFonts w:ascii="Cambria Math" w:hAnsi="Cambria Math"/>
                    <w:color w:val="000000" w:themeColor="text1"/>
                    <w:lang w:val="en-US"/>
                  </w:rPr>
                  <m:t>t+1</m:t>
                </m:r>
                <m:r>
                  <m:rPr>
                    <m:sty m:val="p"/>
                  </m:rPr>
                  <w:rPr>
                    <w:rFonts w:ascii="Cambria Math" w:hAnsi="Cambria Math"/>
                    <w:color w:val="000000" w:themeColor="text1"/>
                    <w:lang w:val="en-US"/>
                  </w:rPr>
                  <m:t>∣</m:t>
                </m:r>
                <m:r>
                  <w:rPr>
                    <w:rFonts w:ascii="Cambria Math" w:hAnsi="Cambria Math"/>
                    <w:color w:val="000000" w:themeColor="text1"/>
                    <w:lang w:val="en-US"/>
                  </w:rPr>
                  <m:t>t</m:t>
                </m:r>
                <m:d>
                  <m:dPr>
                    <m:ctrlPr>
                      <w:rPr>
                        <w:rFonts w:ascii="Cambria Math" w:hAnsi="Cambria Math"/>
                        <w:i/>
                        <w:color w:val="000000" w:themeColor="text1"/>
                        <w:lang w:val="en-US"/>
                      </w:rPr>
                    </m:ctrlPr>
                  </m:dPr>
                  <m:e>
                    <m:r>
                      <w:rPr>
                        <w:rFonts w:ascii="Cambria Math" w:hAnsi="Cambria Math"/>
                        <w:color w:val="000000" w:themeColor="text1"/>
                        <w:lang w:val="en-US"/>
                      </w:rPr>
                      <m:t>L+R</m:t>
                    </m:r>
                  </m:e>
                </m:d>
                <m:r>
                  <w:rPr>
                    <w:rFonts w:ascii="Cambria Math" w:hAnsi="Cambria Math"/>
                    <w:color w:val="000000" w:themeColor="text1"/>
                    <w:lang w:val="en-US"/>
                  </w:rPr>
                  <m:t>+z</m:t>
                </m:r>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σ</m:t>
                    </m:r>
                  </m:e>
                  <m:sub>
                    <m:r>
                      <w:rPr>
                        <w:rFonts w:ascii="Cambria Math" w:hAnsi="Cambria Math"/>
                        <w:color w:val="000000" w:themeColor="text1"/>
                        <w:lang w:val="en-US"/>
                      </w:rPr>
                      <m:t>t,w</m:t>
                    </m:r>
                    <m:rad>
                      <m:radPr>
                        <m:degHide m:val="1"/>
                        <m:ctrlPr>
                          <w:rPr>
                            <w:rFonts w:ascii="Cambria Math" w:hAnsi="Cambria Math"/>
                            <w:color w:val="000000" w:themeColor="text1"/>
                            <w:lang w:val="en-US"/>
                          </w:rPr>
                        </m:ctrlPr>
                      </m:radPr>
                      <m:deg>
                        <m:ctrlPr>
                          <w:rPr>
                            <w:rFonts w:ascii="Cambria Math" w:hAnsi="Cambria Math"/>
                            <w:i/>
                            <w:color w:val="000000" w:themeColor="text1"/>
                            <w:lang w:val="en-US"/>
                          </w:rPr>
                        </m:ctrlPr>
                      </m:deg>
                      <m:e>
                        <m:r>
                          <w:rPr>
                            <w:rFonts w:ascii="Cambria Math" w:hAnsi="Cambria Math"/>
                            <w:color w:val="000000" w:themeColor="text1"/>
                            <w:lang w:val="en-US"/>
                          </w:rPr>
                          <m:t>L+R</m:t>
                        </m:r>
                      </m:e>
                    </m:rad>
                  </m:sub>
                </m:sSub>
              </m:sub>
            </m:sSub>
          </m:e>
        </m:acc>
      </m:oMath>
      <w:r w:rsidRPr="00D71174">
        <w:rPr>
          <w:color w:val="000000" w:themeColor="text1"/>
          <w:lang w:val="en-US"/>
        </w:rPr>
        <w:t xml:space="preserve">, using the same rolling </w:t>
      </w:r>
      <m:oMath>
        <m:r>
          <m:rPr>
            <m:lit/>
          </m:rPr>
          <w:rPr>
            <w:rFonts w:ascii="Cambria Math" w:hAnsi="Cambria Math"/>
            <w:color w:val="000000" w:themeColor="text1"/>
            <w:lang w:val="en-US"/>
          </w:rPr>
          <m:t>(</m:t>
        </m:r>
        <m:sSub>
          <m:sSubPr>
            <m:ctrlPr>
              <w:rPr>
                <w:rFonts w:ascii="Cambria Math" w:hAnsi="Cambria Math"/>
                <w:i/>
                <w:color w:val="000000" w:themeColor="text1"/>
              </w:rPr>
            </m:ctrlPr>
          </m:sSubPr>
          <m:e>
            <m:r>
              <m:rPr>
                <m:sty m:val="p"/>
              </m:rPr>
              <w:rPr>
                <w:rFonts w:ascii="Cambria Math" w:hAnsi="Cambria Math"/>
                <w:color w:val="000000" w:themeColor="text1"/>
              </w:rPr>
              <m:t>σ</m:t>
            </m:r>
            <m:ctrlPr>
              <w:rPr>
                <w:rFonts w:ascii="Cambria Math" w:hAnsi="Cambria Math"/>
                <w:color w:val="000000" w:themeColor="text1"/>
              </w:rPr>
            </m:ctrlPr>
          </m:e>
          <m:sub>
            <m:r>
              <w:rPr>
                <w:rFonts w:ascii="Cambria Math" w:hAnsi="Cambria Math"/>
                <w:color w:val="000000" w:themeColor="text1"/>
              </w:rPr>
              <m:t>t</m:t>
            </m:r>
            <m:r>
              <w:rPr>
                <w:rFonts w:ascii="Cambria Math" w:hAnsi="Cambria Math"/>
                <w:color w:val="000000" w:themeColor="text1"/>
                <w:lang w:val="en-US"/>
              </w:rPr>
              <m:t>,</m:t>
            </m:r>
            <m:r>
              <w:rPr>
                <w:rFonts w:ascii="Cambria Math" w:hAnsi="Cambria Math"/>
                <w:color w:val="000000" w:themeColor="text1"/>
              </w:rPr>
              <m:t>w</m:t>
            </m:r>
          </m:sub>
        </m:sSub>
        <m:r>
          <m:rPr>
            <m:lit/>
          </m:rPr>
          <w:rPr>
            <w:rFonts w:ascii="Cambria Math" w:hAnsi="Cambria Math"/>
            <w:color w:val="000000" w:themeColor="text1"/>
            <w:lang w:val="en-US"/>
          </w:rPr>
          <m:t>)</m:t>
        </m:r>
      </m:oMath>
      <w:r w:rsidRPr="00D71174">
        <w:rPr>
          <w:color w:val="000000" w:themeColor="text1"/>
          <w:lang w:val="en-US"/>
        </w:rPr>
        <w:t xml:space="preserve"> as </w:t>
      </w:r>
      <w:r w:rsidR="009C524D" w:rsidRPr="00D71174">
        <w:rPr>
          <w:color w:val="000000" w:themeColor="text1"/>
          <w:lang w:val="en-US"/>
        </w:rPr>
        <w:t>the Dynamic policy</w:t>
      </w:r>
      <w:r w:rsidRPr="00D71174">
        <w:rPr>
          <w:color w:val="000000" w:themeColor="text1"/>
          <w:lang w:val="en-US"/>
        </w:rPr>
        <w:t xml:space="preserve">. </w:t>
      </w:r>
      <w:r w:rsidR="009C524D" w:rsidRPr="00D71174">
        <w:rPr>
          <w:color w:val="000000" w:themeColor="text1"/>
          <w:lang w:val="en-US"/>
        </w:rPr>
        <w:t>It, therefore, isolates the value of forecast access within an otherwise classical control rule.</w:t>
      </w:r>
    </w:p>
    <w:p w14:paraId="741E7C12" w14:textId="564C9DC4" w:rsidR="005A595E" w:rsidRPr="00D71174" w:rsidRDefault="00000000" w:rsidP="00BC4C18">
      <w:pPr>
        <w:pStyle w:val="text-base"/>
        <w:spacing w:before="0" w:after="0" w:afterAutospacing="0"/>
        <w:jc w:val="both"/>
        <w:rPr>
          <w:color w:val="000000" w:themeColor="text1"/>
          <w:lang w:val="en-US"/>
        </w:rPr>
      </w:pPr>
      <w:r w:rsidRPr="00D71174">
        <w:rPr>
          <w:b/>
          <w:bCs/>
          <w:color w:val="000000" w:themeColor="text1"/>
          <w:lang w:val="en-US"/>
        </w:rPr>
        <w:t>Execution mapping for order-up-to policies</w:t>
      </w:r>
      <w:r w:rsidR="00A763B0" w:rsidRPr="00D71174">
        <w:rPr>
          <w:color w:val="000000" w:themeColor="text1"/>
          <w:lang w:val="en-US"/>
        </w:rPr>
        <w:t xml:space="preserve">: </w:t>
      </w:r>
      <w:r w:rsidRPr="00D71174">
        <w:rPr>
          <w:color w:val="000000" w:themeColor="text1"/>
          <w:lang w:val="en-US"/>
        </w:rPr>
        <w:t xml:space="preserve">For Static, Dynamic, and Dynamic + Forecast, the simulator maps the target </w:t>
      </w:r>
      <m:oMath>
        <m:r>
          <m:rPr>
            <m:lit/>
          </m:rPr>
          <w:rPr>
            <w:rFonts w:ascii="Cambria Math" w:hAnsi="Cambria Math"/>
            <w:color w:val="000000" w:themeColor="text1"/>
            <w:lang w:val="en-US"/>
          </w:rPr>
          <m:t>(</m:t>
        </m:r>
        <m:r>
          <w:rPr>
            <w:rFonts w:ascii="Cambria Math" w:hAnsi="Cambria Math"/>
            <w:color w:val="000000" w:themeColor="text1"/>
            <w:lang w:val="en-US"/>
          </w:rPr>
          <m:t>OU</m:t>
        </m:r>
        <m:sSub>
          <m:sSubPr>
            <m:ctrlPr>
              <w:rPr>
                <w:rFonts w:ascii="Cambria Math" w:hAnsi="Cambria Math"/>
                <w:i/>
                <w:color w:val="000000" w:themeColor="text1"/>
                <w:lang w:val="en-US"/>
              </w:rPr>
            </m:ctrlPr>
          </m:sSubPr>
          <m:e>
            <m:r>
              <w:rPr>
                <w:rFonts w:ascii="Cambria Math" w:hAnsi="Cambria Math"/>
                <w:color w:val="000000" w:themeColor="text1"/>
                <w:lang w:val="en-US"/>
              </w:rPr>
              <m:t>T</m:t>
            </m:r>
          </m:e>
          <m:sub>
            <m:r>
              <w:rPr>
                <w:rFonts w:ascii="Cambria Math" w:hAnsi="Cambria Math"/>
                <w:color w:val="000000" w:themeColor="text1"/>
                <w:lang w:val="en-US"/>
              </w:rPr>
              <m:t>t</m:t>
            </m:r>
          </m:sub>
        </m:sSub>
        <m:r>
          <m:rPr>
            <m:lit/>
          </m:rPr>
          <w:rPr>
            <w:rFonts w:ascii="Cambria Math" w:hAnsi="Cambria Math"/>
            <w:color w:val="000000" w:themeColor="text1"/>
            <w:lang w:val="en-US"/>
          </w:rPr>
          <m:t>)</m:t>
        </m:r>
      </m:oMath>
      <w:r w:rsidR="00DE2A2E" w:rsidRPr="00D71174">
        <w:rPr>
          <w:color w:val="000000" w:themeColor="text1"/>
          <w:lang w:val="en-US"/>
        </w:rPr>
        <w:t xml:space="preserve"> in</w:t>
      </w:r>
      <w:r w:rsidRPr="00D71174">
        <w:rPr>
          <w:color w:val="000000" w:themeColor="text1"/>
          <w:lang w:val="en-US"/>
        </w:rPr>
        <w:t>to an executed order via</w:t>
      </w:r>
      <w:r w:rsidR="005A595E" w:rsidRPr="00D71174">
        <w:rPr>
          <w:color w:val="000000" w:themeColor="text1"/>
          <w:lang w:val="en-US"/>
        </w:rPr>
        <w:t xml:space="preserve"> </w:t>
      </w:r>
      <m:oMath>
        <m:sSub>
          <m:sSubPr>
            <m:ctrlPr>
              <w:rPr>
                <w:rFonts w:ascii="Cambria Math" w:hAnsi="Cambria Math"/>
                <w:i/>
                <w:color w:val="000000" w:themeColor="text1"/>
                <w:lang w:val="en-US"/>
              </w:rPr>
            </m:ctrlPr>
          </m:sSubPr>
          <m:e>
            <m:r>
              <w:rPr>
                <w:rFonts w:ascii="Cambria Math" w:hAnsi="Cambria Math"/>
                <w:color w:val="000000" w:themeColor="text1"/>
                <w:lang w:val="en-US"/>
              </w:rPr>
              <m:t>q</m:t>
            </m:r>
          </m:e>
          <m:sub>
            <m:r>
              <w:rPr>
                <w:rFonts w:ascii="Cambria Math" w:hAnsi="Cambria Math"/>
                <w:color w:val="000000" w:themeColor="text1"/>
                <w:lang w:val="en-US"/>
              </w:rPr>
              <m:t>t</m:t>
            </m:r>
          </m:sub>
        </m:sSub>
        <m:r>
          <w:rPr>
            <w:rFonts w:ascii="Cambria Math" w:hAnsi="Cambria Math"/>
            <w:color w:val="000000" w:themeColor="text1"/>
            <w:lang w:val="en-US"/>
          </w:rPr>
          <m:t>=</m:t>
        </m:r>
        <m:func>
          <m:funcPr>
            <m:ctrlPr>
              <w:rPr>
                <w:rFonts w:ascii="Cambria Math" w:hAnsi="Cambria Math"/>
                <w:color w:val="000000" w:themeColor="text1"/>
                <w:lang w:val="en-US"/>
              </w:rPr>
            </m:ctrlPr>
          </m:funcPr>
          <m:fName>
            <m:r>
              <m:rPr>
                <m:sty m:val="p"/>
              </m:rPr>
              <w:rPr>
                <w:rFonts w:ascii="Cambria Math" w:hAnsi="Cambria Math"/>
                <w:color w:val="000000" w:themeColor="text1"/>
                <w:lang w:val="en-US"/>
              </w:rPr>
              <m:t>max</m:t>
            </m:r>
            <m:ctrlPr>
              <w:rPr>
                <w:rFonts w:ascii="Cambria Math" w:hAnsi="Cambria Math"/>
                <w:i/>
                <w:color w:val="000000" w:themeColor="text1"/>
                <w:lang w:val="en-US"/>
              </w:rPr>
            </m:ctrlPr>
          </m:fName>
          <m:e>
            <m:d>
              <m:dPr>
                <m:ctrlPr>
                  <w:rPr>
                    <w:rFonts w:ascii="Cambria Math" w:hAnsi="Cambria Math"/>
                    <w:i/>
                    <w:color w:val="000000" w:themeColor="text1"/>
                    <w:lang w:val="en-US"/>
                  </w:rPr>
                </m:ctrlPr>
              </m:dPr>
              <m:e>
                <m:r>
                  <w:rPr>
                    <w:rFonts w:ascii="Cambria Math" w:hAnsi="Cambria Math"/>
                    <w:color w:val="000000" w:themeColor="text1"/>
                    <w:lang w:val="en-US"/>
                  </w:rPr>
                  <m:t>0,OU</m:t>
                </m:r>
                <m:sSub>
                  <m:sSubPr>
                    <m:ctrlPr>
                      <w:rPr>
                        <w:rFonts w:ascii="Cambria Math" w:hAnsi="Cambria Math"/>
                        <w:i/>
                        <w:color w:val="000000" w:themeColor="text1"/>
                        <w:lang w:val="en-US"/>
                      </w:rPr>
                    </m:ctrlPr>
                  </m:sSubPr>
                  <m:e>
                    <m:r>
                      <w:rPr>
                        <w:rFonts w:ascii="Cambria Math" w:hAnsi="Cambria Math"/>
                        <w:color w:val="000000" w:themeColor="text1"/>
                        <w:lang w:val="en-US"/>
                      </w:rPr>
                      <m:t>T</m:t>
                    </m:r>
                  </m:e>
                  <m:sub>
                    <m:r>
                      <w:rPr>
                        <w:rFonts w:ascii="Cambria Math" w:hAnsi="Cambria Math"/>
                        <w:color w:val="000000" w:themeColor="text1"/>
                        <w:lang w:val="en-US"/>
                      </w:rPr>
                      <m:t>t</m:t>
                    </m:r>
                  </m:sub>
                </m:sSub>
                <m:r>
                  <w:rPr>
                    <w:rFonts w:ascii="Cambria Math" w:hAnsi="Cambria Math"/>
                    <w:color w:val="000000" w:themeColor="text1"/>
                    <w:lang w:val="en-US"/>
                  </w:rPr>
                  <m:t>-I</m:t>
                </m:r>
                <m:sSub>
                  <m:sSubPr>
                    <m:ctrlPr>
                      <w:rPr>
                        <w:rFonts w:ascii="Cambria Math" w:hAnsi="Cambria Math"/>
                        <w:i/>
                        <w:color w:val="000000" w:themeColor="text1"/>
                        <w:lang w:val="en-US"/>
                      </w:rPr>
                    </m:ctrlPr>
                  </m:sSubPr>
                  <m:e>
                    <m:r>
                      <w:rPr>
                        <w:rFonts w:ascii="Cambria Math" w:hAnsi="Cambria Math"/>
                        <w:color w:val="000000" w:themeColor="text1"/>
                        <w:lang w:val="en-US"/>
                      </w:rPr>
                      <m:t>P</m:t>
                    </m:r>
                  </m:e>
                  <m:sub>
                    <m:r>
                      <w:rPr>
                        <w:rFonts w:ascii="Cambria Math" w:hAnsi="Cambria Math"/>
                        <w:color w:val="000000" w:themeColor="text1"/>
                        <w:lang w:val="en-US"/>
                      </w:rPr>
                      <m:t>t</m:t>
                    </m:r>
                  </m:sub>
                </m:sSub>
              </m:e>
            </m:d>
          </m:e>
        </m:func>
      </m:oMath>
    </w:p>
    <w:p w14:paraId="5026B9F7" w14:textId="5BEB8246" w:rsidR="003836DD" w:rsidRPr="00D71174" w:rsidRDefault="003836DD" w:rsidP="00BC4C18">
      <w:pPr>
        <w:pStyle w:val="text-base"/>
        <w:spacing w:before="0" w:after="0" w:afterAutospacing="0"/>
        <w:jc w:val="both"/>
        <w:rPr>
          <w:color w:val="000000" w:themeColor="text1"/>
          <w:lang w:val="en-US"/>
        </w:rPr>
      </w:pPr>
      <w:r w:rsidRPr="00D71174">
        <w:rPr>
          <w:b/>
          <w:bCs/>
          <w:color w:val="000000" w:themeColor="text1"/>
          <w:lang w:val="en-US"/>
        </w:rPr>
        <w:t>AI</w:t>
      </w:r>
      <w:r w:rsidRPr="00D71174">
        <w:rPr>
          <w:color w:val="000000" w:themeColor="text1"/>
          <w:lang w:val="en-US"/>
        </w:rPr>
        <w:t xml:space="preserve">: </w:t>
      </w:r>
      <w:r w:rsidR="00487A93" w:rsidRPr="00D71174">
        <w:rPr>
          <w:color w:val="000000" w:themeColor="text1"/>
          <w:lang w:val="en-US"/>
        </w:rPr>
        <w:t>The AI policy is a hybrid architecture that combines ML-based demand prediction, RL-based inventory decisions, and GA-based routing decisions.</w:t>
      </w:r>
    </w:p>
    <w:p w14:paraId="78B91D6E" w14:textId="712A8B3B" w:rsidR="003836DD" w:rsidRPr="00D71174" w:rsidRDefault="003836DD" w:rsidP="00BC4C18">
      <w:pPr>
        <w:pStyle w:val="text-base"/>
        <w:spacing w:before="0" w:after="0" w:afterAutospacing="0"/>
        <w:jc w:val="both"/>
        <w:rPr>
          <w:color w:val="000000" w:themeColor="text1"/>
          <w:lang w:val="en-US"/>
        </w:rPr>
      </w:pPr>
      <w:r w:rsidRPr="00D71174">
        <w:rPr>
          <w:b/>
          <w:bCs/>
          <w:color w:val="000000" w:themeColor="text1"/>
          <w:lang w:val="en-US"/>
        </w:rPr>
        <w:t>Base-stock (Perfect information)</w:t>
      </w:r>
      <w:r w:rsidRPr="00D71174">
        <w:rPr>
          <w:color w:val="000000" w:themeColor="text1"/>
          <w:lang w:val="en-US"/>
        </w:rPr>
        <w:t xml:space="preserve">: </w:t>
      </w:r>
      <w:r w:rsidR="00487A93" w:rsidRPr="00D71174">
        <w:rPr>
          <w:color w:val="000000" w:themeColor="text1"/>
          <w:lang w:val="en-US"/>
        </w:rPr>
        <w:t>This policy serves as a theoretical ceiling under perfect demand information and is included for reference only.</w:t>
      </w:r>
    </w:p>
    <w:p w14:paraId="70AB09F5" w14:textId="57CB535A" w:rsidR="00982799" w:rsidRPr="00D71174" w:rsidRDefault="00487A93" w:rsidP="00BC4C18">
      <w:pPr>
        <w:pStyle w:val="text-base"/>
        <w:spacing w:before="0" w:after="0" w:afterAutospacing="0"/>
        <w:jc w:val="both"/>
        <w:rPr>
          <w:color w:val="000000" w:themeColor="text1"/>
          <w:lang w:val="en-US"/>
        </w:rPr>
      </w:pPr>
      <w:r w:rsidRPr="00D71174">
        <w:rPr>
          <w:color w:val="000000" w:themeColor="text1"/>
          <w:lang w:val="en-US"/>
        </w:rPr>
        <w:t xml:space="preserve">We report two base-stock variants. Base-stock (Uncertain) incorporates both the forecaster </w:t>
      </w:r>
      <w:proofErr w:type="gramStart"/>
      <w:r w:rsidRPr="00D71174">
        <w:rPr>
          <w:color w:val="000000" w:themeColor="text1"/>
          <w:lang w:val="en-US"/>
        </w:rPr>
        <w:t>mean</w:t>
      </w:r>
      <w:proofErr w:type="gramEnd"/>
      <w:r w:rsidRPr="00D71174">
        <w:rPr>
          <w:color w:val="000000" w:themeColor="text1"/>
          <w:lang w:val="en-US"/>
        </w:rPr>
        <w:t xml:space="preserve"> and an uncertainty estimate, whereas Base-stock (Deterministic) uses the forecaster mean only (Appendix E.9). Base-stock (Uncertain), that is, the forecast-informed variant with uncertainty, uses the forecaster point prediction</w:t>
      </w:r>
      <w:r w:rsidR="0045656A" w:rsidRPr="00D71174">
        <w:rPr>
          <w:color w:val="000000" w:themeColor="text1"/>
          <w:lang w:val="en-US"/>
        </w:rPr>
        <w:t>.</w:t>
      </w:r>
      <w:r w:rsidR="006A7C45" w:rsidRPr="00D71174">
        <w:rPr>
          <w:color w:val="000000" w:themeColor="text1"/>
          <w:lang w:val="en-US"/>
        </w:rPr>
        <w:t xml:space="preserve"> </w:t>
      </w:r>
      <m:oMath>
        <m:d>
          <m:dPr>
            <m:ctrlPr>
              <w:rPr>
                <w:rFonts w:ascii="Cambria Math" w:hAnsi="Cambria Math"/>
                <w:color w:val="000000" w:themeColor="text1"/>
              </w:rPr>
            </m:ctrlPr>
          </m:dPr>
          <m:e>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D</m:t>
                    </m:r>
                  </m:e>
                </m:acc>
              </m:e>
              <m:sub>
                <m:r>
                  <w:rPr>
                    <w:rFonts w:ascii="Cambria Math" w:hAnsi="Cambria Math"/>
                    <w:color w:val="000000" w:themeColor="text1"/>
                  </w:rPr>
                  <m:t>t</m:t>
                </m:r>
                <m:r>
                  <w:rPr>
                    <w:rFonts w:ascii="Cambria Math" w:hAnsi="Cambria Math"/>
                    <w:color w:val="000000" w:themeColor="text1"/>
                    <w:lang w:val="en-US"/>
                  </w:rPr>
                  <m:t>+</m:t>
                </m:r>
                <m:r>
                  <w:rPr>
                    <w:rFonts w:ascii="Cambria Math" w:hAnsi="Cambria Math"/>
                    <w:color w:val="000000" w:themeColor="text1"/>
                  </w:rPr>
                  <m:t>k</m:t>
                </m:r>
                <m:r>
                  <w:rPr>
                    <w:rFonts w:ascii="Cambria Math" w:hAnsi="Cambria Math"/>
                    <w:color w:val="000000" w:themeColor="text1"/>
                    <w:lang w:val="en-US"/>
                  </w:rPr>
                  <m:t>∣</m:t>
                </m:r>
                <m:r>
                  <w:rPr>
                    <w:rFonts w:ascii="Cambria Math" w:hAnsi="Cambria Math"/>
                    <w:color w:val="000000" w:themeColor="text1"/>
                  </w:rPr>
                  <m:t>t</m:t>
                </m:r>
              </m:sub>
            </m:sSub>
          </m:e>
        </m:d>
      </m:oMath>
      <w:r w:rsidRPr="00D71174">
        <w:rPr>
          <w:color w:val="000000" w:themeColor="text1"/>
          <w:lang w:val="en-US"/>
        </w:rPr>
        <w:t xml:space="preserve"> and uncertainty estimate</w:t>
      </w:r>
      <w:r w:rsidR="006A7C45" w:rsidRPr="00D71174">
        <w:rPr>
          <w:color w:val="000000" w:themeColor="text1"/>
          <w:lang w:val="en-US"/>
        </w:rPr>
        <w:t xml:space="preserve"> </w:t>
      </w:r>
      <m:oMath>
        <m:d>
          <m:dPr>
            <m:ctrlPr>
              <w:rPr>
                <w:rFonts w:ascii="Cambria Math" w:hAnsi="Cambria Math"/>
                <w:color w:val="000000" w:themeColor="text1"/>
              </w:rPr>
            </m:ctrlPr>
          </m:dPr>
          <m:e>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σ</m:t>
                    </m:r>
                  </m:e>
                </m:acc>
              </m:e>
              <m:sub>
                <m:r>
                  <w:rPr>
                    <w:rFonts w:ascii="Cambria Math" w:hAnsi="Cambria Math"/>
                    <w:color w:val="000000" w:themeColor="text1"/>
                  </w:rPr>
                  <m:t>t</m:t>
                </m:r>
                <m:r>
                  <w:rPr>
                    <w:rFonts w:ascii="Cambria Math" w:hAnsi="Cambria Math"/>
                    <w:color w:val="000000" w:themeColor="text1"/>
                    <w:lang w:val="en-US"/>
                  </w:rPr>
                  <m:t>+</m:t>
                </m:r>
                <m:r>
                  <w:rPr>
                    <w:rFonts w:ascii="Cambria Math" w:hAnsi="Cambria Math"/>
                    <w:color w:val="000000" w:themeColor="text1"/>
                  </w:rPr>
                  <m:t>k</m:t>
                </m:r>
                <m:r>
                  <w:rPr>
                    <w:rFonts w:ascii="Cambria Math" w:hAnsi="Cambria Math"/>
                    <w:color w:val="000000" w:themeColor="text1"/>
                    <w:lang w:val="en-US"/>
                  </w:rPr>
                  <m:t>∣</m:t>
                </m:r>
                <m:r>
                  <w:rPr>
                    <w:rFonts w:ascii="Cambria Math" w:hAnsi="Cambria Math"/>
                    <w:color w:val="000000" w:themeColor="text1"/>
                  </w:rPr>
                  <m:t>t</m:t>
                </m:r>
              </m:sub>
            </m:sSub>
          </m:e>
        </m:d>
        <m:r>
          <w:rPr>
            <w:rFonts w:ascii="Cambria Math" w:hAnsi="Cambria Math"/>
            <w:color w:val="000000" w:themeColor="text1"/>
            <w:lang w:val="en-US"/>
          </w:rPr>
          <m:t xml:space="preserve"> t</m:t>
        </m:r>
      </m:oMath>
      <w:r w:rsidRPr="00D71174">
        <w:rPr>
          <w:color w:val="000000" w:themeColor="text1"/>
          <w:lang w:val="en-US"/>
        </w:rPr>
        <w:t xml:space="preserve">o </w:t>
      </w:r>
      <w:proofErr w:type="gramStart"/>
      <w:r w:rsidRPr="00D71174">
        <w:rPr>
          <w:color w:val="000000" w:themeColor="text1"/>
          <w:lang w:val="en-US"/>
        </w:rPr>
        <w:t>construct</w:t>
      </w:r>
      <w:proofErr w:type="gramEnd"/>
      <w:r w:rsidRPr="00D71174">
        <w:rPr>
          <w:color w:val="000000" w:themeColor="text1"/>
          <w:lang w:val="en-US"/>
        </w:rPr>
        <w:t xml:space="preserve"> an order-up-to target that accounts for lead-time risk. Define lead-time demand mean and standard deviation as:</w:t>
      </w:r>
    </w:p>
    <w:p w14:paraId="31EC93E1" w14:textId="1B51BBE1" w:rsidR="005A3B80" w:rsidRPr="00D71174" w:rsidRDefault="00000000" w:rsidP="005A3B80">
      <w:pPr>
        <w:widowControl/>
        <w:autoSpaceDE/>
        <w:autoSpaceDN/>
        <w:rPr>
          <w:rFonts w:ascii="Cambria Math" w:hAnsi="Cambria Math" w:cs="Times New Roman"/>
          <w:color w:val="000000" w:themeColor="text1"/>
          <w:szCs w:val="20"/>
          <w:lang w:val="pt-BR" w:eastAsia="pt-BR"/>
        </w:rPr>
      </w:pPr>
      <m:oMathPara>
        <m:oMath>
          <m:sSubSup>
            <m:sSubSupPr>
              <m:ctrlPr>
                <w:rPr>
                  <w:rFonts w:ascii="Cambria Math" w:hAnsi="Cambria Math" w:cs="Times New Roman"/>
                  <w:color w:val="000000" w:themeColor="text1"/>
                  <w:szCs w:val="20"/>
                  <w:lang w:val="pt-BR" w:eastAsia="pt-BR"/>
                </w:rPr>
              </m:ctrlPr>
            </m:sSubSupPr>
            <m:e>
              <m:acc>
                <m:accPr>
                  <m:ctrlPr>
                    <w:rPr>
                      <w:rFonts w:ascii="Cambria Math" w:hAnsi="Cambria Math" w:cs="Times New Roman"/>
                      <w:color w:val="000000" w:themeColor="text1"/>
                      <w:szCs w:val="20"/>
                      <w:lang w:val="pt-BR" w:eastAsia="pt-BR"/>
                    </w:rPr>
                  </m:ctrlPr>
                </m:accPr>
                <m:e>
                  <m:r>
                    <w:rPr>
                      <w:rFonts w:ascii="Cambria Math" w:hAnsi="Cambria Math" w:cs="Times New Roman"/>
                      <w:color w:val="000000" w:themeColor="text1"/>
                      <w:szCs w:val="20"/>
                      <w:lang w:val="pt-BR" w:eastAsia="pt-BR"/>
                    </w:rPr>
                    <m:t>μ</m:t>
                  </m:r>
                </m:e>
              </m:acc>
            </m:e>
            <m:sub>
              <m:r>
                <w:rPr>
                  <w:rFonts w:ascii="Cambria Math" w:hAnsi="Cambria Math" w:cs="Times New Roman"/>
                  <w:color w:val="000000" w:themeColor="text1"/>
                  <w:szCs w:val="20"/>
                  <w:lang w:val="pt-BR" w:eastAsia="pt-BR"/>
                </w:rPr>
                <m:t>t</m:t>
              </m:r>
            </m:sub>
            <m:sup>
              <m:r>
                <w:rPr>
                  <w:rFonts w:ascii="Cambria Math" w:hAnsi="Cambria Math" w:cs="Times New Roman"/>
                  <w:color w:val="000000" w:themeColor="text1"/>
                  <w:szCs w:val="20"/>
                  <w:lang w:val="pt-BR" w:eastAsia="pt-BR"/>
                </w:rPr>
                <m:t>LT</m:t>
              </m:r>
            </m:sup>
          </m:sSubSup>
          <m:r>
            <w:rPr>
              <w:rFonts w:ascii="Cambria Math" w:hAnsi="Cambria Math" w:cs="Times New Roman"/>
              <w:color w:val="000000" w:themeColor="text1"/>
              <w:szCs w:val="20"/>
              <w:lang w:val="pt-BR" w:eastAsia="pt-BR"/>
            </w:rPr>
            <m:t>=</m:t>
          </m:r>
          <m:nary>
            <m:naryPr>
              <m:chr m:val="∑"/>
              <m:limLoc m:val="undOvr"/>
              <m:grow m:val="1"/>
              <m:ctrlPr>
                <w:rPr>
                  <w:rFonts w:ascii="Cambria Math" w:hAnsi="Cambria Math" w:cs="Times New Roman"/>
                  <w:color w:val="000000" w:themeColor="text1"/>
                  <w:szCs w:val="20"/>
                  <w:lang w:val="pt-BR" w:eastAsia="pt-BR"/>
                </w:rPr>
              </m:ctrlPr>
            </m:naryPr>
            <m:sub>
              <m:r>
                <w:rPr>
                  <w:rFonts w:ascii="Cambria Math" w:hAnsi="Cambria Math" w:cs="Times New Roman"/>
                  <w:color w:val="000000" w:themeColor="text1"/>
                  <w:szCs w:val="20"/>
                  <w:lang w:val="pt-BR" w:eastAsia="pt-BR"/>
                </w:rPr>
                <m:t>k=1</m:t>
              </m:r>
            </m:sub>
            <m:sup>
              <m:r>
                <w:rPr>
                  <w:rFonts w:ascii="Cambria Math" w:hAnsi="Cambria Math" w:cs="Times New Roman"/>
                  <w:color w:val="000000" w:themeColor="text1"/>
                  <w:szCs w:val="20"/>
                  <w:lang w:val="pt-BR" w:eastAsia="pt-BR"/>
                </w:rPr>
                <m:t>L</m:t>
              </m:r>
            </m:sup>
            <m:e>
              <m:sSub>
                <m:sSubPr>
                  <m:ctrlPr>
                    <w:rPr>
                      <w:rFonts w:ascii="Cambria Math" w:hAnsi="Cambria Math" w:cs="Times New Roman"/>
                      <w:color w:val="000000" w:themeColor="text1"/>
                      <w:szCs w:val="20"/>
                      <w:lang w:val="pt-BR" w:eastAsia="pt-BR"/>
                    </w:rPr>
                  </m:ctrlPr>
                </m:sSubPr>
                <m:e>
                  <m:acc>
                    <m:accPr>
                      <m:ctrlPr>
                        <w:rPr>
                          <w:rFonts w:ascii="Cambria Math" w:hAnsi="Cambria Math" w:cs="Times New Roman"/>
                          <w:color w:val="000000" w:themeColor="text1"/>
                          <w:szCs w:val="20"/>
                          <w:lang w:val="pt-BR" w:eastAsia="pt-BR"/>
                        </w:rPr>
                      </m:ctrlPr>
                    </m:accPr>
                    <m:e>
                      <m:r>
                        <w:rPr>
                          <w:rFonts w:ascii="Cambria Math" w:hAnsi="Cambria Math" w:cs="Times New Roman"/>
                          <w:color w:val="000000" w:themeColor="text1"/>
                          <w:szCs w:val="20"/>
                          <w:lang w:val="pt-BR" w:eastAsia="pt-BR"/>
                        </w:rPr>
                        <m:t>D</m:t>
                      </m:r>
                    </m:e>
                  </m:acc>
                </m:e>
                <m:sub>
                  <m:r>
                    <w:rPr>
                      <w:rFonts w:ascii="Cambria Math" w:hAnsi="Cambria Math" w:cs="Times New Roman"/>
                      <w:color w:val="000000" w:themeColor="text1"/>
                      <w:szCs w:val="20"/>
                      <w:lang w:val="pt-BR" w:eastAsia="pt-BR"/>
                    </w:rPr>
                    <m:t>t+k∣t</m:t>
                  </m:r>
                </m:sub>
              </m:sSub>
            </m:e>
          </m:nary>
          <m:r>
            <w:rPr>
              <w:rFonts w:ascii="Cambria Math" w:hAnsi="Cambria Math" w:cs="Times New Roman"/>
              <w:color w:val="000000" w:themeColor="text1"/>
              <w:szCs w:val="20"/>
              <w:lang w:val="pt-BR" w:eastAsia="pt-BR"/>
            </w:rPr>
            <m:t xml:space="preserve">,  </m:t>
          </m:r>
          <m:sSubSup>
            <m:sSubSupPr>
              <m:ctrlPr>
                <w:rPr>
                  <w:rFonts w:ascii="Cambria Math" w:hAnsi="Cambria Math" w:cs="Times New Roman"/>
                  <w:color w:val="000000" w:themeColor="text1"/>
                  <w:szCs w:val="20"/>
                  <w:lang w:val="pt-BR" w:eastAsia="pt-BR"/>
                </w:rPr>
              </m:ctrlPr>
            </m:sSubSupPr>
            <m:e>
              <m:acc>
                <m:accPr>
                  <m:ctrlPr>
                    <w:rPr>
                      <w:rFonts w:ascii="Cambria Math" w:hAnsi="Cambria Math" w:cs="Times New Roman"/>
                      <w:color w:val="000000" w:themeColor="text1"/>
                      <w:szCs w:val="20"/>
                      <w:lang w:val="pt-BR" w:eastAsia="pt-BR"/>
                    </w:rPr>
                  </m:ctrlPr>
                </m:accPr>
                <m:e>
                  <m:r>
                    <w:rPr>
                      <w:rFonts w:ascii="Cambria Math" w:hAnsi="Cambria Math" w:cs="Times New Roman"/>
                      <w:color w:val="000000" w:themeColor="text1"/>
                      <w:szCs w:val="20"/>
                      <w:lang w:val="pt-BR" w:eastAsia="pt-BR"/>
                    </w:rPr>
                    <m:t>σ</m:t>
                  </m:r>
                </m:e>
              </m:acc>
            </m:e>
            <m:sub>
              <m:r>
                <w:rPr>
                  <w:rFonts w:ascii="Cambria Math" w:hAnsi="Cambria Math" w:cs="Times New Roman"/>
                  <w:color w:val="000000" w:themeColor="text1"/>
                  <w:szCs w:val="20"/>
                  <w:lang w:val="pt-BR" w:eastAsia="pt-BR"/>
                </w:rPr>
                <m:t>t</m:t>
              </m:r>
            </m:sub>
            <m:sup>
              <m:r>
                <w:rPr>
                  <w:rFonts w:ascii="Cambria Math" w:hAnsi="Cambria Math" w:cs="Times New Roman"/>
                  <w:color w:val="000000" w:themeColor="text1"/>
                  <w:szCs w:val="20"/>
                  <w:lang w:val="pt-BR" w:eastAsia="pt-BR"/>
                </w:rPr>
                <m:t>LT</m:t>
              </m:r>
            </m:sup>
          </m:sSubSup>
          <m:r>
            <w:rPr>
              <w:rFonts w:ascii="Cambria Math" w:hAnsi="Cambria Math" w:cs="Times New Roman"/>
              <w:color w:val="000000" w:themeColor="text1"/>
              <w:szCs w:val="20"/>
              <w:lang w:val="pt-BR" w:eastAsia="pt-BR"/>
            </w:rPr>
            <m:t>=</m:t>
          </m:r>
          <m:rad>
            <m:radPr>
              <m:degHide m:val="1"/>
              <m:ctrlPr>
                <w:rPr>
                  <w:rFonts w:ascii="Cambria Math" w:hAnsi="Cambria Math" w:cs="Times New Roman"/>
                  <w:color w:val="000000" w:themeColor="text1"/>
                  <w:szCs w:val="20"/>
                  <w:lang w:val="pt-BR" w:eastAsia="pt-BR"/>
                </w:rPr>
              </m:ctrlPr>
            </m:radPr>
            <m:deg/>
            <m:e>
              <m:nary>
                <m:naryPr>
                  <m:chr m:val="∑"/>
                  <m:limLoc m:val="undOvr"/>
                  <m:grow m:val="1"/>
                  <m:ctrlPr>
                    <w:rPr>
                      <w:rFonts w:ascii="Cambria Math" w:hAnsi="Cambria Math" w:cs="Times New Roman"/>
                      <w:color w:val="000000" w:themeColor="text1"/>
                      <w:szCs w:val="20"/>
                      <w:lang w:val="pt-BR" w:eastAsia="pt-BR"/>
                    </w:rPr>
                  </m:ctrlPr>
                </m:naryPr>
                <m:sub>
                  <m:r>
                    <w:rPr>
                      <w:rFonts w:ascii="Cambria Math" w:hAnsi="Cambria Math" w:cs="Times New Roman"/>
                      <w:color w:val="000000" w:themeColor="text1"/>
                      <w:szCs w:val="20"/>
                      <w:lang w:val="pt-BR" w:eastAsia="pt-BR"/>
                    </w:rPr>
                    <m:t>k=1</m:t>
                  </m:r>
                </m:sub>
                <m:sup>
                  <m:r>
                    <w:rPr>
                      <w:rFonts w:ascii="Cambria Math" w:hAnsi="Cambria Math" w:cs="Times New Roman"/>
                      <w:color w:val="000000" w:themeColor="text1"/>
                      <w:szCs w:val="20"/>
                      <w:lang w:val="pt-BR" w:eastAsia="pt-BR"/>
                    </w:rPr>
                    <m:t>L</m:t>
                  </m:r>
                </m:sup>
                <m:e>
                  <m:sSubSup>
                    <m:sSubSupPr>
                      <m:ctrlPr>
                        <w:rPr>
                          <w:rFonts w:ascii="Cambria Math" w:hAnsi="Cambria Math" w:cs="Times New Roman"/>
                          <w:color w:val="000000" w:themeColor="text1"/>
                          <w:szCs w:val="20"/>
                          <w:lang w:val="pt-BR" w:eastAsia="pt-BR"/>
                        </w:rPr>
                      </m:ctrlPr>
                    </m:sSubSupPr>
                    <m:e>
                      <m:acc>
                        <m:accPr>
                          <m:ctrlPr>
                            <w:rPr>
                              <w:rFonts w:ascii="Cambria Math" w:hAnsi="Cambria Math" w:cs="Times New Roman"/>
                              <w:color w:val="000000" w:themeColor="text1"/>
                              <w:szCs w:val="20"/>
                              <w:lang w:val="pt-BR" w:eastAsia="pt-BR"/>
                            </w:rPr>
                          </m:ctrlPr>
                        </m:accPr>
                        <m:e>
                          <m:r>
                            <w:rPr>
                              <w:rFonts w:ascii="Cambria Math" w:hAnsi="Cambria Math" w:cs="Times New Roman"/>
                              <w:color w:val="000000" w:themeColor="text1"/>
                              <w:szCs w:val="20"/>
                              <w:lang w:val="pt-BR" w:eastAsia="pt-BR"/>
                            </w:rPr>
                            <m:t>σ</m:t>
                          </m:r>
                        </m:e>
                      </m:acc>
                    </m:e>
                    <m:sub>
                      <m:r>
                        <w:rPr>
                          <w:rFonts w:ascii="Cambria Math" w:hAnsi="Cambria Math" w:cs="Times New Roman"/>
                          <w:color w:val="000000" w:themeColor="text1"/>
                          <w:szCs w:val="20"/>
                          <w:lang w:val="pt-BR" w:eastAsia="pt-BR"/>
                        </w:rPr>
                        <m:t>t+k∣t</m:t>
                      </m:r>
                    </m:sub>
                    <m:sup>
                      <m:r>
                        <w:rPr>
                          <w:rFonts w:ascii="Cambria Math" w:hAnsi="Cambria Math" w:cs="Times New Roman"/>
                          <w:color w:val="000000" w:themeColor="text1"/>
                          <w:szCs w:val="20"/>
                          <w:lang w:val="pt-BR" w:eastAsia="pt-BR"/>
                        </w:rPr>
                        <m:t>2</m:t>
                      </m:r>
                    </m:sup>
                  </m:sSubSup>
                </m:e>
              </m:nary>
            </m:e>
          </m:rad>
        </m:oMath>
      </m:oMathPara>
    </w:p>
    <w:p w14:paraId="4CDEF5CC" w14:textId="5080EC86" w:rsidR="0047501B" w:rsidRPr="00D71174" w:rsidRDefault="000B5496" w:rsidP="005375AD">
      <w:pPr>
        <w:pStyle w:val="NormalWeb"/>
        <w:jc w:val="both"/>
        <w:rPr>
          <w:color w:val="000000" w:themeColor="text1"/>
          <w:lang w:val="en-US"/>
        </w:rPr>
      </w:pPr>
      <w:r w:rsidRPr="00D71174">
        <w:rPr>
          <w:color w:val="000000" w:themeColor="text1"/>
          <w:sz w:val="20"/>
          <w:szCs w:val="20"/>
          <w:lang w:val="en-US"/>
        </w:rPr>
        <w:t xml:space="preserve">Set </w:t>
      </w:r>
      <m:oMath>
        <m:sSub>
          <m:sSubPr>
            <m:ctrlPr>
              <w:rPr>
                <w:rFonts w:ascii="Cambria Math" w:hAnsi="Cambria Math"/>
                <w:color w:val="000000" w:themeColor="text1"/>
                <w:sz w:val="20"/>
                <w:szCs w:val="20"/>
              </w:rPr>
            </m:ctrlPr>
          </m:sSubPr>
          <m:e>
            <m:acc>
              <m:accPr>
                <m:ctrlPr>
                  <w:rPr>
                    <w:rFonts w:ascii="Cambria Math" w:hAnsi="Cambria Math"/>
                    <w:color w:val="000000" w:themeColor="text1"/>
                    <w:sz w:val="20"/>
                    <w:szCs w:val="20"/>
                  </w:rPr>
                </m:ctrlPr>
              </m:accPr>
              <m:e>
                <m:r>
                  <w:rPr>
                    <w:rFonts w:ascii="Cambria Math" w:hAnsi="Cambria Math"/>
                    <w:color w:val="000000" w:themeColor="text1"/>
                    <w:sz w:val="20"/>
                    <w:szCs w:val="20"/>
                  </w:rPr>
                  <m:t>OUT</m:t>
                </m:r>
              </m:e>
            </m:acc>
          </m:e>
          <m:sub>
            <m:r>
              <w:rPr>
                <w:rFonts w:ascii="Cambria Math" w:hAnsi="Cambria Math"/>
                <w:color w:val="000000" w:themeColor="text1"/>
                <w:sz w:val="20"/>
                <w:szCs w:val="20"/>
              </w:rPr>
              <m:t>t</m:t>
            </m:r>
          </m:sub>
        </m:sSub>
        <m:r>
          <w:rPr>
            <w:rFonts w:ascii="Cambria Math" w:hAnsi="Cambria Math"/>
            <w:color w:val="000000" w:themeColor="text1"/>
            <w:sz w:val="20"/>
            <w:szCs w:val="20"/>
            <w:lang w:val="en-US"/>
          </w:rPr>
          <m:t>=</m:t>
        </m:r>
        <m:sSubSup>
          <m:sSubSupPr>
            <m:ctrlPr>
              <w:rPr>
                <w:rFonts w:ascii="Cambria Math" w:hAnsi="Cambria Math"/>
                <w:color w:val="000000" w:themeColor="text1"/>
                <w:sz w:val="20"/>
                <w:szCs w:val="20"/>
              </w:rPr>
            </m:ctrlPr>
          </m:sSubSupPr>
          <m:e>
            <m:acc>
              <m:accPr>
                <m:ctrlPr>
                  <w:rPr>
                    <w:rFonts w:ascii="Cambria Math" w:hAnsi="Cambria Math"/>
                    <w:color w:val="000000" w:themeColor="text1"/>
                    <w:sz w:val="20"/>
                    <w:szCs w:val="20"/>
                  </w:rPr>
                </m:ctrlPr>
              </m:accPr>
              <m:e>
                <m:r>
                  <w:rPr>
                    <w:rFonts w:ascii="Cambria Math" w:hAnsi="Cambria Math"/>
                    <w:color w:val="000000" w:themeColor="text1"/>
                    <w:sz w:val="20"/>
                    <w:szCs w:val="20"/>
                  </w:rPr>
                  <m:t>μ</m:t>
                </m:r>
              </m:e>
            </m:acc>
          </m:e>
          <m:sub>
            <m:r>
              <w:rPr>
                <w:rFonts w:ascii="Cambria Math" w:hAnsi="Cambria Math"/>
                <w:color w:val="000000" w:themeColor="text1"/>
                <w:sz w:val="20"/>
                <w:szCs w:val="20"/>
              </w:rPr>
              <m:t>t</m:t>
            </m:r>
          </m:sub>
          <m:sup>
            <m:r>
              <w:rPr>
                <w:rFonts w:ascii="Cambria Math" w:hAnsi="Cambria Math"/>
                <w:color w:val="000000" w:themeColor="text1"/>
                <w:sz w:val="20"/>
                <w:szCs w:val="20"/>
              </w:rPr>
              <m:t>LT</m:t>
            </m:r>
          </m:sup>
        </m:sSubSup>
        <m:r>
          <w:rPr>
            <w:rFonts w:ascii="Cambria Math" w:hAnsi="Cambria Math"/>
            <w:color w:val="000000" w:themeColor="text1"/>
            <w:sz w:val="20"/>
            <w:szCs w:val="20"/>
            <w:lang w:val="en-US"/>
          </w:rPr>
          <m:t>+</m:t>
        </m:r>
        <m:r>
          <w:rPr>
            <w:rFonts w:ascii="Cambria Math" w:hAnsi="Cambria Math"/>
            <w:color w:val="000000" w:themeColor="text1"/>
            <w:sz w:val="20"/>
            <w:szCs w:val="20"/>
          </w:rPr>
          <m:t>z</m:t>
        </m:r>
        <m:sSubSup>
          <m:sSubSupPr>
            <m:ctrlPr>
              <w:rPr>
                <w:rFonts w:ascii="Cambria Math" w:hAnsi="Cambria Math"/>
                <w:color w:val="000000" w:themeColor="text1"/>
                <w:sz w:val="20"/>
                <w:szCs w:val="20"/>
              </w:rPr>
            </m:ctrlPr>
          </m:sSubSupPr>
          <m:e>
            <m:acc>
              <m:accPr>
                <m:ctrlPr>
                  <w:rPr>
                    <w:rFonts w:ascii="Cambria Math" w:hAnsi="Cambria Math"/>
                    <w:color w:val="000000" w:themeColor="text1"/>
                    <w:sz w:val="20"/>
                    <w:szCs w:val="20"/>
                  </w:rPr>
                </m:ctrlPr>
              </m:accPr>
              <m:e>
                <m:r>
                  <w:rPr>
                    <w:rFonts w:ascii="Cambria Math" w:hAnsi="Cambria Math"/>
                    <w:color w:val="000000" w:themeColor="text1"/>
                    <w:sz w:val="20"/>
                    <w:szCs w:val="20"/>
                  </w:rPr>
                  <m:t>σ</m:t>
                </m:r>
              </m:e>
            </m:acc>
          </m:e>
          <m:sub>
            <m:r>
              <w:rPr>
                <w:rFonts w:ascii="Cambria Math" w:hAnsi="Cambria Math"/>
                <w:color w:val="000000" w:themeColor="text1"/>
                <w:sz w:val="20"/>
                <w:szCs w:val="20"/>
              </w:rPr>
              <m:t>t</m:t>
            </m:r>
          </m:sub>
          <m:sup>
            <m:r>
              <w:rPr>
                <w:rFonts w:ascii="Cambria Math" w:hAnsi="Cambria Math"/>
                <w:color w:val="000000" w:themeColor="text1"/>
                <w:sz w:val="20"/>
                <w:szCs w:val="20"/>
              </w:rPr>
              <m:t>LT</m:t>
            </m:r>
          </m:sup>
        </m:sSubSup>
      </m:oMath>
      <w:r w:rsidRPr="00D71174">
        <w:rPr>
          <w:color w:val="000000" w:themeColor="text1"/>
          <w:sz w:val="20"/>
          <w:szCs w:val="20"/>
          <w:lang w:val="en-US"/>
        </w:rPr>
        <w:t xml:space="preserve"> and execute</w:t>
      </w:r>
      <m:oMath>
        <m:r>
          <w:rPr>
            <w:rFonts w:ascii="Cambria Math" w:hAnsi="Cambria Math"/>
            <w:color w:val="000000" w:themeColor="text1"/>
            <w:sz w:val="20"/>
            <w:szCs w:val="20"/>
            <w:lang w:val="en-US"/>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w:rPr>
                <w:rFonts w:ascii="Cambria Math" w:hAnsi="Cambria Math"/>
                <w:color w:val="000000" w:themeColor="text1"/>
                <w:sz w:val="20"/>
                <w:szCs w:val="20"/>
              </w:rPr>
              <m:t>t</m:t>
            </m:r>
          </m:sub>
        </m:sSub>
        <m:r>
          <w:rPr>
            <w:rFonts w:ascii="Cambria Math" w:hAnsi="Cambria Math"/>
            <w:color w:val="000000" w:themeColor="text1"/>
            <w:sz w:val="20"/>
            <w:szCs w:val="20"/>
            <w:lang w:val="en-US"/>
          </w:rPr>
          <m:t>=</m:t>
        </m:r>
        <m:r>
          <m:rPr>
            <m:sty m:val="p"/>
          </m:rPr>
          <w:rPr>
            <w:rFonts w:ascii="Cambria Math" w:hAnsi="Cambria Math"/>
            <w:color w:val="000000" w:themeColor="text1"/>
            <w:sz w:val="20"/>
            <w:szCs w:val="20"/>
            <w:lang w:val="en-US"/>
          </w:rPr>
          <m:t>ma</m:t>
        </m:r>
        <m:func>
          <m:funcPr>
            <m:ctrlPr>
              <w:rPr>
                <w:rFonts w:ascii="Cambria Math" w:hAnsi="Cambria Math"/>
                <w:i/>
                <w:color w:val="000000" w:themeColor="text1"/>
                <w:sz w:val="20"/>
                <w:szCs w:val="20"/>
                <w:lang w:val="en-US"/>
              </w:rPr>
            </m:ctrlPr>
          </m:funcPr>
          <m:fName>
            <m:r>
              <m:rPr>
                <m:sty m:val="p"/>
              </m:rPr>
              <w:rPr>
                <w:rFonts w:ascii="Cambria Math" w:hAnsi="Cambria Math"/>
                <w:color w:val="000000" w:themeColor="text1"/>
                <w:sz w:val="20"/>
                <w:szCs w:val="20"/>
                <w:lang w:val="en-US"/>
              </w:rPr>
              <m:t>x</m:t>
            </m:r>
            <m:ctrlPr>
              <w:rPr>
                <w:rFonts w:ascii="Cambria Math" w:hAnsi="Cambria Math"/>
                <w:color w:val="000000" w:themeColor="text1"/>
                <w:sz w:val="20"/>
                <w:szCs w:val="20"/>
                <w:lang w:val="en-US"/>
              </w:rPr>
            </m:ctrlPr>
          </m:fName>
          <m:e>
            <m:d>
              <m:dPr>
                <m:ctrlPr>
                  <w:rPr>
                    <w:rFonts w:ascii="Cambria Math" w:hAnsi="Cambria Math"/>
                    <w:i/>
                    <w:color w:val="000000" w:themeColor="text1"/>
                    <w:sz w:val="20"/>
                    <w:szCs w:val="20"/>
                    <w:lang w:val="en-US"/>
                  </w:rPr>
                </m:ctrlPr>
              </m:dPr>
              <m:e>
                <m:r>
                  <w:rPr>
                    <w:rFonts w:ascii="Cambria Math" w:hAnsi="Cambria Math"/>
                    <w:color w:val="000000" w:themeColor="text1"/>
                    <w:sz w:val="20"/>
                    <w:szCs w:val="20"/>
                    <w:lang w:val="en-US"/>
                  </w:rPr>
                  <m:t>0,</m:t>
                </m:r>
                <m:sSub>
                  <m:sSubPr>
                    <m:ctrlPr>
                      <w:rPr>
                        <w:rFonts w:ascii="Cambria Math" w:hAnsi="Cambria Math"/>
                        <w:color w:val="000000" w:themeColor="text1"/>
                        <w:sz w:val="20"/>
                        <w:szCs w:val="20"/>
                      </w:rPr>
                    </m:ctrlPr>
                  </m:sSubPr>
                  <m:e>
                    <m:acc>
                      <m:accPr>
                        <m:ctrlPr>
                          <w:rPr>
                            <w:rFonts w:ascii="Cambria Math" w:hAnsi="Cambria Math"/>
                            <w:color w:val="000000" w:themeColor="text1"/>
                            <w:sz w:val="20"/>
                            <w:szCs w:val="20"/>
                          </w:rPr>
                        </m:ctrlPr>
                      </m:accPr>
                      <m:e>
                        <m:r>
                          <w:rPr>
                            <w:rFonts w:ascii="Cambria Math" w:hAnsi="Cambria Math"/>
                            <w:color w:val="000000" w:themeColor="text1"/>
                            <w:sz w:val="20"/>
                            <w:szCs w:val="20"/>
                          </w:rPr>
                          <m:t>OUT</m:t>
                        </m:r>
                      </m:e>
                    </m:acc>
                  </m:e>
                  <m:sub>
                    <m:r>
                      <w:rPr>
                        <w:rFonts w:ascii="Cambria Math" w:hAnsi="Cambria Math"/>
                        <w:color w:val="000000" w:themeColor="text1"/>
                        <w:sz w:val="20"/>
                        <w:szCs w:val="20"/>
                      </w:rPr>
                      <m:t>t</m:t>
                    </m:r>
                  </m:sub>
                </m:sSub>
                <m:r>
                  <w:rPr>
                    <w:rFonts w:ascii="Cambria Math" w:hAnsi="Cambria Math"/>
                    <w:color w:val="000000" w:themeColor="text1"/>
                    <w:sz w:val="20"/>
                    <w:szCs w:val="20"/>
                    <w:lang w:val="en-US"/>
                  </w:rPr>
                  <m:t>-</m:t>
                </m:r>
                <m:r>
                  <w:rPr>
                    <w:rFonts w:ascii="Cambria Math" w:hAnsi="Cambria Math"/>
                    <w:color w:val="000000" w:themeColor="text1"/>
                    <w:sz w:val="20"/>
                    <w:szCs w:val="20"/>
                  </w:rPr>
                  <m:t>I</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t</m:t>
                    </m:r>
                  </m:sub>
                </m:sSub>
              </m:e>
            </m:d>
          </m:e>
        </m:func>
      </m:oMath>
      <w:r w:rsidRPr="00D71174">
        <w:rPr>
          <w:color w:val="000000" w:themeColor="text1"/>
          <w:sz w:val="20"/>
          <w:szCs w:val="20"/>
          <w:lang w:val="en-US"/>
        </w:rPr>
        <w:t xml:space="preserve">. </w:t>
      </w:r>
      <w:r w:rsidR="005375AD" w:rsidRPr="00D71174">
        <w:rPr>
          <w:color w:val="000000" w:themeColor="text1"/>
          <w:sz w:val="20"/>
          <w:szCs w:val="20"/>
          <w:lang w:val="en-US"/>
        </w:rPr>
        <w:t xml:space="preserve">The </w:t>
      </w:r>
      <w:proofErr w:type="gramStart"/>
      <w:r w:rsidR="005375AD" w:rsidRPr="00D71174">
        <w:rPr>
          <w:color w:val="000000" w:themeColor="text1"/>
          <w:sz w:val="20"/>
          <w:szCs w:val="20"/>
          <w:lang w:val="en-US"/>
        </w:rPr>
        <w:t xml:space="preserve">parameter </w:t>
      </w:r>
      <w:r w:rsidR="005375AD" w:rsidRPr="00D71174">
        <w:rPr>
          <w:rFonts w:ascii="Cambria Math" w:hAnsi="Cambria Math" w:cs="Cambria Math"/>
          <w:color w:val="000000" w:themeColor="text1"/>
          <w:sz w:val="20"/>
          <w:szCs w:val="20"/>
          <w:lang w:val="en-US"/>
        </w:rPr>
        <w:t>𝑧</w:t>
      </w:r>
      <w:proofErr w:type="gramEnd"/>
      <w:r w:rsidR="005375AD" w:rsidRPr="00D71174">
        <w:rPr>
          <w:color w:val="000000" w:themeColor="text1"/>
          <w:sz w:val="20"/>
          <w:szCs w:val="20"/>
          <w:lang w:val="en-US"/>
        </w:rPr>
        <w:t xml:space="preserve"> is tuned by structured grid search under the same simulator and scenario conditions used for the other baselines.</w:t>
      </w:r>
    </w:p>
    <w:p w14:paraId="20887C3C" w14:textId="77777777" w:rsidR="00AC5F4C" w:rsidRPr="00D71174" w:rsidRDefault="0050269D" w:rsidP="00D327B7">
      <w:pPr>
        <w:pStyle w:val="ng-star-inserted"/>
        <w:spacing w:before="0" w:after="0" w:afterAutospacing="0"/>
        <w:ind w:left="216" w:right="14"/>
        <w:jc w:val="center"/>
        <w:rPr>
          <w:b/>
          <w:bCs/>
          <w:color w:val="000000" w:themeColor="text1"/>
          <w:sz w:val="20"/>
          <w:lang w:val="en-US"/>
        </w:rPr>
      </w:pPr>
      <w:r w:rsidRPr="00D71174">
        <w:rPr>
          <w:b/>
          <w:bCs/>
          <w:color w:val="000000" w:themeColor="text1"/>
          <w:sz w:val="20"/>
          <w:lang w:val="en-US"/>
        </w:rPr>
        <w:t>Table 1. Methods transparency table. Policy information, tuning, and comparison roles.</w:t>
      </w:r>
    </w:p>
    <w:tbl>
      <w:tblPr>
        <w:tblStyle w:val="Tabelacomgrade"/>
        <w:tblW w:w="0" w:type="auto"/>
        <w:jc w:val="center"/>
        <w:tblLook w:val="04A0" w:firstRow="1" w:lastRow="0" w:firstColumn="1" w:lastColumn="0" w:noHBand="0" w:noVBand="1"/>
      </w:tblPr>
      <w:tblGrid>
        <w:gridCol w:w="1917"/>
        <w:gridCol w:w="2473"/>
        <w:gridCol w:w="1842"/>
        <w:gridCol w:w="1822"/>
        <w:gridCol w:w="1682"/>
      </w:tblGrid>
      <w:tr w:rsidR="00D71174" w:rsidRPr="00D71174" w14:paraId="07E5B3C9" w14:textId="77777777" w:rsidTr="009C363B">
        <w:trPr>
          <w:jc w:val="center"/>
        </w:trPr>
        <w:tc>
          <w:tcPr>
            <w:tcW w:w="1917" w:type="dxa"/>
            <w:vAlign w:val="center"/>
          </w:tcPr>
          <w:p w14:paraId="2F12DD91" w14:textId="77777777" w:rsidR="00F96EE3" w:rsidRPr="00D71174" w:rsidRDefault="00000000">
            <w:pPr>
              <w:rPr>
                <w:b/>
                <w:bCs/>
                <w:color w:val="000000" w:themeColor="text1"/>
              </w:rPr>
            </w:pPr>
            <w:r w:rsidRPr="00D71174">
              <w:rPr>
                <w:b/>
                <w:bCs/>
                <w:color w:val="000000" w:themeColor="text1"/>
              </w:rPr>
              <w:t>Policy</w:t>
            </w:r>
          </w:p>
        </w:tc>
        <w:tc>
          <w:tcPr>
            <w:tcW w:w="2473" w:type="dxa"/>
            <w:vAlign w:val="center"/>
          </w:tcPr>
          <w:p w14:paraId="01CAE05E" w14:textId="77777777" w:rsidR="00F96EE3" w:rsidRPr="00D71174" w:rsidRDefault="00000000">
            <w:pPr>
              <w:rPr>
                <w:b/>
                <w:bCs/>
                <w:color w:val="000000" w:themeColor="text1"/>
              </w:rPr>
            </w:pPr>
            <w:r w:rsidRPr="00D71174">
              <w:rPr>
                <w:b/>
                <w:bCs/>
                <w:color w:val="000000" w:themeColor="text1"/>
              </w:rPr>
              <w:t>Information used</w:t>
            </w:r>
          </w:p>
        </w:tc>
        <w:tc>
          <w:tcPr>
            <w:tcW w:w="1842" w:type="dxa"/>
            <w:vAlign w:val="center"/>
          </w:tcPr>
          <w:p w14:paraId="5F0E1DB6" w14:textId="77777777" w:rsidR="00F96EE3" w:rsidRPr="00D71174" w:rsidRDefault="00000000">
            <w:pPr>
              <w:rPr>
                <w:b/>
                <w:bCs/>
                <w:color w:val="000000" w:themeColor="text1"/>
              </w:rPr>
            </w:pPr>
            <w:r w:rsidRPr="00D71174">
              <w:rPr>
                <w:b/>
                <w:bCs/>
                <w:color w:val="000000" w:themeColor="text1"/>
              </w:rPr>
              <w:t>Tunable parameters</w:t>
            </w:r>
          </w:p>
        </w:tc>
        <w:tc>
          <w:tcPr>
            <w:tcW w:w="1822" w:type="dxa"/>
            <w:vAlign w:val="center"/>
          </w:tcPr>
          <w:p w14:paraId="3B96A55D" w14:textId="77777777" w:rsidR="00F96EE3" w:rsidRPr="00D71174" w:rsidRDefault="00000000">
            <w:pPr>
              <w:rPr>
                <w:b/>
                <w:bCs/>
                <w:color w:val="000000" w:themeColor="text1"/>
              </w:rPr>
            </w:pPr>
            <w:r w:rsidRPr="00D71174">
              <w:rPr>
                <w:b/>
                <w:bCs/>
                <w:color w:val="000000" w:themeColor="text1"/>
              </w:rPr>
              <w:t>Tuning method</w:t>
            </w:r>
          </w:p>
        </w:tc>
        <w:tc>
          <w:tcPr>
            <w:tcW w:w="1682" w:type="dxa"/>
            <w:vAlign w:val="center"/>
          </w:tcPr>
          <w:p w14:paraId="1D52ADE4" w14:textId="77777777" w:rsidR="00F96EE3" w:rsidRPr="00D71174" w:rsidRDefault="00000000">
            <w:pPr>
              <w:rPr>
                <w:b/>
                <w:bCs/>
                <w:color w:val="000000" w:themeColor="text1"/>
              </w:rPr>
            </w:pPr>
            <w:r w:rsidRPr="00D71174">
              <w:rPr>
                <w:b/>
                <w:bCs/>
                <w:color w:val="000000" w:themeColor="text1"/>
              </w:rPr>
              <w:t>Ceiling/reference</w:t>
            </w:r>
          </w:p>
        </w:tc>
      </w:tr>
      <w:tr w:rsidR="00D71174" w:rsidRPr="00D71174" w14:paraId="60E8079A" w14:textId="77777777" w:rsidTr="009C363B">
        <w:trPr>
          <w:jc w:val="center"/>
        </w:trPr>
        <w:tc>
          <w:tcPr>
            <w:tcW w:w="1917" w:type="dxa"/>
            <w:vAlign w:val="center"/>
          </w:tcPr>
          <w:p w14:paraId="122EE317" w14:textId="77777777" w:rsidR="00F96EE3" w:rsidRPr="00D71174" w:rsidRDefault="00000000">
            <w:pPr>
              <w:rPr>
                <w:color w:val="000000" w:themeColor="text1"/>
              </w:rPr>
            </w:pPr>
            <w:r w:rsidRPr="00D71174">
              <w:rPr>
                <w:color w:val="000000" w:themeColor="text1"/>
              </w:rPr>
              <w:t>Static</w:t>
            </w:r>
          </w:p>
        </w:tc>
        <w:tc>
          <w:tcPr>
            <w:tcW w:w="2473" w:type="dxa"/>
            <w:vAlign w:val="center"/>
          </w:tcPr>
          <w:p w14:paraId="2BCA9E42" w14:textId="77777777" w:rsidR="00F96EE3" w:rsidRPr="00D71174" w:rsidRDefault="00000000">
            <w:pPr>
              <w:rPr>
                <w:color w:val="000000" w:themeColor="text1"/>
              </w:rPr>
            </w:pPr>
            <w:r w:rsidRPr="00D71174">
              <w:rPr>
                <w:color w:val="000000" w:themeColor="text1"/>
              </w:rPr>
              <w:t>Full-sample demand moments; lead time; review period</w:t>
            </w:r>
          </w:p>
        </w:tc>
        <w:tc>
          <w:tcPr>
            <w:tcW w:w="1842" w:type="dxa"/>
            <w:vAlign w:val="center"/>
          </w:tcPr>
          <w:p w14:paraId="17260699" w14:textId="77777777" w:rsidR="00F96EE3" w:rsidRPr="00D71174" w:rsidRDefault="00000000">
            <w:pPr>
              <w:rPr>
                <w:color w:val="000000" w:themeColor="text1"/>
              </w:rPr>
            </w:pPr>
            <w:r w:rsidRPr="00D71174">
              <w:rPr>
                <w:color w:val="000000" w:themeColor="text1"/>
              </w:rPr>
              <w:t>Service factor z</w:t>
            </w:r>
          </w:p>
        </w:tc>
        <w:tc>
          <w:tcPr>
            <w:tcW w:w="1822" w:type="dxa"/>
            <w:vAlign w:val="center"/>
          </w:tcPr>
          <w:p w14:paraId="28D7CD09" w14:textId="77777777" w:rsidR="00F96EE3" w:rsidRPr="00D71174" w:rsidRDefault="00000000">
            <w:pPr>
              <w:rPr>
                <w:color w:val="000000" w:themeColor="text1"/>
              </w:rPr>
            </w:pPr>
            <w:r w:rsidRPr="00D71174">
              <w:rPr>
                <w:color w:val="000000" w:themeColor="text1"/>
              </w:rPr>
              <w:t>Structured grid on the training portion of each scenario</w:t>
            </w:r>
          </w:p>
        </w:tc>
        <w:tc>
          <w:tcPr>
            <w:tcW w:w="1682" w:type="dxa"/>
            <w:vAlign w:val="center"/>
          </w:tcPr>
          <w:p w14:paraId="79E1A79C" w14:textId="77777777" w:rsidR="00F96EE3" w:rsidRPr="00D71174" w:rsidRDefault="00000000">
            <w:pPr>
              <w:rPr>
                <w:color w:val="000000" w:themeColor="text1"/>
              </w:rPr>
            </w:pPr>
            <w:r w:rsidRPr="00D71174">
              <w:rPr>
                <w:color w:val="000000" w:themeColor="text1"/>
              </w:rPr>
              <w:t>Reference baseline</w:t>
            </w:r>
          </w:p>
        </w:tc>
      </w:tr>
      <w:tr w:rsidR="00AC5F4C" w14:paraId="6EF937E3" w14:textId="77777777" w:rsidTr="009C363B">
        <w:trPr>
          <w:jc w:val="center"/>
        </w:trPr>
        <w:tc>
          <w:tcPr>
            <w:tcW w:w="1917" w:type="dxa"/>
            <w:vAlign w:val="center"/>
          </w:tcPr>
          <w:p w14:paraId="40788992" w14:textId="77777777" w:rsidR="00F96EE3" w:rsidRDefault="00000000">
            <w:r>
              <w:t>Dynamic</w:t>
            </w:r>
          </w:p>
        </w:tc>
        <w:tc>
          <w:tcPr>
            <w:tcW w:w="2473" w:type="dxa"/>
            <w:vAlign w:val="center"/>
          </w:tcPr>
          <w:p w14:paraId="6B426BB8" w14:textId="77777777" w:rsidR="00F96EE3" w:rsidRDefault="00000000">
            <w:r>
              <w:t>Trailing-window demand moments; lead time; review period</w:t>
            </w:r>
          </w:p>
        </w:tc>
        <w:tc>
          <w:tcPr>
            <w:tcW w:w="1842" w:type="dxa"/>
            <w:vAlign w:val="center"/>
          </w:tcPr>
          <w:p w14:paraId="6E2B6F32" w14:textId="77777777" w:rsidR="00F96EE3" w:rsidRDefault="00000000">
            <w:r>
              <w:t>Window length w; service factor z</w:t>
            </w:r>
          </w:p>
        </w:tc>
        <w:tc>
          <w:tcPr>
            <w:tcW w:w="1822" w:type="dxa"/>
            <w:vAlign w:val="center"/>
          </w:tcPr>
          <w:p w14:paraId="1355CD06" w14:textId="77777777" w:rsidR="00F96EE3" w:rsidRDefault="00000000">
            <w:r>
              <w:t>Structured grid on the training portion of each scenario</w:t>
            </w:r>
          </w:p>
        </w:tc>
        <w:tc>
          <w:tcPr>
            <w:tcW w:w="1682" w:type="dxa"/>
            <w:vAlign w:val="center"/>
          </w:tcPr>
          <w:p w14:paraId="5DA71C65" w14:textId="77777777" w:rsidR="00F96EE3" w:rsidRDefault="00000000">
            <w:r>
              <w:t>Reference baseline</w:t>
            </w:r>
          </w:p>
        </w:tc>
      </w:tr>
      <w:tr w:rsidR="00AC5F4C" w14:paraId="77FD348E" w14:textId="77777777" w:rsidTr="009C363B">
        <w:trPr>
          <w:jc w:val="center"/>
        </w:trPr>
        <w:tc>
          <w:tcPr>
            <w:tcW w:w="1917" w:type="dxa"/>
            <w:vAlign w:val="center"/>
          </w:tcPr>
          <w:p w14:paraId="69E20090" w14:textId="77777777" w:rsidR="00F96EE3" w:rsidRDefault="00000000">
            <w:r>
              <w:t>Dynamic + Forecast</w:t>
            </w:r>
          </w:p>
        </w:tc>
        <w:tc>
          <w:tcPr>
            <w:tcW w:w="2473" w:type="dxa"/>
            <w:vAlign w:val="center"/>
          </w:tcPr>
          <w:p w14:paraId="1E3C9351" w14:textId="77777777" w:rsidR="00F96EE3" w:rsidRDefault="00000000">
            <w:r>
              <w:t>Point forecast; trailing volatility estimate; lead time; review period</w:t>
            </w:r>
          </w:p>
        </w:tc>
        <w:tc>
          <w:tcPr>
            <w:tcW w:w="1842" w:type="dxa"/>
            <w:vAlign w:val="center"/>
          </w:tcPr>
          <w:p w14:paraId="14EC5FB2" w14:textId="77777777" w:rsidR="00F96EE3" w:rsidRDefault="00000000">
            <w:r>
              <w:t>Window length w; service factor z</w:t>
            </w:r>
          </w:p>
        </w:tc>
        <w:tc>
          <w:tcPr>
            <w:tcW w:w="1822" w:type="dxa"/>
            <w:vAlign w:val="center"/>
          </w:tcPr>
          <w:p w14:paraId="4B1FFE43" w14:textId="77777777" w:rsidR="00F96EE3" w:rsidRDefault="00000000">
            <w:r>
              <w:t>Structured grid under the same simulator and scenario</w:t>
            </w:r>
          </w:p>
        </w:tc>
        <w:tc>
          <w:tcPr>
            <w:tcW w:w="1682" w:type="dxa"/>
            <w:vAlign w:val="center"/>
          </w:tcPr>
          <w:p w14:paraId="256A3EF0" w14:textId="77777777" w:rsidR="00F96EE3" w:rsidRDefault="00000000">
            <w:r>
              <w:t>Reference baseline</w:t>
            </w:r>
          </w:p>
        </w:tc>
      </w:tr>
      <w:tr w:rsidR="00AC5F4C" w14:paraId="456E7366" w14:textId="77777777" w:rsidTr="009C363B">
        <w:trPr>
          <w:jc w:val="center"/>
        </w:trPr>
        <w:tc>
          <w:tcPr>
            <w:tcW w:w="1917" w:type="dxa"/>
            <w:vAlign w:val="center"/>
          </w:tcPr>
          <w:p w14:paraId="47D634B4" w14:textId="77777777" w:rsidR="00F96EE3" w:rsidRDefault="00000000">
            <w:r>
              <w:t>Base-stock (Deterministic)</w:t>
            </w:r>
          </w:p>
        </w:tc>
        <w:tc>
          <w:tcPr>
            <w:tcW w:w="2473" w:type="dxa"/>
            <w:vAlign w:val="center"/>
          </w:tcPr>
          <w:p w14:paraId="7FB0C6D0" w14:textId="77777777" w:rsidR="00F96EE3" w:rsidRDefault="00000000">
            <w:r>
              <w:t xml:space="preserve">Forecast-path </w:t>
            </w:r>
            <w:proofErr w:type="gramStart"/>
            <w:r>
              <w:t>mean</w:t>
            </w:r>
            <w:proofErr w:type="gramEnd"/>
            <w:r>
              <w:t xml:space="preserve"> over lead time</w:t>
            </w:r>
          </w:p>
        </w:tc>
        <w:tc>
          <w:tcPr>
            <w:tcW w:w="1842" w:type="dxa"/>
            <w:vAlign w:val="center"/>
          </w:tcPr>
          <w:p w14:paraId="3BC80935" w14:textId="77777777" w:rsidR="00F96EE3" w:rsidRDefault="00000000">
            <w:r>
              <w:t>Service factor z</w:t>
            </w:r>
          </w:p>
        </w:tc>
        <w:tc>
          <w:tcPr>
            <w:tcW w:w="1822" w:type="dxa"/>
            <w:vAlign w:val="center"/>
          </w:tcPr>
          <w:p w14:paraId="0416029C" w14:textId="77777777" w:rsidR="00F96EE3" w:rsidRDefault="00000000">
            <w:r>
              <w:t>Structured grid under the same simulator and scenario</w:t>
            </w:r>
          </w:p>
        </w:tc>
        <w:tc>
          <w:tcPr>
            <w:tcW w:w="1682" w:type="dxa"/>
            <w:vAlign w:val="center"/>
          </w:tcPr>
          <w:p w14:paraId="5B6ED1AB" w14:textId="77777777" w:rsidR="00F96EE3" w:rsidRDefault="00000000">
            <w:r>
              <w:t>Reference baseline</w:t>
            </w:r>
          </w:p>
        </w:tc>
      </w:tr>
      <w:tr w:rsidR="00AC5F4C" w14:paraId="591543A2" w14:textId="77777777" w:rsidTr="009C363B">
        <w:trPr>
          <w:jc w:val="center"/>
        </w:trPr>
        <w:tc>
          <w:tcPr>
            <w:tcW w:w="1917" w:type="dxa"/>
            <w:vAlign w:val="center"/>
          </w:tcPr>
          <w:p w14:paraId="394DE792" w14:textId="77777777" w:rsidR="00F96EE3" w:rsidRDefault="00000000">
            <w:r>
              <w:t xml:space="preserve">Base-stock </w:t>
            </w:r>
            <w:r>
              <w:lastRenderedPageBreak/>
              <w:t>(Uncertain)</w:t>
            </w:r>
          </w:p>
        </w:tc>
        <w:tc>
          <w:tcPr>
            <w:tcW w:w="2473" w:type="dxa"/>
            <w:vAlign w:val="center"/>
          </w:tcPr>
          <w:p w14:paraId="7CB9ABDE" w14:textId="77777777" w:rsidR="00F96EE3" w:rsidRDefault="00000000">
            <w:r>
              <w:lastRenderedPageBreak/>
              <w:t xml:space="preserve">Forecast mean and </w:t>
            </w:r>
            <w:r>
              <w:lastRenderedPageBreak/>
              <w:t>uncertainty over lead time</w:t>
            </w:r>
          </w:p>
        </w:tc>
        <w:tc>
          <w:tcPr>
            <w:tcW w:w="1842" w:type="dxa"/>
            <w:vAlign w:val="center"/>
          </w:tcPr>
          <w:p w14:paraId="7A037010" w14:textId="77777777" w:rsidR="00F96EE3" w:rsidRDefault="00000000">
            <w:r>
              <w:lastRenderedPageBreak/>
              <w:t>Service factor z</w:t>
            </w:r>
          </w:p>
        </w:tc>
        <w:tc>
          <w:tcPr>
            <w:tcW w:w="1822" w:type="dxa"/>
            <w:vAlign w:val="center"/>
          </w:tcPr>
          <w:p w14:paraId="70EEFEEF" w14:textId="77777777" w:rsidR="00F96EE3" w:rsidRDefault="00000000">
            <w:r>
              <w:t xml:space="preserve">Structured grid </w:t>
            </w:r>
            <w:r>
              <w:lastRenderedPageBreak/>
              <w:t>under the same simulator and scenario</w:t>
            </w:r>
          </w:p>
        </w:tc>
        <w:tc>
          <w:tcPr>
            <w:tcW w:w="1682" w:type="dxa"/>
            <w:vAlign w:val="center"/>
          </w:tcPr>
          <w:p w14:paraId="1BB71109" w14:textId="77777777" w:rsidR="00F96EE3" w:rsidRDefault="00000000">
            <w:r>
              <w:lastRenderedPageBreak/>
              <w:t xml:space="preserve">Primary classical </w:t>
            </w:r>
            <w:r>
              <w:lastRenderedPageBreak/>
              <w:t>comparator</w:t>
            </w:r>
          </w:p>
        </w:tc>
      </w:tr>
      <w:tr w:rsidR="00AC5F4C" w14:paraId="48BEF049" w14:textId="77777777" w:rsidTr="009C363B">
        <w:trPr>
          <w:jc w:val="center"/>
        </w:trPr>
        <w:tc>
          <w:tcPr>
            <w:tcW w:w="1917" w:type="dxa"/>
            <w:vAlign w:val="center"/>
          </w:tcPr>
          <w:p w14:paraId="1FD094FD" w14:textId="77777777" w:rsidR="00F96EE3" w:rsidRDefault="00000000">
            <w:r>
              <w:lastRenderedPageBreak/>
              <w:t>Hybrid AI</w:t>
            </w:r>
          </w:p>
        </w:tc>
        <w:tc>
          <w:tcPr>
            <w:tcW w:w="2473" w:type="dxa"/>
            <w:vAlign w:val="center"/>
          </w:tcPr>
          <w:p w14:paraId="1FF08069" w14:textId="77777777" w:rsidR="00F96EE3" w:rsidRDefault="00000000">
            <w:r>
              <w:t>State: 4D vector (on-hand inventory, forecast mean demand, pipeline inventory, expected lead time); action: bounded discrete adjustment around a forecast-based order-up-to target.</w:t>
            </w:r>
          </w:p>
        </w:tc>
        <w:tc>
          <w:tcPr>
            <w:tcW w:w="1842" w:type="dxa"/>
            <w:vAlign w:val="center"/>
          </w:tcPr>
          <w:p w14:paraId="687AEF18" w14:textId="682D259D" w:rsidR="00F96EE3" w:rsidRDefault="00000000">
            <w:r>
              <w:t>Reward weights</w:t>
            </w:r>
            <w:r w:rsidR="008B31E2">
              <w:t>,</w:t>
            </w:r>
            <w:r>
              <w:t xml:space="preserve"> action bound A; RL hyperparameters</w:t>
            </w:r>
          </w:p>
        </w:tc>
        <w:tc>
          <w:tcPr>
            <w:tcW w:w="1822" w:type="dxa"/>
            <w:vAlign w:val="center"/>
          </w:tcPr>
          <w:p w14:paraId="4F335957" w14:textId="77777777" w:rsidR="00F96EE3" w:rsidRDefault="00000000">
            <w:r>
              <w:t>Single deterministic training run (fixed seeds); paired Monte Carlo evaluation</w:t>
            </w:r>
          </w:p>
        </w:tc>
        <w:tc>
          <w:tcPr>
            <w:tcW w:w="1682" w:type="dxa"/>
            <w:vAlign w:val="center"/>
          </w:tcPr>
          <w:p w14:paraId="7FF72E7A" w14:textId="77777777" w:rsidR="00F96EE3" w:rsidRDefault="00000000">
            <w:r>
              <w:t>Candidate decision policy</w:t>
            </w:r>
          </w:p>
        </w:tc>
      </w:tr>
      <w:tr w:rsidR="00992B2E" w:rsidRPr="00992B2E" w14:paraId="216D9ABB" w14:textId="77777777" w:rsidTr="004A6275">
        <w:trPr>
          <w:jc w:val="center"/>
        </w:trPr>
        <w:tc>
          <w:tcPr>
            <w:tcW w:w="9736" w:type="dxa"/>
            <w:gridSpan w:val="5"/>
            <w:vAlign w:val="center"/>
          </w:tcPr>
          <w:p w14:paraId="601504FF" w14:textId="7D0E60A6" w:rsidR="00F96EE3" w:rsidRPr="00992B2E" w:rsidRDefault="00000000" w:rsidP="00DC137B">
            <w:pPr>
              <w:jc w:val="both"/>
              <w:rPr>
                <w:color w:val="000000" w:themeColor="text1"/>
              </w:rPr>
            </w:pPr>
            <w:r w:rsidRPr="00992B2E">
              <w:rPr>
                <w:color w:val="000000" w:themeColor="text1"/>
              </w:rPr>
              <w:t xml:space="preserve">Note: </w:t>
            </w:r>
            <w:r w:rsidR="00DC137B" w:rsidRPr="00992B2E">
              <w:rPr>
                <w:color w:val="000000" w:themeColor="text1"/>
              </w:rPr>
              <w:t xml:space="preserve">The Hybrid AI policy is evaluated with a frozen policy, that is, with ε=0. Base-stock (Perfect information) is included only as a ceiling reference in the appendices and is excluded from the main-text table </w:t>
            </w:r>
            <w:proofErr w:type="gramStart"/>
            <w:r w:rsidR="00DC137B" w:rsidRPr="00992B2E">
              <w:rPr>
                <w:color w:val="000000" w:themeColor="text1"/>
              </w:rPr>
              <w:t>in order to</w:t>
            </w:r>
            <w:proofErr w:type="gramEnd"/>
            <w:r w:rsidR="00DC137B" w:rsidRPr="00992B2E">
              <w:rPr>
                <w:color w:val="000000" w:themeColor="text1"/>
              </w:rPr>
              <w:t xml:space="preserve"> keep the presentation concise.</w:t>
            </w:r>
          </w:p>
        </w:tc>
      </w:tr>
    </w:tbl>
    <w:p w14:paraId="04D5C796" w14:textId="77777777" w:rsidR="00EB4A76" w:rsidRPr="00DD5FF3" w:rsidRDefault="00EB4A76"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Stress Testing Framework</w:t>
      </w:r>
    </w:p>
    <w:p w14:paraId="18567C31" w14:textId="414B799F" w:rsidR="00F703D6" w:rsidRDefault="0028149F" w:rsidP="00387D8D">
      <w:pPr>
        <w:pStyle w:val="text-base"/>
        <w:spacing w:before="240" w:beforeAutospacing="0" w:after="0" w:afterAutospacing="0"/>
        <w:jc w:val="both"/>
        <w:rPr>
          <w:color w:val="000000" w:themeColor="text1"/>
          <w:lang w:val="en-US"/>
        </w:rPr>
      </w:pPr>
      <w:r w:rsidRPr="00992B2E">
        <w:rPr>
          <w:color w:val="000000" w:themeColor="text1"/>
          <w:lang w:val="en-US"/>
        </w:rPr>
        <w:t xml:space="preserve">Two planning horizons, </w:t>
      </w:r>
      <w:r w:rsidRPr="00992B2E">
        <w:rPr>
          <w:rFonts w:ascii="Cambria Math" w:hAnsi="Cambria Math" w:cs="Cambria Math"/>
          <w:color w:val="000000" w:themeColor="text1"/>
          <w:lang w:val="en-US"/>
        </w:rPr>
        <w:t>𝑇</w:t>
      </w:r>
      <w:proofErr w:type="gramStart"/>
      <w:r w:rsidRPr="00992B2E">
        <w:rPr>
          <w:rFonts w:ascii="Cambria Math" w:hAnsi="Cambria Math" w:cs="Cambria Math"/>
          <w:color w:val="000000" w:themeColor="text1"/>
          <w:lang w:val="en-US"/>
        </w:rPr>
        <w:t>∈</w:t>
      </w:r>
      <w:r w:rsidRPr="00992B2E">
        <w:rPr>
          <w:color w:val="000000" w:themeColor="text1"/>
          <w:lang w:val="en-US"/>
        </w:rPr>
        <w:t>{</w:t>
      </w:r>
      <w:proofErr w:type="gramEnd"/>
      <w:r w:rsidRPr="00992B2E">
        <w:rPr>
          <w:color w:val="000000" w:themeColor="text1"/>
          <w:lang w:val="en-US"/>
        </w:rPr>
        <w:t xml:space="preserve">90,180} days, are considered </w:t>
      </w:r>
      <w:proofErr w:type="gramStart"/>
      <w:r w:rsidRPr="00992B2E">
        <w:rPr>
          <w:color w:val="000000" w:themeColor="text1"/>
          <w:lang w:val="en-US"/>
        </w:rPr>
        <w:t>in order to</w:t>
      </w:r>
      <w:proofErr w:type="gramEnd"/>
      <w:r w:rsidRPr="00992B2E">
        <w:rPr>
          <w:color w:val="000000" w:themeColor="text1"/>
          <w:lang w:val="en-US"/>
        </w:rPr>
        <w:t xml:space="preserve"> balance computational constraints with adequate exposure to lead-time-driven dynamics. At n=100 paired replications per condition, extending the full factorial design to 365 days would exceed the available compute budget.</w:t>
      </w:r>
      <w:r w:rsidR="00F703D6" w:rsidRPr="00992B2E">
        <w:rPr>
          <w:color w:val="000000" w:themeColor="text1"/>
          <w:lang w:val="en-US"/>
        </w:rPr>
        <w:t xml:space="preserve"> We partition each episode into a warm-up window (W = 28 days) and an evaluation window (</w:t>
      </w:r>
      <m:oMath>
        <m:sSub>
          <m:sSubPr>
            <m:ctrlPr>
              <w:rPr>
                <w:rFonts w:ascii="Cambria Math" w:hAnsi="Cambria Math"/>
                <w:i/>
                <w:color w:val="000000" w:themeColor="text1"/>
                <w:lang w:val="en-US"/>
              </w:rPr>
            </m:ctrlPr>
          </m:sSubPr>
          <m:e>
            <m:r>
              <w:rPr>
                <w:rFonts w:ascii="Cambria Math" w:hAnsi="Cambria Math"/>
                <w:color w:val="000000" w:themeColor="text1"/>
                <w:lang w:val="en-US"/>
              </w:rPr>
              <m:t>T</m:t>
            </m:r>
          </m:e>
          <m:sub>
            <m:r>
              <w:rPr>
                <w:rFonts w:ascii="Cambria Math" w:hAnsi="Cambria Math"/>
                <w:color w:val="000000" w:themeColor="text1"/>
                <w:lang w:val="en-US"/>
              </w:rPr>
              <m:t>e</m:t>
            </m:r>
          </m:sub>
        </m:sSub>
        <m:r>
          <w:rPr>
            <w:rFonts w:ascii="Cambria Math" w:hAnsi="Cambria Math"/>
            <w:color w:val="000000" w:themeColor="text1"/>
            <w:lang w:val="en-US"/>
          </w:rPr>
          <m:t>val</m:t>
        </m:r>
      </m:oMath>
      <w:r w:rsidR="00F703D6" w:rsidRPr="00992B2E">
        <w:rPr>
          <w:color w:val="000000" w:themeColor="text1"/>
          <w:lang w:val="en-US"/>
        </w:rPr>
        <w:t xml:space="preserve"> = T − W). We compute reported metrics over the evaluation window</w:t>
      </w:r>
      <w:r w:rsidR="002B74AA" w:rsidRPr="00992B2E">
        <w:rPr>
          <w:color w:val="000000" w:themeColor="text1"/>
          <w:lang w:val="en-US"/>
        </w:rPr>
        <w:t xml:space="preserve">, unless otherwise </w:t>
      </w:r>
      <w:r w:rsidR="002B74AA">
        <w:rPr>
          <w:lang w:val="en-US"/>
        </w:rPr>
        <w:t>stated</w:t>
      </w:r>
      <w:r w:rsidR="00F703D6" w:rsidRPr="00F34B55">
        <w:rPr>
          <w:lang w:val="en-US"/>
        </w:rPr>
        <w:t>. The disruption scenario assigns lead times of 8–10 weeks; the longer horizon reduces end-of-window censoring and supports horizon-sensitivity checks reported in Appendix E.9.</w:t>
      </w:r>
    </w:p>
    <w:p w14:paraId="48E72E34" w14:textId="77777777" w:rsidR="007E1745" w:rsidRPr="00A70916" w:rsidRDefault="00EB4A76" w:rsidP="00BC4C18">
      <w:pPr>
        <w:pStyle w:val="text-base"/>
        <w:spacing w:before="0" w:after="0" w:afterAutospacing="0"/>
        <w:jc w:val="both"/>
        <w:rPr>
          <w:color w:val="000000" w:themeColor="text1"/>
          <w:lang w:val="en-US"/>
        </w:rPr>
      </w:pPr>
      <w:r w:rsidRPr="00FD0529">
        <w:rPr>
          <w:lang w:val="en-US"/>
        </w:rPr>
        <w:t>We drew daily demand observations from two SUS facilities (SESAB and HUPES) spanning multiple item categories, including critical medications and standard supplies. The study aggregates items into SKU-equivalent units for policy evaluation, while unit-cost weights represent differences in criticality and shortage impact. Appendix B documents the data preprocessing, category assignment, and the mapping from observed item-level movements to aggregated demand inputs.</w:t>
      </w:r>
    </w:p>
    <w:p w14:paraId="3C5D9CDB" w14:textId="4B28E422" w:rsidR="00B36A53" w:rsidRPr="00B36A53" w:rsidRDefault="007E1745" w:rsidP="00B36A53">
      <w:pPr>
        <w:pStyle w:val="text-base"/>
        <w:jc w:val="both"/>
        <w:rPr>
          <w:color w:val="D86DCB" w:themeColor="accent5" w:themeTint="99"/>
          <w:lang w:val="en-US"/>
        </w:rPr>
      </w:pPr>
      <w:r w:rsidRPr="00211F52">
        <w:rPr>
          <w:lang w:val="en-US"/>
        </w:rPr>
        <w:t xml:space="preserve">Typical daily volumes in the real-demand data range from 5 to 120 units per SKU-equivalent series. For the network-aggregated daily series used in the simulator, the coefficient of variation equals 0.42, with a range from 0.18 to 0.87. Appendix C.4 reports higher CV values </w:t>
      </w:r>
      <w:r w:rsidRPr="00791589">
        <w:rPr>
          <w:color w:val="000000" w:themeColor="text1"/>
          <w:lang w:val="en-US"/>
        </w:rPr>
        <w:t xml:space="preserve">at the disaggregated SKU-facility level, </w:t>
      </w:r>
      <w:r w:rsidR="008B31E2" w:rsidRPr="00791589">
        <w:rPr>
          <w:color w:val="000000" w:themeColor="text1"/>
          <w:lang w:val="en-US"/>
        </w:rPr>
        <w:t>as expected,</w:t>
      </w:r>
      <w:r w:rsidRPr="00791589">
        <w:rPr>
          <w:color w:val="000000" w:themeColor="text1"/>
          <w:lang w:val="en-US"/>
        </w:rPr>
        <w:t xml:space="preserve"> because aggregation dampens intermittency and scale heterogeneity</w:t>
      </w:r>
      <w:r w:rsidR="00B36A53" w:rsidRPr="00791589">
        <w:rPr>
          <w:color w:val="000000" w:themeColor="text1"/>
          <w:lang w:val="en-US"/>
        </w:rPr>
        <w:t xml:space="preserve">. Winter demand in the empirical series rises by approximately 15% to 30% between May and August, while shock periods push demand to 200% to 300% above baseline. </w:t>
      </w:r>
      <w:r w:rsidR="00B36A53" w:rsidRPr="00B36A53">
        <w:rPr>
          <w:color w:val="D86DCB" w:themeColor="accent5" w:themeTint="99"/>
          <w:lang w:val="en-US"/>
        </w:rPr>
        <w:t>This range places very different informational demands on a controller trained under stable conditions. Lead times span 3 to 15 days, with a mean of 7.2 days, a pattern consistent with the procurement cycle documented in SUS records.</w:t>
      </w:r>
    </w:p>
    <w:p w14:paraId="67CC304D" w14:textId="41DC44C6" w:rsidR="00B36A53" w:rsidRPr="00791589" w:rsidRDefault="00B36A53" w:rsidP="00B36A53">
      <w:pPr>
        <w:pStyle w:val="text-base"/>
        <w:spacing w:before="0" w:after="0" w:afterAutospacing="0"/>
        <w:jc w:val="both"/>
        <w:rPr>
          <w:color w:val="000000" w:themeColor="text1"/>
          <w:lang w:val="en-US"/>
        </w:rPr>
      </w:pPr>
      <w:r w:rsidRPr="00B36A53">
        <w:rPr>
          <w:color w:val="D86DCB" w:themeColor="accent5" w:themeTint="99"/>
          <w:lang w:val="en-US"/>
        </w:rPr>
        <w:t>Three stress scenarios, derived from historical disruption patterns observed in the SUS, structure the evaluation. Each is informed by a distinct public health episode: the H1N1 pandemic of 2009, the Zika outbreak of 2016, and the COVID-19 pandemic of 2020 to 2021. The High Volatility scenario i</w:t>
      </w:r>
      <w:r w:rsidR="007D5220">
        <w:rPr>
          <w:color w:val="D86DCB" w:themeColor="accent5" w:themeTint="99"/>
          <w:lang w:val="en-US"/>
        </w:rPr>
        <w:t>ncreases demand variance by 50% and is intended to approximate the instability observ</w:t>
      </w:r>
      <w:r w:rsidRPr="00B36A53">
        <w:rPr>
          <w:color w:val="D86DCB" w:themeColor="accent5" w:themeTint="99"/>
          <w:lang w:val="en-US"/>
        </w:rPr>
        <w:t xml:space="preserve">ed during the Zika epidemic. The Supply Disruption scenario randomly interrupts 20% of orders and extends lead times, approximating the procurement difficulties documented during COVID-19, when both supplier capacity and transport reliability deteriorated. The Seasonal Surge scenario differs in mechanism. Rather than variance inflation or supply-side interruption, it introduces periodic demand spikes averaging 180% to 220% of baseline, reflecting recurrent pressures associated with seasonal illness and vaccination campaigns. </w:t>
      </w:r>
      <w:r w:rsidRPr="00791589">
        <w:rPr>
          <w:color w:val="000000" w:themeColor="text1"/>
          <w:lang w:val="en-US"/>
        </w:rPr>
        <w:t>These scenarios differ not only in scale but also in the source of operational stress, which is why regime-specific inference is informative rather than redundant.</w:t>
      </w:r>
    </w:p>
    <w:p w14:paraId="419D0609" w14:textId="7AC4B7CD" w:rsidR="00CC621A" w:rsidRPr="00A70916" w:rsidRDefault="00136957" w:rsidP="00B36A53">
      <w:pPr>
        <w:pStyle w:val="text-base"/>
        <w:spacing w:before="0" w:after="0" w:afterAutospacing="0"/>
        <w:jc w:val="both"/>
        <w:rPr>
          <w:color w:val="000000" w:themeColor="text1"/>
          <w:lang w:val="en-US"/>
        </w:rPr>
      </w:pPr>
      <w:r w:rsidRPr="00791589">
        <w:rPr>
          <w:color w:val="000000" w:themeColor="text1"/>
          <w:lang w:val="en-US"/>
        </w:rPr>
        <w:t xml:space="preserve">None of the three stress scenarios corresponds to a low-frequency pandemic wave or to the organizational </w:t>
      </w:r>
      <w:r w:rsidRPr="00653ACC">
        <w:rPr>
          <w:lang w:val="en-US"/>
        </w:rPr>
        <w:t xml:space="preserve">disruptions documented in H1N1, Zika, or COVID-19 studies. We treat long-horizon evaluation as sensitivity evidence rather than as a confirmatory </w:t>
      </w:r>
      <w:r w:rsidR="00D508F7">
        <w:rPr>
          <w:lang w:val="en-US"/>
        </w:rPr>
        <w:t>requirement</w:t>
      </w:r>
      <w:r w:rsidRPr="00653ACC">
        <w:rPr>
          <w:lang w:val="en-US"/>
        </w:rPr>
        <w:t>. This version evaluates 90- and 180-day horizons in the main grid and adds a targeted 365-day sensitivity check (Appendix E.9) without expanding the factorial design.</w:t>
      </w:r>
    </w:p>
    <w:p w14:paraId="3FFD4F93" w14:textId="77777777" w:rsidR="00AF072F" w:rsidRPr="00DD5FF3" w:rsidRDefault="00AF072F"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Data Integration Protocol and Validation Framework</w:t>
      </w:r>
    </w:p>
    <w:p w14:paraId="73E29F1A" w14:textId="77777777" w:rsidR="00920375" w:rsidRPr="00184581" w:rsidRDefault="00920375" w:rsidP="00DD5FF3">
      <w:pPr>
        <w:pStyle w:val="text-base"/>
        <w:spacing w:before="240" w:beforeAutospacing="0" w:after="0" w:afterAutospacing="0"/>
        <w:jc w:val="both"/>
        <w:rPr>
          <w:color w:val="000000" w:themeColor="text1"/>
          <w:lang w:val="en-US"/>
        </w:rPr>
      </w:pPr>
      <w:r w:rsidRPr="00F34B55">
        <w:rPr>
          <w:lang w:val="en-US"/>
        </w:rPr>
        <w:t xml:space="preserve">A hybrid approach to data collection for empirical/synthetic parameters enabled controlled experimental comparison while maintaining operational fidelity </w:t>
      </w:r>
      <w:r w:rsidR="005B3F97">
        <w:rPr>
          <w:lang w:val="en-US"/>
        </w:rPr>
        <w:fldChar w:fldCharType="begin"/>
      </w:r>
      <w:r w:rsidR="005B3F97">
        <w:rPr>
          <w:lang w:val="en-US"/>
        </w:rPr>
        <w:instrText xml:space="preserve"> ADDIN ZOTERO_ITEM CSL_CITATION {"citationID":"PilIF0bW","properties":{"formattedCitation":"(Jordon et al., 2022)","plainCitation":"(Jordon et al., 2022)","noteIndex":0},"citationItems":[{"id":3486,"uris":["http://zotero.org/users/12903205/items/WPTH8JMC"],"itemData":{"id":3486,"type":"article","abstract":"This explainer document aims to provide an overview of the current state of the rapidly expanding work on synthetic data technologies, with a particular focus on privacy. The article is intended for a non-technical audience, though some formal definitions have been given to provide clarity to specialists. This article is intended to enable the reader to quickly become familiar with the notion of synthetic data, as well as understand some of the subtle intricacies that come with it. We do believe that synthetic data is a very useful tool, and our hope is that this report highlights that, while drawing attention to nuances that can easily be overlooked in its deployment.","DOI":"10.48550/ARXIV.2205.03257","license":"arXiv.org perpetual, non-exclusive license","note":"version: 1","publisher":"arXiv","source":"DOI.org (Datacite)","title":"Synthetic Data -- what, why and how?","URL":"https://arxiv.org/abs/2205.03257","author":[{"family":"Jordon","given":"James"},{"family":"Szpruch","given":"Lukasz"},{"family":"Houssiau","given":"Florimond"},{"family":"Bottarelli","given":"Mirko"},{"family":"Cherubin","given":"Giovanni"},{"family":"Maple","given":"Carsten"},{"family":"Cohen","given":"Samuel N."},{"family":"Weller","given":"Adrian"}],"accessed":{"date-parts":[["2025",11,20]]},"issued":{"date-parts":[["2022"]]}}}],"schema":"https://github.com/citation-style-language/schema/raw/master/csl-citation.json"} </w:instrText>
      </w:r>
      <w:r w:rsidR="005B3F97">
        <w:rPr>
          <w:lang w:val="en-US"/>
        </w:rPr>
        <w:fldChar w:fldCharType="separate"/>
      </w:r>
      <w:r w:rsidR="005B3F97" w:rsidRPr="005B3F97">
        <w:rPr>
          <w:lang w:val="en-US"/>
        </w:rPr>
        <w:t>(Jordon et al., 2022)</w:t>
      </w:r>
      <w:r w:rsidR="005B3F97">
        <w:rPr>
          <w:lang w:val="en-US"/>
        </w:rPr>
        <w:fldChar w:fldCharType="end"/>
      </w:r>
      <w:r w:rsidRPr="00F34B55">
        <w:rPr>
          <w:lang w:val="en-US"/>
        </w:rPr>
        <w:t xml:space="preserve">. For demand-side data, researchers collected 1,000 movements per 50 SKUs, obtained through SESAB and HUPES, from January 2022 to December 2023. These two integrated institutions were medium-sized SUS institutions (with an average of 300 to 800 daily movements) serving an urban population of 1.2 to 2.8 million citizens. Section 3.5 summarizes descriptive statistics for the aggregated SKU-equivalent simulator inputs. Appendix C.4 reports volatility diagnostics at the disaggregated SKU-facility level, used only to assess the plausibility of the deployment threshold. Replenishment lead times, derived from historical procurement records across the observation </w:t>
      </w:r>
      <w:r w:rsidRPr="00F34B55">
        <w:rPr>
          <w:lang w:val="en-US"/>
        </w:rPr>
        <w:lastRenderedPageBreak/>
        <w:t>period, ranged from three to 15 days (mean of 7.2 days). It was representative of the operational constraints imposed by Brazilian Law 8.666/93, which mandates competitive bidding processes for government purchases. Extended procurement cycles thus represent institutional requirements rather than logistical inefficiencies. These lead-time characteristics aligned with documented SUS procurement protocols and provided operational realism for stress testing under realistic implementation scenarios.</w:t>
      </w:r>
    </w:p>
    <w:p w14:paraId="57FEAD71" w14:textId="77777777" w:rsidR="00920375" w:rsidRDefault="00920375" w:rsidP="00BC4C18">
      <w:pPr>
        <w:pStyle w:val="text-base"/>
        <w:spacing w:before="0" w:after="0" w:afterAutospacing="0"/>
        <w:jc w:val="both"/>
        <w:rPr>
          <w:color w:val="000000" w:themeColor="text1"/>
          <w:lang w:val="en-US"/>
        </w:rPr>
      </w:pPr>
      <w:r w:rsidRPr="00A70916">
        <w:rPr>
          <w:color w:val="000000" w:themeColor="text1"/>
          <w:lang w:val="en-US"/>
        </w:rPr>
        <w:t xml:space="preserve">For supply parameters, a systematic literature review and expert validation procedures were undertaken. </w:t>
      </w:r>
      <w:r w:rsidR="00C67815" w:rsidRPr="00C67815">
        <w:rPr>
          <w:color w:val="000000" w:themeColor="text1"/>
          <w:lang w:val="en-US"/>
        </w:rPr>
        <w:t xml:space="preserve">For unit costs, lognormal distributions </w:t>
      </w:r>
      <w:r w:rsidR="002B7934">
        <w:rPr>
          <w:color w:val="000000" w:themeColor="text1"/>
          <w:lang w:val="en-US"/>
        </w:rPr>
        <w:t>were</w:t>
      </w:r>
      <w:r w:rsidR="00C67815" w:rsidRPr="00C67815">
        <w:rPr>
          <w:color w:val="000000" w:themeColor="text1"/>
          <w:lang w:val="en-US"/>
        </w:rPr>
        <w:t xml:space="preserve"> assumed </w:t>
      </w:r>
      <w:r w:rsidRPr="00A70916">
        <w:rPr>
          <w:color w:val="000000" w:themeColor="text1"/>
          <w:lang w:val="en-US"/>
        </w:rPr>
        <w:t>(</w:t>
      </w:r>
      <w:r w:rsidRPr="00A70916">
        <w:rPr>
          <w:color w:val="000000" w:themeColor="text1"/>
        </w:rPr>
        <w:t>μ</w:t>
      </w:r>
      <w:r w:rsidRPr="00A70916">
        <w:rPr>
          <w:color w:val="000000" w:themeColor="text1"/>
          <w:lang w:val="en-US"/>
        </w:rPr>
        <w:t xml:space="preserve"> = 3.3; </w:t>
      </w:r>
      <w:r w:rsidRPr="00A70916">
        <w:rPr>
          <w:color w:val="000000" w:themeColor="text1"/>
        </w:rPr>
        <w:t>σ</w:t>
      </w:r>
      <w:r w:rsidRPr="00A70916">
        <w:rPr>
          <w:color w:val="000000" w:themeColor="text1"/>
          <w:lang w:val="en-US"/>
        </w:rPr>
        <w:t xml:space="preserve"> = 0.7) </w:t>
      </w:r>
      <w:r w:rsidR="00136957">
        <w:rPr>
          <w:color w:val="000000" w:themeColor="text1"/>
          <w:lang w:val="en-US"/>
        </w:rPr>
        <w:t>based on</w:t>
      </w:r>
      <w:r w:rsidRPr="00A70916">
        <w:rPr>
          <w:color w:val="000000" w:themeColor="text1"/>
          <w:lang w:val="en-US"/>
        </w:rPr>
        <w:t xml:space="preserve"> SUS acquisition figures from the Brazilian Ministry of Health</w:t>
      </w:r>
      <w:r w:rsidR="009E521B" w:rsidRPr="00A70916">
        <w:rPr>
          <w:color w:val="000000" w:themeColor="text1"/>
          <w:lang w:val="en-US"/>
        </w:rPr>
        <w:t>, collated throughout the study's three-year investigation (mean values for 2020-</w:t>
      </w:r>
      <w:r w:rsidRPr="00A70916">
        <w:rPr>
          <w:color w:val="000000" w:themeColor="text1"/>
          <w:lang w:val="en-US"/>
        </w:rPr>
        <w:t xml:space="preserve">2023). Supply distances </w:t>
      </w:r>
      <w:r w:rsidR="002B7934">
        <w:rPr>
          <w:color w:val="000000" w:themeColor="text1"/>
          <w:lang w:val="en-US"/>
        </w:rPr>
        <w:t>were</w:t>
      </w:r>
      <w:r w:rsidRPr="00A70916">
        <w:rPr>
          <w:color w:val="000000" w:themeColor="text1"/>
          <w:lang w:val="en-US"/>
        </w:rPr>
        <w:t xml:space="preserve"> assumed </w:t>
      </w:r>
      <w:r w:rsidR="00EC5848" w:rsidRPr="00A70916">
        <w:rPr>
          <w:color w:val="000000" w:themeColor="text1"/>
          <w:lang w:val="en-US"/>
        </w:rPr>
        <w:t>to be Euclidean means based on the actual latitude/longitude from the integrated institutions (according to Google Maps) and the per-km transportation cost (0.85 BRL/km), which assume</w:t>
      </w:r>
      <w:r w:rsidR="002B7934">
        <w:rPr>
          <w:color w:val="000000" w:themeColor="text1"/>
          <w:lang w:val="en-US"/>
        </w:rPr>
        <w:t>d</w:t>
      </w:r>
      <w:r w:rsidR="00EC5848" w:rsidRPr="00A70916">
        <w:rPr>
          <w:color w:val="000000" w:themeColor="text1"/>
          <w:lang w:val="en-US"/>
        </w:rPr>
        <w:t xml:space="preserve"> the logistics acquisition value for the SUS-acquired service</w:t>
      </w:r>
      <w:r w:rsidRPr="00A70916">
        <w:rPr>
          <w:color w:val="000000" w:themeColor="text1"/>
          <w:lang w:val="en-US"/>
        </w:rPr>
        <w:t>. Finally, economic parameters (holding cost</w:t>
      </w:r>
      <w:r w:rsidR="00A800F6" w:rsidRPr="00A70916">
        <w:rPr>
          <w:color w:val="000000" w:themeColor="text1"/>
          <w:lang w:val="en-US"/>
        </w:rPr>
        <w:t xml:space="preserve"> </w:t>
      </w:r>
      <w:r w:rsidRPr="00A70916">
        <w:rPr>
          <w:color w:val="000000" w:themeColor="text1"/>
          <w:lang w:val="en-US"/>
        </w:rPr>
        <w:t>per unit</w:t>
      </w:r>
      <w:r w:rsidR="00124A4B" w:rsidRPr="00A70916">
        <w:rPr>
          <w:color w:val="000000" w:themeColor="text1"/>
          <w:lang w:val="en-US"/>
        </w:rPr>
        <w:t xml:space="preserve"> per period: 0.003; ordering cost: </w:t>
      </w:r>
      <w:r w:rsidR="00B129BB" w:rsidRPr="00A70916">
        <w:rPr>
          <w:color w:val="000000" w:themeColor="text1"/>
          <w:lang w:val="en-US"/>
        </w:rPr>
        <w:t>BR</w:t>
      </w:r>
      <w:r w:rsidR="00922CEF">
        <w:rPr>
          <w:color w:val="000000" w:themeColor="text1"/>
          <w:lang w:val="en-US"/>
        </w:rPr>
        <w:t>L</w:t>
      </w:r>
      <w:r w:rsidR="00124A4B" w:rsidRPr="00A70916">
        <w:rPr>
          <w:color w:val="000000" w:themeColor="text1"/>
          <w:lang w:val="en-US"/>
        </w:rPr>
        <w:t xml:space="preserve">1.50 per order; stockout cost: </w:t>
      </w:r>
      <w:r w:rsidR="00B129BB" w:rsidRPr="00A70916">
        <w:rPr>
          <w:color w:val="000000" w:themeColor="text1"/>
          <w:lang w:val="en-US"/>
        </w:rPr>
        <w:t>BR</w:t>
      </w:r>
      <w:r w:rsidR="00922CEF">
        <w:rPr>
          <w:color w:val="000000" w:themeColor="text1"/>
          <w:lang w:val="en-US"/>
        </w:rPr>
        <w:t>L</w:t>
      </w:r>
      <w:r w:rsidR="00124A4B" w:rsidRPr="00A70916">
        <w:rPr>
          <w:color w:val="000000" w:themeColor="text1"/>
          <w:lang w:val="en-US"/>
        </w:rPr>
        <w:t xml:space="preserve">25.00) </w:t>
      </w:r>
      <w:r w:rsidR="002B7934">
        <w:rPr>
          <w:color w:val="000000" w:themeColor="text1"/>
          <w:lang w:val="en-US"/>
        </w:rPr>
        <w:t>were</w:t>
      </w:r>
      <w:r w:rsidR="00124A4B" w:rsidRPr="00A70916">
        <w:rPr>
          <w:color w:val="000000" w:themeColor="text1"/>
          <w:lang w:val="en-US"/>
        </w:rPr>
        <w:t xml:space="preserve"> consensus values based on one round of interviews with two logistics managers (</w:t>
      </w:r>
      <w:r w:rsidR="009A628D">
        <w:rPr>
          <w:color w:val="000000" w:themeColor="text1"/>
          <w:lang w:val="en-US"/>
        </w:rPr>
        <w:t xml:space="preserve">one </w:t>
      </w:r>
      <w:r w:rsidR="00124A4B" w:rsidRPr="00A70916">
        <w:rPr>
          <w:color w:val="000000" w:themeColor="text1"/>
          <w:lang w:val="en-US"/>
        </w:rPr>
        <w:t xml:space="preserve">with </w:t>
      </w:r>
      <w:r w:rsidR="009A628D">
        <w:rPr>
          <w:color w:val="000000" w:themeColor="text1"/>
          <w:lang w:val="en-US"/>
        </w:rPr>
        <w:t xml:space="preserve">more than </w:t>
      </w:r>
      <w:r w:rsidR="00124A4B" w:rsidRPr="00A70916">
        <w:rPr>
          <w:color w:val="000000" w:themeColor="text1"/>
          <w:lang w:val="en-US"/>
        </w:rPr>
        <w:t>15</w:t>
      </w:r>
      <w:r w:rsidR="009A628D">
        <w:rPr>
          <w:color w:val="000000" w:themeColor="text1"/>
          <w:lang w:val="en-US"/>
        </w:rPr>
        <w:t xml:space="preserve"> years </w:t>
      </w:r>
      <w:r w:rsidR="009A628D" w:rsidRPr="00A70916">
        <w:rPr>
          <w:color w:val="000000" w:themeColor="text1"/>
          <w:lang w:val="en-US"/>
        </w:rPr>
        <w:t xml:space="preserve">of experience </w:t>
      </w:r>
      <w:r w:rsidR="009A628D">
        <w:rPr>
          <w:color w:val="000000" w:themeColor="text1"/>
          <w:lang w:val="en-US"/>
        </w:rPr>
        <w:t xml:space="preserve">and the other with </w:t>
      </w:r>
      <w:r w:rsidR="00124A4B" w:rsidRPr="00A70916">
        <w:rPr>
          <w:color w:val="000000" w:themeColor="text1"/>
          <w:lang w:val="en-US"/>
        </w:rPr>
        <w:t>22 years in SUS systems) from the</w:t>
      </w:r>
      <w:r w:rsidRPr="00A70916">
        <w:rPr>
          <w:color w:val="000000" w:themeColor="text1"/>
          <w:lang w:val="en-US"/>
        </w:rPr>
        <w:t xml:space="preserve"> two institutions</w:t>
      </w:r>
      <w:r w:rsidR="009A628D">
        <w:rPr>
          <w:color w:val="000000" w:themeColor="text1"/>
          <w:lang w:val="en-US"/>
        </w:rPr>
        <w:t>,</w:t>
      </w:r>
      <w:r w:rsidR="009A628D" w:rsidRPr="009A628D">
        <w:rPr>
          <w:color w:val="000000" w:themeColor="text1"/>
          <w:lang w:val="en-US"/>
        </w:rPr>
        <w:t xml:space="preserve"> </w:t>
      </w:r>
      <w:r w:rsidR="009A628D" w:rsidRPr="00A70916">
        <w:rPr>
          <w:color w:val="000000" w:themeColor="text1"/>
          <w:lang w:val="en-US"/>
        </w:rPr>
        <w:t>respectively</w:t>
      </w:r>
      <w:r w:rsidRPr="00A70916">
        <w:rPr>
          <w:color w:val="000000" w:themeColor="text1"/>
          <w:lang w:val="en-US"/>
        </w:rPr>
        <w:t>.</w:t>
      </w:r>
    </w:p>
    <w:p w14:paraId="6050B1C6" w14:textId="77777777" w:rsidR="00184581" w:rsidRDefault="004C1558" w:rsidP="00BC4C18">
      <w:pPr>
        <w:pStyle w:val="text-base"/>
        <w:spacing w:before="0" w:after="0" w:afterAutospacing="0"/>
        <w:jc w:val="both"/>
        <w:rPr>
          <w:color w:val="000000" w:themeColor="text1"/>
          <w:lang w:val="en-US"/>
        </w:rPr>
      </w:pPr>
      <w:r>
        <w:rPr>
          <w:color w:val="000000" w:themeColor="text1"/>
          <w:lang w:val="en-US"/>
        </w:rPr>
        <w:t>To stress-</w:t>
      </w:r>
      <w:r w:rsidR="00184581" w:rsidRPr="00184581">
        <w:rPr>
          <w:color w:val="000000" w:themeColor="text1"/>
          <w:lang w:val="en-US"/>
        </w:rPr>
        <w:t>test and validate GA routing, we synthetically modeled a third facility (Section 3.3). The synthetic facility acts as a regional distribution cent</w:t>
      </w:r>
      <w:r w:rsidR="00DC3F28">
        <w:rPr>
          <w:color w:val="000000" w:themeColor="text1"/>
          <w:lang w:val="en-US"/>
        </w:rPr>
        <w:t>er</w:t>
      </w:r>
      <w:r w:rsidR="00184581" w:rsidRPr="00184581">
        <w:rPr>
          <w:color w:val="000000" w:themeColor="text1"/>
          <w:lang w:val="en-US"/>
        </w:rPr>
        <w:t xml:space="preserve"> serving the two empirical facilities</w:t>
      </w:r>
      <w:r w:rsidR="00D508F7">
        <w:rPr>
          <w:color w:val="000000" w:themeColor="text1"/>
          <w:lang w:val="en-US"/>
        </w:rPr>
        <w:t xml:space="preserve"> and provides</w:t>
      </w:r>
      <w:r w:rsidR="00184581" w:rsidRPr="00184581">
        <w:rPr>
          <w:color w:val="000000" w:themeColor="text1"/>
          <w:lang w:val="en-US"/>
        </w:rPr>
        <w:t xml:space="preserve"> a platform </w:t>
      </w:r>
      <w:r w:rsidR="00136957">
        <w:rPr>
          <w:color w:val="000000" w:themeColor="text1"/>
          <w:lang w:val="en-US"/>
        </w:rPr>
        <w:t>for testing multi-echelon routing decisions using</w:t>
      </w:r>
      <w:r w:rsidR="00184581" w:rsidRPr="00184581">
        <w:rPr>
          <w:color w:val="000000" w:themeColor="text1"/>
          <w:lang w:val="en-US"/>
        </w:rPr>
        <w:t xml:space="preserve"> the GA routing component. In this way, the reported results combine performance across </w:t>
      </w:r>
      <w:r>
        <w:rPr>
          <w:color w:val="000000" w:themeColor="text1"/>
          <w:lang w:val="en-US"/>
        </w:rPr>
        <w:t>both empirical and synthetic facilities</w:t>
      </w:r>
      <w:r w:rsidR="00184581" w:rsidRPr="00184581">
        <w:rPr>
          <w:color w:val="000000" w:themeColor="text1"/>
          <w:lang w:val="en-US"/>
        </w:rPr>
        <w:t xml:space="preserve">, </w:t>
      </w:r>
      <w:r w:rsidR="00136957">
        <w:rPr>
          <w:color w:val="000000" w:themeColor="text1"/>
          <w:lang w:val="en-US"/>
        </w:rPr>
        <w:t>offering computational efficiency while remain</w:t>
      </w:r>
      <w:r w:rsidR="00184581" w:rsidRPr="00184581">
        <w:rPr>
          <w:color w:val="000000" w:themeColor="text1"/>
          <w:lang w:val="en-US"/>
        </w:rPr>
        <w:t>ing operationally realistic.</w:t>
      </w:r>
    </w:p>
    <w:p w14:paraId="71B3AE8C" w14:textId="3D10E177" w:rsidR="003E757C" w:rsidRPr="003E757C" w:rsidRDefault="003E757C" w:rsidP="00C652BC">
      <w:pPr>
        <w:pStyle w:val="text-base"/>
        <w:spacing w:before="0" w:after="0" w:afterAutospacing="0"/>
        <w:jc w:val="both"/>
        <w:rPr>
          <w:color w:val="FFC000"/>
          <w:lang w:val="en-US"/>
        </w:rPr>
      </w:pPr>
      <w:r w:rsidRPr="003E757C">
        <w:rPr>
          <w:color w:val="FFC000"/>
          <w:lang w:val="en-US"/>
        </w:rPr>
        <w:t xml:space="preserve">Synthetic supply parameters </w:t>
      </w:r>
      <w:r>
        <w:rPr>
          <w:color w:val="FFC000"/>
          <w:lang w:val="en-US"/>
        </w:rPr>
        <w:t>enable controlled policy comparisons</w:t>
      </w:r>
      <w:r w:rsidRPr="003E757C">
        <w:rPr>
          <w:color w:val="FFC000"/>
          <w:lang w:val="en-US"/>
        </w:rPr>
        <w:t xml:space="preserve">, but they can alter the absolute scale of costs. The results are therefore interpreted primarily in relative terms, that is, as policy rankings under fixed accounting assumptions. If the framework is transferred to a different facility, local calibration should precede implementation so that demand conditions, lead times, and cost parameters reflect the operating context. Appendix B </w:t>
      </w:r>
      <w:r>
        <w:rPr>
          <w:color w:val="FFC000"/>
          <w:lang w:val="en-US"/>
        </w:rPr>
        <w:t>presents the elicitation protocol and</w:t>
      </w:r>
      <w:r w:rsidRPr="003E757C">
        <w:rPr>
          <w:color w:val="FFC000"/>
          <w:lang w:val="en-US"/>
        </w:rPr>
        <w:t xml:space="preserve"> the corresponding sensitivity checks.</w:t>
      </w:r>
    </w:p>
    <w:p w14:paraId="0C14ADB7" w14:textId="77777777" w:rsidR="0047501B" w:rsidRPr="00DD5FF3" w:rsidRDefault="00000000"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 xml:space="preserve">Code Validation Protocol versus Simulation </w:t>
      </w:r>
      <w:proofErr w:type="gramStart"/>
      <w:r w:rsidRPr="00DD5FF3">
        <w:rPr>
          <w:rFonts w:asciiTheme="majorHAnsi" w:hAnsiTheme="majorHAnsi"/>
          <w:color w:val="0F4761" w:themeColor="accent1" w:themeShade="BF"/>
          <w:sz w:val="24"/>
          <w:szCs w:val="24"/>
        </w:rPr>
        <w:t>A</w:t>
      </w:r>
      <w:proofErr w:type="gramEnd"/>
      <w:r w:rsidRPr="00DD5FF3">
        <w:rPr>
          <w:rFonts w:asciiTheme="majorHAnsi" w:hAnsiTheme="majorHAnsi"/>
          <w:color w:val="0F4761" w:themeColor="accent1" w:themeShade="BF"/>
          <w:sz w:val="24"/>
          <w:szCs w:val="24"/>
        </w:rPr>
        <w:t xml:space="preserve"> Implementation</w:t>
      </w:r>
    </w:p>
    <w:p w14:paraId="1058F00B" w14:textId="2DB7F6B2" w:rsidR="0047501B" w:rsidRPr="003C0212" w:rsidRDefault="003E757C" w:rsidP="00DD5FF3">
      <w:pPr>
        <w:pStyle w:val="text-base"/>
        <w:spacing w:before="240" w:beforeAutospacing="0" w:after="0" w:afterAutospacing="0"/>
        <w:jc w:val="both"/>
        <w:rPr>
          <w:color w:val="000000" w:themeColor="text1"/>
          <w:lang w:val="en-US"/>
        </w:rPr>
      </w:pPr>
      <w:r w:rsidRPr="003E757C">
        <w:rPr>
          <w:color w:val="FFC000"/>
          <w:lang w:val="en-US"/>
        </w:rPr>
        <w:t xml:space="preserve">This study reports results from two complementary implementations. In Simulation A, the discrete-event model is </w:t>
      </w:r>
      <w:proofErr w:type="gramStart"/>
      <w:r w:rsidRPr="003E757C">
        <w:rPr>
          <w:color w:val="FFC000"/>
          <w:lang w:val="en-US"/>
        </w:rPr>
        <w:t>calibrated</w:t>
      </w:r>
      <w:proofErr w:type="gramEnd"/>
      <w:r w:rsidRPr="003E757C">
        <w:rPr>
          <w:color w:val="FFC000"/>
          <w:lang w:val="en-US"/>
        </w:rPr>
        <w:t xml:space="preserve"> to the SUS procurement setting using SESAB and HUPES operational demand records from 2022 to 2023, together with supply parameters validated by domain experts.</w:t>
      </w:r>
      <w:r w:rsidR="005F1157" w:rsidRPr="003E757C">
        <w:rPr>
          <w:color w:val="FFC000"/>
          <w:lang w:val="en-US"/>
        </w:rPr>
        <w:t xml:space="preserve"> </w:t>
      </w:r>
      <w:r w:rsidR="005F1157" w:rsidRPr="001B5B5C">
        <w:rPr>
          <w:i/>
          <w:iCs/>
          <w:color w:val="000000" w:themeColor="text1"/>
          <w:lang w:val="en-US"/>
        </w:rPr>
        <w:t>Code/TEST</w:t>
      </w:r>
      <w:r w:rsidR="005F1157" w:rsidRPr="003C0212">
        <w:rPr>
          <w:color w:val="000000" w:themeColor="text1"/>
          <w:lang w:val="en-US"/>
        </w:rPr>
        <w:t xml:space="preserve"> provide</w:t>
      </w:r>
      <w:r w:rsidR="00136957">
        <w:rPr>
          <w:color w:val="000000" w:themeColor="text1"/>
          <w:lang w:val="en-US"/>
        </w:rPr>
        <w:t>s</w:t>
      </w:r>
      <w:r w:rsidR="005F1157" w:rsidRPr="003C0212">
        <w:rPr>
          <w:color w:val="000000" w:themeColor="text1"/>
          <w:lang w:val="en-US"/>
        </w:rPr>
        <w:t xml:space="preserve"> a reproducible validation protocol for the statistical pipeline, including bootstrap confidence intervals, multiple-comparison control, and standardized effect sizes. </w:t>
      </w:r>
      <w:r w:rsidR="005F1157" w:rsidRPr="001B5B5C">
        <w:rPr>
          <w:i/>
          <w:iCs/>
          <w:color w:val="000000" w:themeColor="text1"/>
          <w:lang w:val="en-US"/>
        </w:rPr>
        <w:t>Code/TEST</w:t>
      </w:r>
      <w:r w:rsidR="005F1157" w:rsidRPr="003C0212">
        <w:rPr>
          <w:color w:val="000000" w:themeColor="text1"/>
          <w:lang w:val="en-US"/>
        </w:rPr>
        <w:t xml:space="preserve"> run</w:t>
      </w:r>
      <w:r w:rsidR="00136957">
        <w:rPr>
          <w:color w:val="000000" w:themeColor="text1"/>
          <w:lang w:val="en-US"/>
        </w:rPr>
        <w:t>s</w:t>
      </w:r>
      <w:r w:rsidR="005F1157" w:rsidRPr="003C0212">
        <w:rPr>
          <w:color w:val="000000" w:themeColor="text1"/>
          <w:lang w:val="en-US"/>
        </w:rPr>
        <w:t xml:space="preserve"> on scenario-level cost arrays exported from the simulation and support</w:t>
      </w:r>
      <w:r w:rsidR="00136957">
        <w:rPr>
          <w:color w:val="000000" w:themeColor="text1"/>
          <w:lang w:val="en-US"/>
        </w:rPr>
        <w:t>s</w:t>
      </w:r>
      <w:r w:rsidR="005F1157" w:rsidRPr="003C0212">
        <w:rPr>
          <w:color w:val="000000" w:themeColor="text1"/>
          <w:lang w:val="en-US"/>
        </w:rPr>
        <w:t xml:space="preserve"> independent replication of all reported inferential statistics.</w:t>
      </w:r>
    </w:p>
    <w:p w14:paraId="3EFD9011" w14:textId="77777777" w:rsidR="0047501B" w:rsidRPr="003C0212" w:rsidRDefault="00000000" w:rsidP="003C0212">
      <w:pPr>
        <w:pStyle w:val="text-base"/>
        <w:spacing w:before="0" w:after="0"/>
        <w:jc w:val="both"/>
        <w:rPr>
          <w:color w:val="000000" w:themeColor="text1"/>
          <w:lang w:val="en-US"/>
        </w:rPr>
      </w:pPr>
      <w:r w:rsidRPr="005B3F97">
        <w:rPr>
          <w:lang w:val="en-US"/>
        </w:rPr>
        <w:t xml:space="preserve">Implementation integrity is enforced by an automated audit layer that checks accounting identities (total cost equals the sum of components), service-level definitions, warm-up/evaluation segmentation, capacity-hit denominators, and invariance of exogenous inputs across policies within each replication. We compute all costs and service metrics over </w:t>
      </w:r>
      <w:proofErr w:type="spellStart"/>
      <w:r w:rsidRPr="005B3F97">
        <w:rPr>
          <w:lang w:val="en-US"/>
        </w:rPr>
        <w:t>T_eval</w:t>
      </w:r>
      <w:proofErr w:type="spellEnd"/>
      <w:r w:rsidRPr="005B3F97">
        <w:rPr>
          <w:lang w:val="en-US"/>
        </w:rPr>
        <w:t xml:space="preserve"> only (days W+1 through T). All checks passed in the final run reported in this manuscript. Across all 1,600 paired replications (4 scenarios × 2 horizons × 2 routing settings × 100), these checks reported zero failures for cost aggregation and fill-rate definitions in both full and evaluation windows.</w:t>
      </w:r>
    </w:p>
    <w:p w14:paraId="208CAD40" w14:textId="77777777" w:rsidR="004A70BA" w:rsidRPr="00F34B55" w:rsidRDefault="00000000" w:rsidP="005B3F97">
      <w:pPr>
        <w:pStyle w:val="text-base"/>
        <w:spacing w:before="0" w:after="0"/>
        <w:jc w:val="both"/>
        <w:rPr>
          <w:lang w:val="en-US"/>
        </w:rPr>
      </w:pPr>
      <w:r w:rsidRPr="00F34B55">
        <w:rPr>
          <w:lang w:val="en-US"/>
        </w:rPr>
        <w:t>We refer to reduced-scope diagnostic runs as quick mode: we set n = 30 paired replications and limit the grid to targeted scenario-horizon combinations for bottleneck isolation and ablation checks reported in the appendices.</w:t>
      </w:r>
    </w:p>
    <w:p w14:paraId="4FDF3841" w14:textId="77777777" w:rsidR="0047501B" w:rsidRPr="00DD5FF3" w:rsidRDefault="00000000"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Statistical Testing Protocol: Paired Design with Common Random Numbers</w:t>
      </w:r>
    </w:p>
    <w:p w14:paraId="417E04CF" w14:textId="77777777" w:rsidR="0047501B" w:rsidRPr="003C0212" w:rsidRDefault="00000000" w:rsidP="00DD5FF3">
      <w:pPr>
        <w:pStyle w:val="text-base"/>
        <w:spacing w:before="240" w:beforeAutospacing="0" w:after="0"/>
        <w:jc w:val="both"/>
        <w:rPr>
          <w:color w:val="000000" w:themeColor="text1"/>
          <w:lang w:val="en-US"/>
        </w:rPr>
      </w:pPr>
      <w:r w:rsidRPr="005B3F97">
        <w:rPr>
          <w:lang w:val="en-US"/>
        </w:rPr>
        <w:t xml:space="preserve">We conduct policy comparisons within each scenario–horizon block using a paired design. For each replication, the simulator generates exogenous demand and lead-time trajectories once and reuses them across all policies (common random numbers), which yields replicate-level paired differences. We </w:t>
      </w:r>
      <w:proofErr w:type="gramStart"/>
      <w:r w:rsidRPr="005B3F97">
        <w:rPr>
          <w:lang w:val="en-US"/>
        </w:rPr>
        <w:t>test</w:t>
      </w:r>
      <w:proofErr w:type="gramEnd"/>
      <w:r w:rsidRPr="005B3F97">
        <w:rPr>
          <w:lang w:val="en-US"/>
        </w:rPr>
        <w:t xml:space="preserve"> paired differences with the Wilcoxon signed-rank test. We summarize uncertainty with percentile bootstrap confidence intervals (B = 1,000 resamples) over paired replications, and we control family-wise error within each scenario–horizon block across policy comparisons using Holm correction. We treat cross-scenario synthesis as descriptive and report effect sizes (paired Cohen’s d) and confidence intervals for interpretation rather than study-level confirmatory claims. Appendix C.3 reports the fixed seed values used in the simulator and training pipeline.</w:t>
      </w:r>
    </w:p>
    <w:p w14:paraId="1A8B41F5" w14:textId="77777777" w:rsidR="0056306D" w:rsidRPr="00DD5FF3" w:rsidRDefault="002875A0"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Statistical Power Analysis</w:t>
      </w:r>
    </w:p>
    <w:p w14:paraId="6B6E15CA" w14:textId="7BE3EE27" w:rsidR="006E21A1" w:rsidRPr="006E21A1" w:rsidRDefault="006E21A1" w:rsidP="006E21A1">
      <w:pPr>
        <w:pStyle w:val="text-base"/>
        <w:spacing w:before="0" w:after="0" w:afterAutospacing="0"/>
        <w:jc w:val="both"/>
        <w:rPr>
          <w:color w:val="000000" w:themeColor="text1"/>
          <w:lang w:val="en-US"/>
        </w:rPr>
      </w:pPr>
      <w:r w:rsidRPr="006E21A1">
        <w:rPr>
          <w:color w:val="000000" w:themeColor="text1"/>
          <w:lang w:val="en-US"/>
        </w:rPr>
        <w:t>We set (</w:t>
      </w:r>
      <w:proofErr w:type="gramStart"/>
      <w:r w:rsidRPr="006E21A1">
        <w:rPr>
          <w:color w:val="000000" w:themeColor="text1"/>
          <w:lang w:val="en-US"/>
        </w:rPr>
        <w:t>n =</w:t>
      </w:r>
      <w:proofErr w:type="gramEnd"/>
      <w:r w:rsidRPr="006E21A1">
        <w:rPr>
          <w:color w:val="000000" w:themeColor="text1"/>
          <w:lang w:val="en-US"/>
        </w:rPr>
        <w:t xml:space="preserve"> 100) paired Monte Carlo replications per condition to fit computational constraints. Using a conservative independent-sample approximation with two-sided (</w:t>
      </w:r>
      <m:oMath>
        <m:r>
          <m:rPr>
            <m:sty m:val="p"/>
          </m:rPr>
          <w:rPr>
            <w:rFonts w:ascii="Cambria Math" w:hAnsi="Cambria Math"/>
            <w:color w:val="000000" w:themeColor="text1"/>
            <w:lang w:val="en-US"/>
          </w:rPr>
          <m:t>α</m:t>
        </m:r>
      </m:oMath>
      <w:r w:rsidRPr="006E21A1">
        <w:rPr>
          <w:color w:val="000000" w:themeColor="text1"/>
          <w:lang w:val="en-US"/>
        </w:rPr>
        <w:t xml:space="preserve"> = 0.05), th</w:t>
      </w:r>
      <w:r>
        <w:rPr>
          <w:color w:val="000000" w:themeColor="text1"/>
          <w:lang w:val="en-US"/>
        </w:rPr>
        <w:t>e</w:t>
      </w:r>
      <w:r w:rsidRPr="006E21A1">
        <w:rPr>
          <w:color w:val="000000" w:themeColor="text1"/>
          <w:lang w:val="en-US"/>
        </w:rPr>
        <w:t xml:space="preserve"> design yields power of approximately 0.45 to detect a </w:t>
      </w:r>
      <w:r w:rsidRPr="006E21A1">
        <w:rPr>
          <w:color w:val="000000" w:themeColor="text1"/>
          <w:lang w:val="en-US"/>
        </w:rPr>
        <w:lastRenderedPageBreak/>
        <w:t xml:space="preserve">medium standardized effect (e.g., </w:t>
      </w:r>
      <m:oMath>
        <m:r>
          <w:rPr>
            <w:rFonts w:ascii="Cambria Math" w:hAnsi="Cambria Math"/>
            <w:color w:val="000000" w:themeColor="text1"/>
            <w:lang w:val="en-US"/>
          </w:rPr>
          <m:t xml:space="preserve">d </m:t>
        </m:r>
        <m:r>
          <m:rPr>
            <m:sty m:val="p"/>
          </m:rPr>
          <w:rPr>
            <w:rFonts w:ascii="Cambria Math" w:hAnsi="Cambria Math"/>
            <w:color w:val="000000" w:themeColor="text1"/>
            <w:lang w:val="en-US"/>
          </w:rPr>
          <m:t>≈</m:t>
        </m:r>
      </m:oMath>
      <w:r w:rsidRPr="006E21A1">
        <w:rPr>
          <w:color w:val="000000" w:themeColor="text1"/>
          <w:lang w:val="en-US"/>
        </w:rPr>
        <w:t xml:space="preserve"> 0.5). The paired CRN design reduces variance in within-condition policy deltas, while </w:t>
      </w:r>
      <w:r>
        <w:rPr>
          <w:color w:val="000000" w:themeColor="text1"/>
          <w:lang w:val="en-US"/>
        </w:rPr>
        <w:t>the Holm correction within each scenario–horizon block further reduces sensitivity</w:t>
      </w:r>
      <w:r w:rsidRPr="006E21A1">
        <w:rPr>
          <w:color w:val="000000" w:themeColor="text1"/>
          <w:lang w:val="en-US"/>
        </w:rPr>
        <w:t xml:space="preserve">. We therefore treat non-significant deltas as </w:t>
      </w:r>
      <w:proofErr w:type="gramStart"/>
      <w:r w:rsidRPr="006E21A1">
        <w:rPr>
          <w:color w:val="000000" w:themeColor="text1"/>
          <w:lang w:val="en-US"/>
        </w:rPr>
        <w:t>exploratory</w:t>
      </w:r>
      <w:proofErr w:type="gramEnd"/>
      <w:r w:rsidRPr="006E21A1">
        <w:rPr>
          <w:color w:val="000000" w:themeColor="text1"/>
          <w:lang w:val="en-US"/>
        </w:rPr>
        <w:t xml:space="preserve"> and report paired bootstrap confidence intervals and effect-size estimates to characterize uncertainty.</w:t>
      </w:r>
    </w:p>
    <w:p w14:paraId="41043CB8" w14:textId="4EC95FF0" w:rsidR="005F1157" w:rsidRPr="002B56EF" w:rsidRDefault="006E21A1" w:rsidP="005F1157">
      <w:pPr>
        <w:pStyle w:val="text-base"/>
        <w:spacing w:before="0" w:after="0" w:afterAutospacing="0"/>
        <w:jc w:val="both"/>
        <w:rPr>
          <w:color w:val="FFC000"/>
          <w:lang w:val="en-US"/>
        </w:rPr>
      </w:pPr>
      <w:r w:rsidRPr="006E21A1">
        <w:rPr>
          <w:color w:val="000000" w:themeColor="text1"/>
          <w:lang w:val="en-US"/>
        </w:rPr>
        <w:t xml:space="preserve">In this study, </w:t>
      </w:r>
      <w:r w:rsidRPr="00791589">
        <w:rPr>
          <w:color w:val="000000" w:themeColor="text1"/>
          <w:lang w:val="en-US"/>
        </w:rPr>
        <w:t xml:space="preserve">readers should interpret cost differences </w:t>
      </w:r>
      <w:proofErr w:type="gramStart"/>
      <w:r w:rsidRPr="00791589">
        <w:rPr>
          <w:color w:val="000000" w:themeColor="text1"/>
          <w:lang w:val="en-US"/>
        </w:rPr>
        <w:t>in light of</w:t>
      </w:r>
      <w:proofErr w:type="gramEnd"/>
      <w:r w:rsidRPr="00791589">
        <w:rPr>
          <w:color w:val="000000" w:themeColor="text1"/>
          <w:lang w:val="en-US"/>
        </w:rPr>
        <w:t xml:space="preserve"> regime-specific dispersion and operational tolerance for service degradation. </w:t>
      </w:r>
      <w:r w:rsidR="003E757C" w:rsidRPr="00791589">
        <w:rPr>
          <w:color w:val="000000" w:themeColor="text1"/>
          <w:lang w:val="en-US"/>
        </w:rPr>
        <w:t xml:space="preserve">Applied statistical guidance indicates that thresholds for practical relevance should be defined within the application domain rather than borrowed as universal cutoffs </w:t>
      </w:r>
      <w:r w:rsidR="003D4B97" w:rsidRPr="00791589">
        <w:rPr>
          <w:color w:val="000000" w:themeColor="text1"/>
          <w:lang w:val="en-US"/>
        </w:rPr>
        <w:fldChar w:fldCharType="begin"/>
      </w:r>
      <w:r w:rsidR="003D4B97" w:rsidRPr="00791589">
        <w:rPr>
          <w:color w:val="000000" w:themeColor="text1"/>
          <w:lang w:val="en-US"/>
        </w:rPr>
        <w:instrText xml:space="preserve"> ADDIN ZOTERO_ITEM CSL_CITATION {"citationID":"RQ9X1j2b","properties":{"formattedCitation":"(Panzarella et al., 2021)","plainCitation":"(Panzarella et al., 2021)","noteIndex":0},"citationItems":[{"id":3562,"uris":["http://zotero.org/users/12903205/items/UXEDGJ9I"],"itemData":{"id":3562,"type":"article-journal","abstract":"An effect size (ES) provides valuable information regarding the magnitude of effects, with the interpretation of magnitude being the most important. Interpreting ES magnitude requires combining information from the numerical ES value and the context of the research. However, many researchers adopt popular benchmarks such as those proposed by Cohen. More recently, researchers have proposed interpreting ES magnitude relative to the distribution of observed ESs in a specific field, creating unique benchmarks for declaring effects small, medium or large. However, there is no valid rationale whatsoever for this approach. This study was carried out in two parts: (1) We identified articles that proposed the use of field-specific ES distributions to interpret magnitude (primary articles); and (2) We identified articles that cited the primary articles and classified them by year and publication type. The first type consisted of methodological papers. The second type included articles that interpreted ES magnitude using the approach proposed in the primary articles. There has been a steady increase in the number of methodological and substantial articles discussing or adopting the approach of interpreting ES magnitude by considering the distribution of observed ES in that field, even though the approach is devoid of a theoretical framework. It is hoped that this research will restrict the practice of interpreting ES magnitude relative to the distribution of ES values in a field and instead encourage researchers to interpret such by considering the specific context of the study.","container-title":"PeerJ","DOI":"10.7717/peerj.11383","ISSN":"2167-8359","language":"en","license":"https://creativecommons.org/licenses/by/4.0/","page":"e11383","source":"DOI.org (Crossref)","title":"Denouncing the use of field-specific effect size distributions to inform magnitude","volume":"9","author":[{"family":"Panzarella","given":"Emily"},{"family":"Beribisky","given":"Nataly"},{"family":"Cribbie","given":"Robert A."}],"issued":{"date-parts":[["2021",6,14]]}}}],"schema":"https://github.com/citation-style-language/schema/raw/master/csl-citation.json"} </w:instrText>
      </w:r>
      <w:r w:rsidR="003D4B97" w:rsidRPr="00791589">
        <w:rPr>
          <w:color w:val="000000" w:themeColor="text1"/>
          <w:lang w:val="en-US"/>
        </w:rPr>
        <w:fldChar w:fldCharType="separate"/>
      </w:r>
      <w:r w:rsidR="003D4B97" w:rsidRPr="00791589">
        <w:rPr>
          <w:color w:val="000000" w:themeColor="text1"/>
          <w:lang w:val="en-US"/>
        </w:rPr>
        <w:t>(Panzarella et al., 2021)</w:t>
      </w:r>
      <w:r w:rsidR="003D4B97" w:rsidRPr="00791589">
        <w:rPr>
          <w:color w:val="000000" w:themeColor="text1"/>
          <w:lang w:val="en-US"/>
        </w:rPr>
        <w:fldChar w:fldCharType="end"/>
      </w:r>
      <w:r w:rsidRPr="003E757C">
        <w:rPr>
          <w:color w:val="000000" w:themeColor="text1"/>
          <w:lang w:val="en-US"/>
        </w:rPr>
        <w:t xml:space="preserve">. </w:t>
      </w:r>
      <w:r w:rsidR="003E757C" w:rsidRPr="003E757C">
        <w:rPr>
          <w:color w:val="FFC000"/>
          <w:lang w:val="en-US"/>
        </w:rPr>
        <w:t xml:space="preserve">In operations research, it has long been recognized that gains observed under nominal mean conditions often narrow once demand becomes ambiguous or the operating regime changes. Larger relative performance gaps, however, tend to remain visible across stochastic </w:t>
      </w:r>
      <w:r w:rsidR="003E757C" w:rsidRPr="002B56EF">
        <w:rPr>
          <w:color w:val="FFC000"/>
          <w:lang w:val="en-US"/>
        </w:rPr>
        <w:t xml:space="preserve">realizations in uncertain inventory settings </w:t>
      </w:r>
      <w:r w:rsidR="007D7E39" w:rsidRPr="002B56EF">
        <w:rPr>
          <w:color w:val="FFC000"/>
          <w:lang w:val="en-US"/>
        </w:rPr>
        <w:fldChar w:fldCharType="begin"/>
      </w:r>
      <w:r w:rsidR="007D7E39" w:rsidRPr="002B56EF">
        <w:rPr>
          <w:color w:val="FFC000"/>
          <w:lang w:val="en-US"/>
        </w:rPr>
        <w:instrText xml:space="preserve"> ADDIN ZOTERO_ITEM CSL_CITATION {"citationID":"snpHr0br","properties":{"formattedCitation":"(Qiu et al., 2021; Xin and Goldberg, 2022)","plainCitation":"(Qiu et al., 2021; Xin and Goldberg, 2022)","noteIndex":0},"citationItems":[{"id":3566,"uris":["http://zotero.org/users/12903205/items/J8I7XJXK"],"itemData":{"id":3566,"type":"article-journal","container-title":"Computers &amp; Operations Research","DOI":"10.1016/j.cor.2020.105081","ISSN":"03050548","journalAbbreviation":"Computers &amp; Operations Research","language":"en","page":"105081","source":"DOI.org (Crossref)","title":"A distributionally robust optimization approach for multi-product inventory decisions with budget constraint and demand and yield uncertainties","volume":"126","author":[{"family":"Qiu","given":"Ruozhen"},{"family":"Sun","given":"Yue"},{"family":"Sun","given":"Minghe"}],"issued":{"date-parts":[["2021",2]]}},"label":"page"},{"id":3524,"uris":["http://zotero.org/users/12903205/items/WYF5FI6Y"],"itemData":{"id":3524,"type":"article-journal","abstract":"Demand forecasting plays an important role in many inventory control problems. To mitigate the potential harms of model misspecification in this context, various forms of distributionally robust optimization have been applied. Although many of these methodologies suffer from the problem of time inconsistency, the work of Klabjan et al. established a general time-consistent framework for such problems by connecting to the literature on robust Markov decision processes. Motivated by the fact that many forecasting models exhibit very special structure as well as a desire to understand the impact of positing different dependency structures in distributionally robust multistage optimization, we formulate and solve a time-consistent distributionally robust multistage newsvendor model, which naturally robustifies some of the simplest inventory models with demand forecasting. In particular, in some of the simplest such models, demand evolves as a martingale (i.e., expected demand tomorrow equals realized demand today). We consider a robust variant of such models in which the sequence of future demands may be any martingale with given mean and support. Under such a model, past realizations of demand are naturally incorporated into the structure of the uncertainty set going forward. We explicitly compute the minimax optimal policy (and worst-case distribution) in closed form by combining ideas from convex analysis, probability, and dynamic programming. We prove that, at optimality, the worst-case demand distribution corresponds to the setting in which inventory may become obsolete at a random time. To gain further insight, we prove weak convergence (as the time horizon grows large) to a simple and intuitive process. We also compare with the analogous setting in which demand is independent across periods (analyzed previously by Shapiro) and identify several differences between these models in the spirit of the price of correlations studied by Agrawal et al. Finally, we complement our results by providing both numerical experiments that illustrate the potential benefits and limitations of our approach as well as additional theoretical analyses exploring what happens when our modeling assumptions do not hold.","container-title":"Mathematics of Operations Research","DOI":"10.1287/moor.2021.1213","ISSN":"0364-765X, 1526-5471","issue":"3","journalAbbreviation":"Mathematics of OR","language":"en","page":"2387-2414","source":"DOI.org (Crossref)","title":"Distributionally Robust Inventory Control When Demand Is a Martingale","volume":"47","author":[{"family":"Xin","given":"Linwei"},{"family":"Goldberg","given":"David Alan"}],"issued":{"date-parts":[["2022",8]]}},"label":"page"}],"schema":"https://github.com/citation-style-language/schema/raw/master/csl-citation.json"} </w:instrText>
      </w:r>
      <w:r w:rsidR="007D7E39" w:rsidRPr="002B56EF">
        <w:rPr>
          <w:color w:val="FFC000"/>
          <w:lang w:val="en-US"/>
        </w:rPr>
        <w:fldChar w:fldCharType="separate"/>
      </w:r>
      <w:r w:rsidR="007D7E39" w:rsidRPr="002B56EF">
        <w:rPr>
          <w:color w:val="FFC000"/>
          <w:lang w:val="en-US"/>
        </w:rPr>
        <w:t>(Qiu et al., 2021; Xin and Goldberg, 2022)</w:t>
      </w:r>
      <w:r w:rsidR="007D7E39" w:rsidRPr="002B56EF">
        <w:rPr>
          <w:color w:val="FFC000"/>
          <w:lang w:val="en-US"/>
        </w:rPr>
        <w:fldChar w:fldCharType="end"/>
      </w:r>
      <w:r w:rsidRPr="002B56EF">
        <w:rPr>
          <w:color w:val="FFC000"/>
          <w:lang w:val="en-US"/>
        </w:rPr>
        <w:t>.</w:t>
      </w:r>
      <w:r w:rsidR="005F1157" w:rsidRPr="002B56EF">
        <w:rPr>
          <w:color w:val="FFC000"/>
          <w:lang w:val="en-US"/>
        </w:rPr>
        <w:t xml:space="preserve"> </w:t>
      </w:r>
    </w:p>
    <w:p w14:paraId="2D0C3CA4" w14:textId="6FD6092E" w:rsidR="006E21A1" w:rsidRPr="006E21A1" w:rsidRDefault="003E757C" w:rsidP="005F1157">
      <w:pPr>
        <w:pStyle w:val="text-base"/>
        <w:spacing w:before="0" w:after="0" w:afterAutospacing="0"/>
        <w:jc w:val="both"/>
        <w:rPr>
          <w:color w:val="000000" w:themeColor="text1"/>
          <w:lang w:val="en-US"/>
        </w:rPr>
      </w:pPr>
      <w:r w:rsidRPr="003E757C">
        <w:rPr>
          <w:color w:val="FFC000"/>
          <w:lang w:val="en-US"/>
        </w:rPr>
        <w:t>Consistent with that view, we summarize relative cost differences using context-dependent bands: small</w:t>
      </w:r>
      <w:r w:rsidR="000D502C">
        <w:rPr>
          <w:color w:val="FFC000"/>
          <w:lang w:val="en-US"/>
        </w:rPr>
        <w:t xml:space="preserve"> (&lt;15%), with values under 5% treated as clearly minor; medium (15%-35%); and large (&gt;35%)</w:t>
      </w:r>
      <w:r w:rsidRPr="003E757C">
        <w:rPr>
          <w:color w:val="FFC000"/>
          <w:lang w:val="en-US"/>
        </w:rPr>
        <w:t>. These bands are introduced as interpretive heuristics to support substantive reading of the results, not as formal effect-size categories.</w:t>
      </w:r>
      <w:r w:rsidR="006E21A1" w:rsidRPr="003E757C">
        <w:rPr>
          <w:color w:val="FFC000"/>
          <w:lang w:val="en-US"/>
        </w:rPr>
        <w:t xml:space="preserve"> </w:t>
      </w:r>
      <w:r w:rsidR="006E21A1" w:rsidRPr="005F1157">
        <w:rPr>
          <w:color w:val="000000" w:themeColor="text1"/>
          <w:lang w:val="en-US"/>
        </w:rPr>
        <w:t>We pair them with uncertainty</w:t>
      </w:r>
      <w:r w:rsidR="006E21A1" w:rsidRPr="006E21A1">
        <w:rPr>
          <w:color w:val="000000" w:themeColor="text1"/>
          <w:lang w:val="en-US"/>
        </w:rPr>
        <w:t xml:space="preserve"> quantification and with the service outcomes reported in Tables 3–6.</w:t>
      </w:r>
    </w:p>
    <w:p w14:paraId="497F2FAD" w14:textId="77777777" w:rsidR="00AF167F" w:rsidRPr="00DD5FF3" w:rsidRDefault="002875A0"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Verification and Validation (V&amp;V) Protocol</w:t>
      </w:r>
    </w:p>
    <w:p w14:paraId="2F54E05B" w14:textId="77777777" w:rsidR="00944D1B" w:rsidRPr="00DD5FF3" w:rsidRDefault="00944D1B" w:rsidP="00DD5FF3">
      <w:pPr>
        <w:pStyle w:val="text-base"/>
        <w:spacing w:before="0" w:after="0"/>
        <w:jc w:val="both"/>
        <w:rPr>
          <w:lang w:val="en-US"/>
        </w:rPr>
      </w:pPr>
      <w:r w:rsidRPr="00FD0529">
        <w:rPr>
          <w:lang w:val="en-US"/>
        </w:rPr>
        <w:t>We validated the simulation logic through accounting checks (inventory balance and lead-time pipeline conservation) under deterministic seeds and through consistency checks against standard lost-sales inventory dynamics. Domain specialists reviewed the plausibility of parameter ranges used for synthetic supply-side inputs.</w:t>
      </w:r>
    </w:p>
    <w:p w14:paraId="662FDB19" w14:textId="77777777" w:rsidR="00AC5F4C" w:rsidRPr="00DD5FF3" w:rsidRDefault="00000000" w:rsidP="00DD5FF3">
      <w:pPr>
        <w:pStyle w:val="PargrafodaLista"/>
        <w:numPr>
          <w:ilvl w:val="1"/>
          <w:numId w:val="43"/>
        </w:numPr>
        <w:spacing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Multi-seed sensitivity check</w:t>
      </w:r>
    </w:p>
    <w:p w14:paraId="54F53854" w14:textId="77777777" w:rsidR="00AC5F4C" w:rsidRPr="00DD5FF3" w:rsidRDefault="00000000" w:rsidP="00DD5FF3">
      <w:pPr>
        <w:pStyle w:val="text-base"/>
        <w:spacing w:before="0" w:after="0"/>
        <w:jc w:val="both"/>
        <w:rPr>
          <w:lang w:val="en-US"/>
        </w:rPr>
      </w:pPr>
      <w:r w:rsidRPr="00211F52">
        <w:rPr>
          <w:lang w:val="en-US"/>
        </w:rPr>
        <w:t>We use a targeted robustness check rather than a second full experiment. The RL controller is retrained under five independent random initializations and evaluated only under stable demand and supply disruption, at 90 and 180 days, with n = 30 paired replications per seed. For each seed, we compute bootstrap confidence intervals (B = 1,000), summarize across seeds with median seed-level means and observed ranges, and then recover replication-level tail metrics from pooled raw replications.</w:t>
      </w:r>
    </w:p>
    <w:p w14:paraId="5E7EDE15" w14:textId="77777777" w:rsidR="00AF167F" w:rsidRPr="00DD5FF3" w:rsidRDefault="002875A0" w:rsidP="00DD5FF3">
      <w:pPr>
        <w:pStyle w:val="PargrafodaLista"/>
        <w:numPr>
          <w:ilvl w:val="1"/>
          <w:numId w:val="43"/>
        </w:numPr>
        <w:spacing w:before="240" w:after="240"/>
        <w:rPr>
          <w:rFonts w:asciiTheme="majorHAnsi" w:hAnsiTheme="majorHAnsi"/>
          <w:color w:val="0F4761" w:themeColor="accent1" w:themeShade="BF"/>
          <w:sz w:val="24"/>
          <w:szCs w:val="24"/>
        </w:rPr>
      </w:pPr>
      <w:r w:rsidRPr="00DD5FF3">
        <w:rPr>
          <w:rFonts w:asciiTheme="majorHAnsi" w:hAnsiTheme="majorHAnsi"/>
          <w:color w:val="0F4761" w:themeColor="accent1" w:themeShade="BF"/>
          <w:sz w:val="24"/>
          <w:szCs w:val="24"/>
        </w:rPr>
        <w:t>Explainability and Sensitivity Analysis</w:t>
      </w:r>
    </w:p>
    <w:p w14:paraId="441AB73A" w14:textId="707D9E33" w:rsidR="002D4662" w:rsidRPr="00A70916" w:rsidRDefault="002D4662" w:rsidP="00DE6F31">
      <w:pPr>
        <w:pStyle w:val="text-base"/>
        <w:spacing w:before="0" w:after="0"/>
        <w:jc w:val="both"/>
        <w:rPr>
          <w:color w:val="000000" w:themeColor="text1"/>
          <w:lang w:val="en-US"/>
        </w:rPr>
      </w:pPr>
      <w:r w:rsidRPr="003868EC">
        <w:rPr>
          <w:lang w:val="en-US"/>
        </w:rPr>
        <w:t xml:space="preserve">The RL controller uses an order-up-to target and a bounded discrete adjustment, which yields an interpretable decision rule. We diagnose failure modes in Supply Disruption through targeted ablations that remove the discontinuous zero-lost-sales bonus, </w:t>
      </w:r>
      <w:r w:rsidR="006E21A1">
        <w:rPr>
          <w:lang w:val="en-US"/>
        </w:rPr>
        <w:t>expand the action space, and add a fallback guardrail, along</w:t>
      </w:r>
      <w:r w:rsidRPr="003868EC">
        <w:rPr>
          <w:lang w:val="en-US"/>
        </w:rPr>
        <w:t xml:space="preserve"> with trace-based evidence on ordering frequency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oMath>
      <w:r w:rsidRPr="003868EC">
        <w:rPr>
          <w:lang w:val="en-US"/>
        </w:rPr>
        <w:t>) and lost-sales days. We treat broader sensitivity analysis over cost ratios and reward terms as future work.</w:t>
      </w:r>
    </w:p>
    <w:p w14:paraId="4FF3FF9D" w14:textId="77777777" w:rsidR="00F96EE3" w:rsidRDefault="00000000" w:rsidP="007F0DFF">
      <w:pPr>
        <w:jc w:val="both"/>
      </w:pPr>
      <w:r>
        <w:t>To make the governance layer explicit as a computable deployment artifact, Figure 2, Algorithm 1, and Table 2 summarize the runtime safety gate, fallback logic, and decision thresholds used to wrap the learned controller at deployment.</w:t>
      </w:r>
    </w:p>
    <w:p w14:paraId="5EA2182E" w14:textId="44A78A9E" w:rsidR="00F96EE3" w:rsidRDefault="00F96EE3"/>
    <w:tbl>
      <w:tblPr>
        <w:tblStyle w:val="Tabelacomgrade"/>
        <w:tblW w:w="0" w:type="auto"/>
        <w:jc w:val="center"/>
        <w:tblLook w:val="04A0" w:firstRow="1" w:lastRow="0" w:firstColumn="1" w:lastColumn="0" w:noHBand="0" w:noVBand="1"/>
      </w:tblPr>
      <w:tblGrid>
        <w:gridCol w:w="9746"/>
      </w:tblGrid>
      <w:tr w:rsidR="000C73A8" w14:paraId="4090101E" w14:textId="77777777" w:rsidTr="000C73A8">
        <w:trPr>
          <w:jc w:val="center"/>
        </w:trPr>
        <w:tc>
          <w:tcPr>
            <w:tcW w:w="9746" w:type="dxa"/>
            <w:tcBorders>
              <w:top w:val="nil"/>
              <w:left w:val="nil"/>
              <w:bottom w:val="nil"/>
              <w:right w:val="nil"/>
            </w:tcBorders>
          </w:tcPr>
          <w:p w14:paraId="0B867701" w14:textId="77777777" w:rsidR="000C73A8" w:rsidRDefault="000C73A8">
            <w:r>
              <w:rPr>
                <w:noProof/>
                <w14:ligatures w14:val="standardContextual"/>
              </w:rPr>
              <w:lastRenderedPageBreak/>
              <w:drawing>
                <wp:inline distT="0" distB="0" distL="0" distR="0" wp14:anchorId="63308324" wp14:editId="62DD1688">
                  <wp:extent cx="6188710" cy="3978275"/>
                  <wp:effectExtent l="0" t="0" r="0" b="0"/>
                  <wp:docPr id="288408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0892" name="Imagem 288408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3978275"/>
                          </a:xfrm>
                          <a:prstGeom prst="rect">
                            <a:avLst/>
                          </a:prstGeom>
                        </pic:spPr>
                      </pic:pic>
                    </a:graphicData>
                  </a:graphic>
                </wp:inline>
              </w:drawing>
            </w:r>
          </w:p>
        </w:tc>
      </w:tr>
      <w:tr w:rsidR="000C73A8" w:rsidRPr="007F1654" w14:paraId="026C9593" w14:textId="77777777" w:rsidTr="000C73A8">
        <w:trPr>
          <w:jc w:val="center"/>
        </w:trPr>
        <w:tc>
          <w:tcPr>
            <w:tcW w:w="9746" w:type="dxa"/>
            <w:tcBorders>
              <w:top w:val="nil"/>
              <w:left w:val="nil"/>
              <w:bottom w:val="nil"/>
              <w:right w:val="nil"/>
            </w:tcBorders>
          </w:tcPr>
          <w:p w14:paraId="71C735EC" w14:textId="77777777" w:rsidR="000C73A8" w:rsidRPr="007F1654" w:rsidRDefault="000C73A8" w:rsidP="007F1654">
            <w:pPr>
              <w:pStyle w:val="Corpodetexto"/>
              <w:spacing w:before="0" w:beforeAutospacing="1" w:line="286" w:lineRule="auto"/>
              <w:ind w:left="0" w:right="14"/>
              <w:jc w:val="both"/>
              <w:rPr>
                <w:rFonts w:cs="Times New Roman"/>
                <w:color w:val="000000" w:themeColor="text1"/>
                <w:sz w:val="22"/>
                <w:szCs w:val="22"/>
                <w:lang w:eastAsia="pt-BR"/>
              </w:rPr>
            </w:pPr>
            <w:r w:rsidRPr="007F1654">
              <w:rPr>
                <w:rFonts w:cs="Times New Roman"/>
                <w:b/>
                <w:bCs/>
                <w:color w:val="000000" w:themeColor="text1"/>
                <w:sz w:val="22"/>
                <w:szCs w:val="22"/>
                <w:lang w:eastAsia="pt-BR"/>
              </w:rPr>
              <w:t>Figure 2</w:t>
            </w:r>
            <w:r w:rsidR="00DC3F28">
              <w:rPr>
                <w:rFonts w:cs="Times New Roman"/>
                <w:b/>
                <w:bCs/>
                <w:color w:val="000000" w:themeColor="text1"/>
                <w:sz w:val="22"/>
                <w:szCs w:val="22"/>
                <w:lang w:eastAsia="pt-BR"/>
              </w:rPr>
              <w:t>:</w:t>
            </w:r>
            <w:r w:rsidRPr="007F1654">
              <w:rPr>
                <w:rFonts w:cs="Times New Roman"/>
                <w:b/>
                <w:bCs/>
                <w:color w:val="000000" w:themeColor="text1"/>
                <w:sz w:val="22"/>
                <w:szCs w:val="22"/>
                <w:lang w:eastAsia="pt-BR"/>
              </w:rPr>
              <w:t xml:space="preserve"> </w:t>
            </w:r>
            <w:r w:rsidRPr="007F1654">
              <w:rPr>
                <w:rFonts w:cs="Times New Roman"/>
                <w:color w:val="000000" w:themeColor="text1"/>
                <w:sz w:val="22"/>
                <w:szCs w:val="22"/>
                <w:lang w:eastAsia="pt-BR"/>
              </w:rPr>
              <w:t>Runtime safety gate and fallback wrapper around the inventory policy (conceptual).</w:t>
            </w:r>
          </w:p>
        </w:tc>
      </w:tr>
    </w:tbl>
    <w:p w14:paraId="71765EF8" w14:textId="77777777" w:rsidR="00211F52" w:rsidRDefault="00211F52"/>
    <w:p w14:paraId="06962B62" w14:textId="77777777" w:rsidR="00211F52" w:rsidRDefault="00211F52"/>
    <w:p w14:paraId="1AB2DF2D" w14:textId="65263A44" w:rsidR="00F96EE3" w:rsidRPr="00D327B7" w:rsidRDefault="00000000" w:rsidP="00D327B7">
      <w:pPr>
        <w:pStyle w:val="ng-star-inserted"/>
        <w:spacing w:before="0" w:after="0" w:afterAutospacing="0"/>
        <w:ind w:left="216" w:right="14"/>
        <w:jc w:val="center"/>
        <w:rPr>
          <w:b/>
          <w:bCs/>
          <w:sz w:val="20"/>
          <w:lang w:val="en-US"/>
        </w:rPr>
      </w:pPr>
      <w:r w:rsidRPr="00D327B7">
        <w:rPr>
          <w:b/>
          <w:bCs/>
          <w:sz w:val="20"/>
          <w:lang w:val="en-US"/>
        </w:rPr>
        <w:t>Algorithm 1. Runtime gate with fallback to a conservative baseline.</w:t>
      </w:r>
    </w:p>
    <w:tbl>
      <w:tblPr>
        <w:tblStyle w:val="Tabelacomgrade"/>
        <w:tblW w:w="0" w:type="auto"/>
        <w:jc w:val="center"/>
        <w:tblLook w:val="04A0" w:firstRow="1" w:lastRow="0" w:firstColumn="1" w:lastColumn="0" w:noHBand="0" w:noVBand="1"/>
      </w:tblPr>
      <w:tblGrid>
        <w:gridCol w:w="9736"/>
      </w:tblGrid>
      <w:tr w:rsidR="00AC5F4C" w14:paraId="3E9197BA" w14:textId="77777777">
        <w:trPr>
          <w:jc w:val="center"/>
        </w:trPr>
        <w:tc>
          <w:tcPr>
            <w:tcW w:w="9746" w:type="dxa"/>
          </w:tcPr>
          <w:p w14:paraId="6A12C3F5" w14:textId="77777777" w:rsidR="00D135CF" w:rsidRDefault="00000000">
            <w:pPr>
              <w:rPr>
                <w:sz w:val="18"/>
              </w:rPr>
            </w:pPr>
            <w:r>
              <w:rPr>
                <w:sz w:val="18"/>
              </w:rPr>
              <w:t xml:space="preserve">Inputs: </w:t>
            </w:r>
            <w:proofErr w:type="spellStart"/>
            <w:r>
              <w:rPr>
                <w:sz w:val="18"/>
              </w:rPr>
              <w:t>service_floor</w:t>
            </w:r>
            <w:proofErr w:type="spellEnd"/>
            <w:r>
              <w:rPr>
                <w:sz w:val="18"/>
              </w:rPr>
              <w:t xml:space="preserve"> τ=0.90; window length W; persistence k; fallback duration m (or until recovery)</w:t>
            </w:r>
          </w:p>
          <w:p w14:paraId="28C5C293" w14:textId="6CF47939" w:rsidR="007F0DFF" w:rsidRDefault="00000000">
            <w:pPr>
              <w:rPr>
                <w:sz w:val="18"/>
              </w:rPr>
            </w:pPr>
            <w:r>
              <w:rPr>
                <w:sz w:val="18"/>
              </w:rPr>
              <w:t xml:space="preserve">For t = </w:t>
            </w:r>
            <w:proofErr w:type="gramStart"/>
            <w:r>
              <w:rPr>
                <w:sz w:val="18"/>
              </w:rPr>
              <w:t>1..</w:t>
            </w:r>
            <w:proofErr w:type="gramEnd"/>
            <w:r>
              <w:rPr>
                <w:sz w:val="18"/>
              </w:rPr>
              <w:t>T:</w:t>
            </w:r>
          </w:p>
          <w:p w14:paraId="131B8991" w14:textId="0E3B756F" w:rsidR="007F0DFF" w:rsidRDefault="00000000">
            <w:pPr>
              <w:rPr>
                <w:sz w:val="18"/>
              </w:rPr>
            </w:pPr>
            <w:r>
              <w:rPr>
                <w:sz w:val="18"/>
              </w:rPr>
              <w:t xml:space="preserve">  1) Compute baseline order </w:t>
            </w:r>
            <m:oMath>
              <m:sSub>
                <m:sSubPr>
                  <m:ctrlPr>
                    <w:rPr>
                      <w:rFonts w:ascii="Cambria Math" w:hAnsi="Cambria Math"/>
                      <w:i/>
                      <w:sz w:val="18"/>
                    </w:rPr>
                  </m:ctrlPr>
                </m:sSubPr>
                <m:e>
                  <m:r>
                    <w:rPr>
                      <w:rFonts w:ascii="Cambria Math" w:hAnsi="Cambria Math"/>
                      <w:sz w:val="18"/>
                    </w:rPr>
                    <m:t>q</m:t>
                  </m:r>
                </m:e>
                <m:sub>
                  <m:r>
                    <w:rPr>
                      <w:rFonts w:ascii="Cambria Math" w:hAnsi="Cambria Math"/>
                      <w:sz w:val="18"/>
                    </w:rPr>
                    <m:t>B</m:t>
                  </m:r>
                </m:sub>
              </m:sSub>
              <m:sSub>
                <m:sSubPr>
                  <m:ctrlPr>
                    <w:rPr>
                      <w:rFonts w:ascii="Cambria Math" w:hAnsi="Cambria Math"/>
                      <w:i/>
                      <w:sz w:val="18"/>
                    </w:rPr>
                  </m:ctrlPr>
                </m:sSubPr>
                <m:e>
                  <m:r>
                    <w:rPr>
                      <w:rFonts w:ascii="Cambria Math" w:hAnsi="Cambria Math"/>
                      <w:sz w:val="18"/>
                    </w:rPr>
                    <m:t>S</m:t>
                  </m:r>
                </m:e>
                <m:sub>
                  <m:r>
                    <w:rPr>
                      <w:rFonts w:ascii="Cambria Math" w:hAnsi="Cambria Math"/>
                      <w:sz w:val="18"/>
                    </w:rPr>
                    <m:t>(t)</m:t>
                  </m:r>
                </m:sub>
              </m:sSub>
            </m:oMath>
            <w:r>
              <w:rPr>
                <w:sz w:val="18"/>
              </w:rPr>
              <w:t xml:space="preserve"> from Base-stock (Uncertain)</w:t>
            </w:r>
          </w:p>
          <w:p w14:paraId="22D7FECE" w14:textId="7DD5EF2D" w:rsidR="007F0DFF" w:rsidRDefault="00000000">
            <w:pPr>
              <w:rPr>
                <w:sz w:val="18"/>
              </w:rPr>
            </w:pPr>
            <w:r>
              <w:rPr>
                <w:sz w:val="18"/>
              </w:rPr>
              <w:t xml:space="preserve">  2) Compute Hybrid AI order </w:t>
            </w:r>
            <m:oMath>
              <m:sSub>
                <m:sSubPr>
                  <m:ctrlPr>
                    <w:rPr>
                      <w:rFonts w:ascii="Cambria Math" w:hAnsi="Cambria Math"/>
                      <w:i/>
                      <w:sz w:val="18"/>
                    </w:rPr>
                  </m:ctrlPr>
                </m:sSubPr>
                <m:e>
                  <m:r>
                    <w:rPr>
                      <w:rFonts w:ascii="Cambria Math" w:hAnsi="Cambria Math"/>
                      <w:sz w:val="18"/>
                    </w:rPr>
                    <m:t>q</m:t>
                  </m:r>
                </m:e>
                <m:sub>
                  <m:r>
                    <w:rPr>
                      <w:rFonts w:ascii="Cambria Math" w:hAnsi="Cambria Math"/>
                      <w:sz w:val="18"/>
                    </w:rPr>
                    <m:t>A</m:t>
                  </m:r>
                </m:sub>
              </m:sSub>
              <m:sSub>
                <m:sSubPr>
                  <m:ctrlPr>
                    <w:rPr>
                      <w:rFonts w:ascii="Cambria Math" w:hAnsi="Cambria Math"/>
                      <w:i/>
                      <w:sz w:val="18"/>
                    </w:rPr>
                  </m:ctrlPr>
                </m:sSubPr>
                <m:e>
                  <m:r>
                    <w:rPr>
                      <w:rFonts w:ascii="Cambria Math" w:hAnsi="Cambria Math"/>
                      <w:sz w:val="18"/>
                    </w:rPr>
                    <m:t>I</m:t>
                  </m:r>
                </m:e>
                <m:sub>
                  <m:r>
                    <w:rPr>
                      <w:rFonts w:ascii="Cambria Math" w:hAnsi="Cambria Math"/>
                      <w:sz w:val="18"/>
                    </w:rPr>
                    <m:t>(t)</m:t>
                  </m:r>
                </m:sub>
              </m:sSub>
            </m:oMath>
            <w:r>
              <w:rPr>
                <w:sz w:val="18"/>
              </w:rPr>
              <w:t xml:space="preserve"> from </w:t>
            </w:r>
            <w:r w:rsidR="009C0FA5">
              <w:rPr>
                <w:sz w:val="18"/>
              </w:rPr>
              <w:t xml:space="preserve">the </w:t>
            </w:r>
            <w:r>
              <w:rPr>
                <w:sz w:val="18"/>
              </w:rPr>
              <w:t>RL policy</w:t>
            </w:r>
          </w:p>
          <w:p w14:paraId="0C00A718" w14:textId="5356EE0A" w:rsidR="007F0DFF" w:rsidRDefault="00000000">
            <w:pPr>
              <w:rPr>
                <w:sz w:val="18"/>
              </w:rPr>
            </w:pPr>
            <w:r>
              <w:rPr>
                <w:sz w:val="18"/>
              </w:rPr>
              <w:t xml:space="preserve">  3) Update rolling KPIs on window [t−W+1, t]: </w:t>
            </w:r>
            <w:proofErr w:type="spellStart"/>
            <w:r>
              <w:rPr>
                <w:sz w:val="18"/>
              </w:rPr>
              <w:t>fill_W</w:t>
            </w:r>
            <w:proofErr w:type="spellEnd"/>
            <w:r w:rsidRPr="009C0FA5">
              <w:rPr>
                <w:sz w:val="18"/>
                <w:vertAlign w:val="subscript"/>
              </w:rPr>
              <w:t>(t)</w:t>
            </w:r>
            <w:r>
              <w:rPr>
                <w:sz w:val="18"/>
              </w:rPr>
              <w:t xml:space="preserve">, </w:t>
            </w:r>
            <w:proofErr w:type="spellStart"/>
            <w:r>
              <w:rPr>
                <w:sz w:val="18"/>
              </w:rPr>
              <w:t>stockout_share_W</w:t>
            </w:r>
            <w:proofErr w:type="spellEnd"/>
            <w:r w:rsidRPr="009C0FA5">
              <w:rPr>
                <w:sz w:val="18"/>
                <w:vertAlign w:val="subscript"/>
              </w:rPr>
              <w:t>(t)</w:t>
            </w:r>
            <w:r>
              <w:rPr>
                <w:sz w:val="18"/>
              </w:rPr>
              <w:t xml:space="preserve">, </w:t>
            </w:r>
            <w:proofErr w:type="spellStart"/>
            <w:r>
              <w:rPr>
                <w:sz w:val="18"/>
              </w:rPr>
              <w:t>cost_ratio_W</w:t>
            </w:r>
            <w:proofErr w:type="spellEnd"/>
            <w:r w:rsidRPr="009C0FA5">
              <w:rPr>
                <w:sz w:val="18"/>
                <w:vertAlign w:val="subscript"/>
              </w:rPr>
              <w:t>(t)</w:t>
            </w:r>
            <w:r>
              <w:rPr>
                <w:sz w:val="18"/>
              </w:rPr>
              <w:t xml:space="preserve">, </w:t>
            </w:r>
            <w:proofErr w:type="spellStart"/>
            <w:r>
              <w:rPr>
                <w:sz w:val="18"/>
              </w:rPr>
              <w:t>volume_W</w:t>
            </w:r>
            <w:proofErr w:type="spellEnd"/>
            <w:r w:rsidRPr="009C0FA5">
              <w:rPr>
                <w:sz w:val="18"/>
                <w:vertAlign w:val="subscript"/>
              </w:rPr>
              <w:t>(t)</w:t>
            </w:r>
          </w:p>
          <w:p w14:paraId="422B67FB" w14:textId="259DE9D4" w:rsidR="007F0DFF" w:rsidRDefault="00000000">
            <w:pPr>
              <w:rPr>
                <w:sz w:val="18"/>
              </w:rPr>
            </w:pPr>
            <w:r>
              <w:rPr>
                <w:sz w:val="18"/>
              </w:rPr>
              <w:t xml:space="preserve">  4) breach(t</w:t>
            </w:r>
            <w:proofErr w:type="gramStart"/>
            <w:r>
              <w:rPr>
                <w:sz w:val="18"/>
              </w:rPr>
              <w:t>) :</w:t>
            </w:r>
            <w:proofErr w:type="gramEnd"/>
            <w:r>
              <w:rPr>
                <w:sz w:val="18"/>
              </w:rPr>
              <w:t>= (</w:t>
            </w:r>
            <w:proofErr w:type="spellStart"/>
            <w:r>
              <w:rPr>
                <w:sz w:val="18"/>
              </w:rPr>
              <w:t>fill_W</w:t>
            </w:r>
            <w:proofErr w:type="spellEnd"/>
            <w:r w:rsidRPr="009C0FA5">
              <w:rPr>
                <w:sz w:val="18"/>
                <w:vertAlign w:val="subscript"/>
              </w:rPr>
              <w:t>(t)</w:t>
            </w:r>
            <w:r>
              <w:rPr>
                <w:sz w:val="18"/>
              </w:rPr>
              <w:t xml:space="preserve"> &lt; τ) OR (</w:t>
            </w:r>
            <w:proofErr w:type="spellStart"/>
            <w:r>
              <w:rPr>
                <w:sz w:val="18"/>
              </w:rPr>
              <w:t>stockout_share_W</w:t>
            </w:r>
            <w:proofErr w:type="spellEnd"/>
            <w:r w:rsidRPr="009C0FA5">
              <w:rPr>
                <w:sz w:val="18"/>
                <w:vertAlign w:val="subscript"/>
              </w:rPr>
              <w:t>(t)</w:t>
            </w:r>
            <w:r>
              <w:rPr>
                <w:sz w:val="18"/>
              </w:rPr>
              <w:t xml:space="preserve"> &gt; 0.10) OR (</w:t>
            </w:r>
            <w:proofErr w:type="spellStart"/>
            <w:r>
              <w:rPr>
                <w:sz w:val="18"/>
              </w:rPr>
              <w:t>cost_ratio_W</w:t>
            </w:r>
            <w:proofErr w:type="spellEnd"/>
            <w:r w:rsidRPr="009C0FA5">
              <w:rPr>
                <w:sz w:val="18"/>
                <w:vertAlign w:val="subscript"/>
              </w:rPr>
              <w:t>(t)</w:t>
            </w:r>
            <w:r>
              <w:rPr>
                <w:sz w:val="18"/>
              </w:rPr>
              <w:t xml:space="preserve"> &gt; 1.20) OR (</w:t>
            </w:r>
            <w:proofErr w:type="spellStart"/>
            <w:r>
              <w:rPr>
                <w:sz w:val="18"/>
              </w:rPr>
              <w:t>volume_W</w:t>
            </w:r>
            <w:proofErr w:type="spellEnd"/>
            <w:r w:rsidRPr="009C0FA5">
              <w:rPr>
                <w:sz w:val="18"/>
                <w:vertAlign w:val="subscript"/>
              </w:rPr>
              <w:t>(t)</w:t>
            </w:r>
            <w:r>
              <w:rPr>
                <w:sz w:val="18"/>
              </w:rPr>
              <w:t xml:space="preserve"> &gt; </w:t>
            </w:r>
            <m:oMath>
              <m:sSub>
                <m:sSubPr>
                  <m:ctrlPr>
                    <w:rPr>
                      <w:rFonts w:ascii="Cambria Math" w:hAnsi="Cambria Math"/>
                      <w:i/>
                      <w:sz w:val="18"/>
                    </w:rPr>
                  </m:ctrlPr>
                </m:sSubPr>
                <m:e>
                  <m:r>
                    <w:rPr>
                      <w:rFonts w:ascii="Cambria Math" w:hAnsi="Cambria Math"/>
                      <w:sz w:val="18"/>
                    </w:rPr>
                    <m:t>V</m:t>
                  </m:r>
                </m:e>
                <m:sub>
                  <m:r>
                    <w:rPr>
                      <w:rFonts w:ascii="Cambria Math" w:hAnsi="Cambria Math"/>
                      <w:sz w:val="18"/>
                    </w:rPr>
                    <m:t>(max)</m:t>
                  </m:r>
                </m:sub>
              </m:sSub>
            </m:oMath>
          </w:p>
          <w:p w14:paraId="25D4C1F0" w14:textId="77777777" w:rsidR="007F0DFF" w:rsidRDefault="00000000">
            <w:pPr>
              <w:rPr>
                <w:sz w:val="18"/>
              </w:rPr>
            </w:pPr>
            <w:r>
              <w:rPr>
                <w:sz w:val="18"/>
              </w:rPr>
              <w:t xml:space="preserve">  5) If breach(t) persists for k consecutive decision epochs, set </w:t>
            </w:r>
            <w:proofErr w:type="gramStart"/>
            <w:r>
              <w:rPr>
                <w:sz w:val="18"/>
              </w:rPr>
              <w:t>mode:=</w:t>
            </w:r>
            <w:proofErr w:type="gramEnd"/>
            <w:r>
              <w:rPr>
                <w:sz w:val="18"/>
              </w:rPr>
              <w:t xml:space="preserve"> FALLBACK for the next m epochs (or until recovery criteria hold)</w:t>
            </w:r>
          </w:p>
          <w:p w14:paraId="1B38A042" w14:textId="28E8C2E6" w:rsidR="007F0DFF" w:rsidRDefault="00000000">
            <w:pPr>
              <w:rPr>
                <w:sz w:val="18"/>
              </w:rPr>
            </w:pPr>
            <w:r>
              <w:rPr>
                <w:sz w:val="18"/>
              </w:rPr>
              <w:t xml:space="preserve">  6) Execute </w:t>
            </w:r>
            <m:oMath>
              <m:sSub>
                <m:sSubPr>
                  <m:ctrlPr>
                    <w:rPr>
                      <w:rFonts w:ascii="Cambria Math" w:hAnsi="Cambria Math"/>
                      <w:i/>
                      <w:sz w:val="18"/>
                    </w:rPr>
                  </m:ctrlPr>
                </m:sSubPr>
                <m:e>
                  <m:r>
                    <w:rPr>
                      <w:rFonts w:ascii="Cambria Math" w:hAnsi="Cambria Math"/>
                      <w:sz w:val="18"/>
                    </w:rPr>
                    <m:t>q</m:t>
                  </m:r>
                </m:e>
                <m:sub>
                  <m:r>
                    <w:rPr>
                      <w:rFonts w:ascii="Cambria Math" w:hAnsi="Cambria Math"/>
                      <w:sz w:val="18"/>
                    </w:rPr>
                    <m:t>t</m:t>
                  </m:r>
                </m:sub>
              </m:sSub>
              <m:r>
                <w:rPr>
                  <w:rFonts w:ascii="Cambria Math" w:hAnsi="Cambria Math"/>
                  <w:sz w:val="18"/>
                </w:rPr>
                <m:t>≔</m:t>
              </m:r>
              <m:sSub>
                <m:sSubPr>
                  <m:ctrlPr>
                    <w:rPr>
                      <w:rFonts w:ascii="Cambria Math" w:hAnsi="Cambria Math"/>
                      <w:i/>
                      <w:sz w:val="18"/>
                    </w:rPr>
                  </m:ctrlPr>
                </m:sSubPr>
                <m:e>
                  <m:r>
                    <w:rPr>
                      <w:rFonts w:ascii="Cambria Math" w:hAnsi="Cambria Math"/>
                      <w:sz w:val="18"/>
                    </w:rPr>
                    <m:t>q</m:t>
                  </m:r>
                </m:e>
                <m:sub>
                  <m:r>
                    <w:rPr>
                      <w:rFonts w:ascii="Cambria Math" w:hAnsi="Cambria Math"/>
                      <w:sz w:val="18"/>
                    </w:rPr>
                    <m:t>A</m:t>
                  </m:r>
                </m:sub>
              </m:sSub>
              <m:sSub>
                <m:sSubPr>
                  <m:ctrlPr>
                    <w:rPr>
                      <w:rFonts w:ascii="Cambria Math" w:hAnsi="Cambria Math"/>
                      <w:i/>
                      <w:sz w:val="18"/>
                    </w:rPr>
                  </m:ctrlPr>
                </m:sSubPr>
                <m:e>
                  <m:r>
                    <w:rPr>
                      <w:rFonts w:ascii="Cambria Math" w:hAnsi="Cambria Math"/>
                      <w:sz w:val="18"/>
                    </w:rPr>
                    <m:t>I</m:t>
                  </m:r>
                </m:e>
                <m:sub>
                  <m:r>
                    <w:rPr>
                      <w:rFonts w:ascii="Cambria Math" w:hAnsi="Cambria Math"/>
                      <w:sz w:val="18"/>
                    </w:rPr>
                    <m:t>(t)</m:t>
                  </m:r>
                </m:sub>
              </m:sSub>
            </m:oMath>
            <w:r>
              <w:rPr>
                <w:sz w:val="18"/>
              </w:rPr>
              <w:t xml:space="preserve"> if mode = AI else </w:t>
            </w:r>
            <m:oMath>
              <m:sSub>
                <m:sSubPr>
                  <m:ctrlPr>
                    <w:rPr>
                      <w:rFonts w:ascii="Cambria Math" w:hAnsi="Cambria Math"/>
                      <w:i/>
                      <w:sz w:val="18"/>
                    </w:rPr>
                  </m:ctrlPr>
                </m:sSubPr>
                <m:e>
                  <m:r>
                    <w:rPr>
                      <w:rFonts w:ascii="Cambria Math" w:hAnsi="Cambria Math"/>
                      <w:sz w:val="18"/>
                    </w:rPr>
                    <m:t>q</m:t>
                  </m:r>
                </m:e>
                <m:sub>
                  <m:r>
                    <w:rPr>
                      <w:rFonts w:ascii="Cambria Math" w:hAnsi="Cambria Math"/>
                      <w:sz w:val="18"/>
                    </w:rPr>
                    <m:t>B</m:t>
                  </m:r>
                </m:sub>
              </m:sSub>
              <m:sSub>
                <m:sSubPr>
                  <m:ctrlPr>
                    <w:rPr>
                      <w:rFonts w:ascii="Cambria Math" w:hAnsi="Cambria Math"/>
                      <w:i/>
                      <w:sz w:val="18"/>
                    </w:rPr>
                  </m:ctrlPr>
                </m:sSubPr>
                <m:e>
                  <m:r>
                    <w:rPr>
                      <w:rFonts w:ascii="Cambria Math" w:hAnsi="Cambria Math"/>
                      <w:sz w:val="18"/>
                    </w:rPr>
                    <m:t>S</m:t>
                  </m:r>
                </m:e>
                <m:sub>
                  <m:r>
                    <w:rPr>
                      <w:rFonts w:ascii="Cambria Math" w:hAnsi="Cambria Math"/>
                      <w:sz w:val="18"/>
                    </w:rPr>
                    <m:t>(t)</m:t>
                  </m:r>
                </m:sub>
              </m:sSub>
            </m:oMath>
          </w:p>
          <w:p w14:paraId="5B2892B9" w14:textId="63E0694D" w:rsidR="00AC5F4C" w:rsidRDefault="00000000">
            <w:r>
              <w:rPr>
                <w:sz w:val="18"/>
              </w:rPr>
              <w:t xml:space="preserve">  7) Log mode, KPIs, and </w:t>
            </w:r>
            <m:oMath>
              <m:sSub>
                <m:sSubPr>
                  <m:ctrlPr>
                    <w:rPr>
                      <w:rFonts w:ascii="Cambria Math" w:hAnsi="Cambria Math"/>
                      <w:i/>
                      <w:sz w:val="18"/>
                    </w:rPr>
                  </m:ctrlPr>
                </m:sSubPr>
                <m:e>
                  <m:r>
                    <w:rPr>
                      <w:rFonts w:ascii="Cambria Math" w:hAnsi="Cambria Math"/>
                      <w:sz w:val="18"/>
                    </w:rPr>
                    <m:t>q</m:t>
                  </m:r>
                </m:e>
                <m:sub>
                  <m:r>
                    <w:rPr>
                      <w:rFonts w:ascii="Cambria Math" w:hAnsi="Cambria Math"/>
                      <w:sz w:val="18"/>
                    </w:rPr>
                    <m:t>t</m:t>
                  </m:r>
                </m:sub>
              </m:sSub>
            </m:oMath>
            <w:r>
              <w:rPr>
                <w:sz w:val="18"/>
              </w:rPr>
              <w:t xml:space="preserve"> for audit.</w:t>
            </w:r>
          </w:p>
        </w:tc>
      </w:tr>
    </w:tbl>
    <w:p w14:paraId="21EE7B5D" w14:textId="77777777" w:rsidR="00211F52" w:rsidRDefault="00211F52"/>
    <w:p w14:paraId="72769036" w14:textId="4A0AF890" w:rsidR="00F96EE3" w:rsidRPr="00D327B7" w:rsidRDefault="00000000" w:rsidP="00D327B7">
      <w:pPr>
        <w:pStyle w:val="ng-star-inserted"/>
        <w:spacing w:before="0" w:after="0" w:afterAutospacing="0"/>
        <w:ind w:left="216" w:right="14"/>
        <w:jc w:val="center"/>
        <w:rPr>
          <w:b/>
          <w:bCs/>
          <w:sz w:val="20"/>
          <w:lang w:val="en-US"/>
        </w:rPr>
      </w:pPr>
      <w:r w:rsidRPr="00D327B7">
        <w:rPr>
          <w:b/>
          <w:bCs/>
          <w:sz w:val="20"/>
          <w:lang w:val="en-US"/>
        </w:rPr>
        <w:t>Table 2. Illustrative deployment gates and fallback actions.</w:t>
      </w:r>
    </w:p>
    <w:tbl>
      <w:tblPr>
        <w:tblStyle w:val="Tabelacomgrade"/>
        <w:tblW w:w="0" w:type="auto"/>
        <w:jc w:val="center"/>
        <w:tblLook w:val="04A0" w:firstRow="1" w:lastRow="0" w:firstColumn="1" w:lastColumn="0" w:noHBand="0" w:noVBand="1"/>
      </w:tblPr>
      <w:tblGrid>
        <w:gridCol w:w="1838"/>
        <w:gridCol w:w="1276"/>
        <w:gridCol w:w="4678"/>
        <w:gridCol w:w="1944"/>
      </w:tblGrid>
      <w:tr w:rsidR="00AC5F4C" w:rsidRPr="007F0DFF" w14:paraId="22B873DC" w14:textId="77777777" w:rsidTr="00D135CF">
        <w:trPr>
          <w:jc w:val="center"/>
        </w:trPr>
        <w:tc>
          <w:tcPr>
            <w:tcW w:w="1838" w:type="dxa"/>
          </w:tcPr>
          <w:p w14:paraId="4987590F" w14:textId="77777777" w:rsidR="00AC5F4C" w:rsidRPr="007F0DFF" w:rsidRDefault="00000000">
            <w:pPr>
              <w:rPr>
                <w:b/>
                <w:bCs/>
              </w:rPr>
            </w:pPr>
            <w:r w:rsidRPr="007F0DFF">
              <w:rPr>
                <w:b/>
                <w:bCs/>
                <w:sz w:val="18"/>
              </w:rPr>
              <w:t>Gate KPI</w:t>
            </w:r>
          </w:p>
        </w:tc>
        <w:tc>
          <w:tcPr>
            <w:tcW w:w="1276" w:type="dxa"/>
          </w:tcPr>
          <w:p w14:paraId="68706E96" w14:textId="77777777" w:rsidR="00AC5F4C" w:rsidRPr="007F0DFF" w:rsidRDefault="00000000">
            <w:pPr>
              <w:rPr>
                <w:b/>
                <w:bCs/>
              </w:rPr>
            </w:pPr>
            <w:r w:rsidRPr="007F0DFF">
              <w:rPr>
                <w:b/>
                <w:bCs/>
                <w:sz w:val="18"/>
              </w:rPr>
              <w:t>Target</w:t>
            </w:r>
          </w:p>
        </w:tc>
        <w:tc>
          <w:tcPr>
            <w:tcW w:w="4678" w:type="dxa"/>
          </w:tcPr>
          <w:p w14:paraId="3C4F5E0A" w14:textId="77777777" w:rsidR="00AC5F4C" w:rsidRPr="007F0DFF" w:rsidRDefault="00000000">
            <w:pPr>
              <w:rPr>
                <w:b/>
                <w:bCs/>
              </w:rPr>
            </w:pPr>
            <w:r w:rsidRPr="007F0DFF">
              <w:rPr>
                <w:b/>
                <w:bCs/>
                <w:sz w:val="18"/>
              </w:rPr>
              <w:t>Window</w:t>
            </w:r>
            <w:r w:rsidR="00DC3F28" w:rsidRPr="007F0DFF">
              <w:rPr>
                <w:b/>
                <w:bCs/>
                <w:sz w:val="18"/>
              </w:rPr>
              <w:t>/</w:t>
            </w:r>
            <w:r w:rsidRPr="007F0DFF">
              <w:rPr>
                <w:b/>
                <w:bCs/>
                <w:sz w:val="18"/>
              </w:rPr>
              <w:t>trigger</w:t>
            </w:r>
          </w:p>
        </w:tc>
        <w:tc>
          <w:tcPr>
            <w:tcW w:w="1944" w:type="dxa"/>
          </w:tcPr>
          <w:p w14:paraId="4BD76E8A" w14:textId="77777777" w:rsidR="00AC5F4C" w:rsidRPr="007F0DFF" w:rsidRDefault="00000000">
            <w:pPr>
              <w:rPr>
                <w:b/>
                <w:bCs/>
              </w:rPr>
            </w:pPr>
            <w:r w:rsidRPr="007F0DFF">
              <w:rPr>
                <w:b/>
                <w:bCs/>
                <w:sz w:val="18"/>
              </w:rPr>
              <w:t>Action on breach</w:t>
            </w:r>
          </w:p>
        </w:tc>
      </w:tr>
      <w:tr w:rsidR="00AC5F4C" w14:paraId="28FC368B" w14:textId="77777777" w:rsidTr="00D135CF">
        <w:trPr>
          <w:jc w:val="center"/>
        </w:trPr>
        <w:tc>
          <w:tcPr>
            <w:tcW w:w="1838" w:type="dxa"/>
            <w:vAlign w:val="center"/>
          </w:tcPr>
          <w:p w14:paraId="19417C97" w14:textId="77777777" w:rsidR="00AC5F4C" w:rsidRDefault="00000000" w:rsidP="00D135CF">
            <w:r>
              <w:rPr>
                <w:sz w:val="18"/>
              </w:rPr>
              <w:t>Fill rate</w:t>
            </w:r>
          </w:p>
        </w:tc>
        <w:tc>
          <w:tcPr>
            <w:tcW w:w="1276" w:type="dxa"/>
            <w:vAlign w:val="center"/>
          </w:tcPr>
          <w:p w14:paraId="00557324" w14:textId="77777777" w:rsidR="00AC5F4C" w:rsidRDefault="00000000" w:rsidP="00D135CF">
            <w:pPr>
              <w:jc w:val="center"/>
            </w:pPr>
            <w:r>
              <w:rPr>
                <w:sz w:val="18"/>
              </w:rPr>
              <w:t>≥ 0.90</w:t>
            </w:r>
          </w:p>
        </w:tc>
        <w:tc>
          <w:tcPr>
            <w:tcW w:w="4678" w:type="dxa"/>
            <w:vAlign w:val="center"/>
          </w:tcPr>
          <w:p w14:paraId="692EEE16" w14:textId="77777777" w:rsidR="00AC5F4C" w:rsidRDefault="00000000" w:rsidP="00D135CF">
            <w:r>
              <w:rPr>
                <w:sz w:val="18"/>
              </w:rPr>
              <w:t xml:space="preserve">Rolling W days; breach if </w:t>
            </w:r>
            <w:proofErr w:type="spellStart"/>
            <w:r>
              <w:rPr>
                <w:sz w:val="18"/>
              </w:rPr>
              <w:t>fill_W</w:t>
            </w:r>
            <w:proofErr w:type="spellEnd"/>
            <w:r>
              <w:rPr>
                <w:sz w:val="18"/>
              </w:rPr>
              <w:t>(t) &lt; 0.90 for k consecutive epochs</w:t>
            </w:r>
          </w:p>
        </w:tc>
        <w:tc>
          <w:tcPr>
            <w:tcW w:w="1944" w:type="dxa"/>
            <w:vAlign w:val="center"/>
          </w:tcPr>
          <w:p w14:paraId="4870C32B" w14:textId="77777777" w:rsidR="00AC5F4C" w:rsidRDefault="00000000" w:rsidP="00D135CF">
            <w:r>
              <w:rPr>
                <w:sz w:val="18"/>
              </w:rPr>
              <w:t>Switch to Base-stock (Uncertain)</w:t>
            </w:r>
          </w:p>
        </w:tc>
      </w:tr>
      <w:tr w:rsidR="00AC5F4C" w14:paraId="139EF911" w14:textId="77777777" w:rsidTr="00D135CF">
        <w:trPr>
          <w:jc w:val="center"/>
        </w:trPr>
        <w:tc>
          <w:tcPr>
            <w:tcW w:w="1838" w:type="dxa"/>
            <w:vAlign w:val="center"/>
          </w:tcPr>
          <w:p w14:paraId="6EC537E1" w14:textId="77777777" w:rsidR="00AC5F4C" w:rsidRDefault="00000000" w:rsidP="00D135CF">
            <w:r>
              <w:rPr>
                <w:sz w:val="18"/>
              </w:rPr>
              <w:t>Stockout-day share</w:t>
            </w:r>
          </w:p>
        </w:tc>
        <w:tc>
          <w:tcPr>
            <w:tcW w:w="1276" w:type="dxa"/>
            <w:vAlign w:val="center"/>
          </w:tcPr>
          <w:p w14:paraId="1EFD9439" w14:textId="77777777" w:rsidR="00AC5F4C" w:rsidRDefault="00000000" w:rsidP="00D135CF">
            <w:pPr>
              <w:jc w:val="center"/>
            </w:pPr>
            <w:r>
              <w:rPr>
                <w:sz w:val="18"/>
              </w:rPr>
              <w:t>≤ 0.10</w:t>
            </w:r>
          </w:p>
        </w:tc>
        <w:tc>
          <w:tcPr>
            <w:tcW w:w="4678" w:type="dxa"/>
            <w:vAlign w:val="center"/>
          </w:tcPr>
          <w:p w14:paraId="012C0E53" w14:textId="77777777" w:rsidR="00AC5F4C" w:rsidRDefault="00000000" w:rsidP="00D135CF">
            <w:r>
              <w:rPr>
                <w:sz w:val="18"/>
              </w:rPr>
              <w:t xml:space="preserve">Rolling W days; breach if </w:t>
            </w:r>
            <w:proofErr w:type="spellStart"/>
            <w:r>
              <w:rPr>
                <w:sz w:val="18"/>
              </w:rPr>
              <w:t>stockout_share_W</w:t>
            </w:r>
            <w:proofErr w:type="spellEnd"/>
            <w:r>
              <w:rPr>
                <w:sz w:val="18"/>
              </w:rPr>
              <w:t>(t) &gt; 0.10 for k consecutive epochs</w:t>
            </w:r>
          </w:p>
        </w:tc>
        <w:tc>
          <w:tcPr>
            <w:tcW w:w="1944" w:type="dxa"/>
            <w:vAlign w:val="center"/>
          </w:tcPr>
          <w:p w14:paraId="122E41CC" w14:textId="77777777" w:rsidR="00AC5F4C" w:rsidRDefault="00000000" w:rsidP="00D135CF">
            <w:r>
              <w:rPr>
                <w:sz w:val="18"/>
              </w:rPr>
              <w:t>Switch to Base-stock (Uncertain)</w:t>
            </w:r>
          </w:p>
        </w:tc>
      </w:tr>
      <w:tr w:rsidR="00AC5F4C" w14:paraId="5638A1E4" w14:textId="77777777" w:rsidTr="00D135CF">
        <w:trPr>
          <w:jc w:val="center"/>
        </w:trPr>
        <w:tc>
          <w:tcPr>
            <w:tcW w:w="1838" w:type="dxa"/>
            <w:vAlign w:val="center"/>
          </w:tcPr>
          <w:p w14:paraId="54C5CADE" w14:textId="77777777" w:rsidR="00AC5F4C" w:rsidRDefault="00000000" w:rsidP="00D135CF">
            <w:r>
              <w:rPr>
                <w:sz w:val="18"/>
              </w:rPr>
              <w:t>Cost-resilience ratio</w:t>
            </w:r>
          </w:p>
        </w:tc>
        <w:tc>
          <w:tcPr>
            <w:tcW w:w="1276" w:type="dxa"/>
            <w:vAlign w:val="center"/>
          </w:tcPr>
          <w:p w14:paraId="430485FF" w14:textId="77777777" w:rsidR="00AC5F4C" w:rsidRDefault="00000000" w:rsidP="00D135CF">
            <w:pPr>
              <w:jc w:val="center"/>
            </w:pPr>
            <w:r>
              <w:rPr>
                <w:sz w:val="18"/>
              </w:rPr>
              <w:t>≤ 1.20</w:t>
            </w:r>
          </w:p>
        </w:tc>
        <w:tc>
          <w:tcPr>
            <w:tcW w:w="4678" w:type="dxa"/>
            <w:vAlign w:val="center"/>
          </w:tcPr>
          <w:p w14:paraId="1F95539E" w14:textId="77777777" w:rsidR="00AC5F4C" w:rsidRDefault="00000000" w:rsidP="00D135CF">
            <w:r>
              <w:rPr>
                <w:sz w:val="18"/>
              </w:rPr>
              <w:t>Rolling W days; compare mean daily cost to baseline floor (pilot) and trigger if ratio &gt; 1.20</w:t>
            </w:r>
          </w:p>
        </w:tc>
        <w:tc>
          <w:tcPr>
            <w:tcW w:w="1944" w:type="dxa"/>
            <w:vAlign w:val="center"/>
          </w:tcPr>
          <w:p w14:paraId="3EB58EEB" w14:textId="77777777" w:rsidR="00AC5F4C" w:rsidRDefault="00000000" w:rsidP="00D135CF">
            <w:r>
              <w:rPr>
                <w:sz w:val="18"/>
              </w:rPr>
              <w:t>Escalate + switch to Base-stock (Uncertain)</w:t>
            </w:r>
          </w:p>
        </w:tc>
      </w:tr>
      <w:tr w:rsidR="00AC5F4C" w14:paraId="12F1DBA5" w14:textId="77777777" w:rsidTr="00D135CF">
        <w:trPr>
          <w:jc w:val="center"/>
        </w:trPr>
        <w:tc>
          <w:tcPr>
            <w:tcW w:w="1838" w:type="dxa"/>
            <w:vAlign w:val="center"/>
          </w:tcPr>
          <w:p w14:paraId="55A77D78" w14:textId="77777777" w:rsidR="00AC5F4C" w:rsidRDefault="00000000" w:rsidP="00D135CF">
            <w:r>
              <w:rPr>
                <w:sz w:val="18"/>
              </w:rPr>
              <w:t>Demand-scale (throughput) gate</w:t>
            </w:r>
          </w:p>
        </w:tc>
        <w:tc>
          <w:tcPr>
            <w:tcW w:w="1276" w:type="dxa"/>
            <w:vAlign w:val="center"/>
          </w:tcPr>
          <w:p w14:paraId="1585560A" w14:textId="24D5DF70" w:rsidR="00AC5F4C" w:rsidRDefault="00000000" w:rsidP="00D135CF">
            <w:pPr>
              <w:jc w:val="center"/>
            </w:pPr>
            <m:oMath>
              <m:sSub>
                <m:sSubPr>
                  <m:ctrlPr>
                    <w:rPr>
                      <w:rFonts w:ascii="Cambria Math" w:hAnsi="Cambria Math"/>
                      <w:i/>
                      <w:sz w:val="18"/>
                    </w:rPr>
                  </m:ctrlPr>
                </m:sSubPr>
                <m:e>
                  <m:r>
                    <w:rPr>
                      <w:rFonts w:ascii="Cambria Math" w:hAnsi="Cambria Math"/>
                      <w:sz w:val="18"/>
                    </w:rPr>
                    <m:t>V</m:t>
                  </m:r>
                </m:e>
                <m:sub>
                  <m:r>
                    <w:rPr>
                      <w:rFonts w:ascii="Cambria Math" w:hAnsi="Cambria Math"/>
                      <w:sz w:val="18"/>
                    </w:rPr>
                    <m:t>max</m:t>
                  </m:r>
                </m:sub>
              </m:sSub>
            </m:oMath>
            <w:r w:rsidR="00D135CF">
              <w:rPr>
                <w:sz w:val="18"/>
              </w:rPr>
              <w:t xml:space="preserve"> ≈ 50 lines/day (facility-day)</w:t>
            </w:r>
          </w:p>
        </w:tc>
        <w:tc>
          <w:tcPr>
            <w:tcW w:w="4678" w:type="dxa"/>
            <w:vAlign w:val="center"/>
          </w:tcPr>
          <w:p w14:paraId="37427142" w14:textId="7CFB070C" w:rsidR="00AC5F4C" w:rsidRDefault="00000000" w:rsidP="00D135CF">
            <w:r>
              <w:rPr>
                <w:sz w:val="18"/>
              </w:rPr>
              <w:t xml:space="preserve">Breach if </w:t>
            </w:r>
            <w:r w:rsidR="00C36386">
              <w:rPr>
                <w:sz w:val="18"/>
              </w:rPr>
              <w:t xml:space="preserve">the </w:t>
            </w:r>
            <w:r>
              <w:rPr>
                <w:sz w:val="18"/>
              </w:rPr>
              <w:t xml:space="preserve">observed line volume exceeds </w:t>
            </w:r>
            <w:r w:rsidR="00C36386">
              <w:rPr>
                <w:sz w:val="18"/>
              </w:rPr>
              <w:t xml:space="preserve">the </w:t>
            </w:r>
            <w:r>
              <w:rPr>
                <w:sz w:val="18"/>
              </w:rPr>
              <w:t xml:space="preserve">calibrated </w:t>
            </w:r>
            <m:oMath>
              <m:sSub>
                <m:sSubPr>
                  <m:ctrlPr>
                    <w:rPr>
                      <w:rFonts w:ascii="Cambria Math" w:hAnsi="Cambria Math"/>
                      <w:i/>
                      <w:sz w:val="18"/>
                    </w:rPr>
                  </m:ctrlPr>
                </m:sSubPr>
                <m:e>
                  <m:r>
                    <w:rPr>
                      <w:rFonts w:ascii="Cambria Math" w:hAnsi="Cambria Math"/>
                      <w:sz w:val="18"/>
                    </w:rPr>
                    <m:t>V</m:t>
                  </m:r>
                </m:e>
                <m:sub>
                  <m:r>
                    <w:rPr>
                      <w:rFonts w:ascii="Cambria Math" w:hAnsi="Cambria Math"/>
                      <w:sz w:val="18"/>
                    </w:rPr>
                    <m:t>max</m:t>
                  </m:r>
                </m:sub>
              </m:sSub>
            </m:oMath>
            <w:r>
              <w:rPr>
                <w:sz w:val="18"/>
              </w:rPr>
              <w:t>; Appendix C.4 shows P</w:t>
            </w:r>
            <w:r w:rsidRPr="00C36386">
              <w:rPr>
                <w:sz w:val="18"/>
                <w:vertAlign w:val="subscript"/>
              </w:rPr>
              <w:t>90</w:t>
            </w:r>
            <w:r>
              <w:rPr>
                <w:sz w:val="18"/>
              </w:rPr>
              <w:t>≈22 and max≈48 in our data</w:t>
            </w:r>
          </w:p>
        </w:tc>
        <w:tc>
          <w:tcPr>
            <w:tcW w:w="1944" w:type="dxa"/>
            <w:vAlign w:val="center"/>
          </w:tcPr>
          <w:p w14:paraId="0AFFD097" w14:textId="77777777" w:rsidR="00AC5F4C" w:rsidRDefault="00000000" w:rsidP="00D135CF">
            <w:r>
              <w:rPr>
                <w:sz w:val="18"/>
              </w:rPr>
              <w:t xml:space="preserve">Treat as </w:t>
            </w:r>
            <w:r w:rsidR="00DC3F28">
              <w:rPr>
                <w:sz w:val="18"/>
              </w:rPr>
              <w:t xml:space="preserve">a </w:t>
            </w:r>
            <w:r>
              <w:rPr>
                <w:sz w:val="18"/>
              </w:rPr>
              <w:t>distribution shift; enforce fallback and flag for review</w:t>
            </w:r>
            <w:r w:rsidR="00DC3F28">
              <w:rPr>
                <w:sz w:val="18"/>
              </w:rPr>
              <w:t>.</w:t>
            </w:r>
          </w:p>
        </w:tc>
      </w:tr>
    </w:tbl>
    <w:p w14:paraId="6383F18D" w14:textId="42CE3CB0" w:rsidR="00F96EE3" w:rsidRPr="00303614" w:rsidRDefault="00C36386" w:rsidP="00962E9B">
      <w:pPr>
        <w:pStyle w:val="text-base"/>
        <w:spacing w:before="240" w:beforeAutospacing="0" w:after="0" w:afterAutospacing="0"/>
        <w:jc w:val="both"/>
        <w:rPr>
          <w:color w:val="000000" w:themeColor="text1"/>
          <w:lang w:val="en-US"/>
        </w:rPr>
      </w:pPr>
      <w:r w:rsidRPr="00303614">
        <w:rPr>
          <w:color w:val="000000" w:themeColor="text1"/>
          <w:lang w:val="en-US"/>
        </w:rPr>
        <w:t xml:space="preserve">The throughput gate is calibrated to the level of aggregation adopted in this study. In the present dataset, Appendix C.4 reports a 90th percentile of approximately 22 lines per facility-day and a maximum of about 48. Any deployment threshold should therefore be defined </w:t>
      </w:r>
      <w:proofErr w:type="gramStart"/>
      <w:r w:rsidRPr="00303614">
        <w:rPr>
          <w:color w:val="000000" w:themeColor="text1"/>
          <w:lang w:val="en-US"/>
        </w:rPr>
        <w:t>at</w:t>
      </w:r>
      <w:proofErr w:type="gramEnd"/>
      <w:r w:rsidRPr="00303614">
        <w:rPr>
          <w:color w:val="000000" w:themeColor="text1"/>
          <w:lang w:val="en-US"/>
        </w:rPr>
        <w:t xml:space="preserve"> the </w:t>
      </w:r>
      <w:proofErr w:type="gramStart"/>
      <w:r w:rsidRPr="00303614">
        <w:rPr>
          <w:color w:val="000000" w:themeColor="text1"/>
          <w:lang w:val="en-US"/>
        </w:rPr>
        <w:t>facility-day</w:t>
      </w:r>
      <w:proofErr w:type="gramEnd"/>
      <w:r w:rsidRPr="00303614">
        <w:rPr>
          <w:color w:val="000000" w:themeColor="text1"/>
          <w:lang w:val="en-US"/>
        </w:rPr>
        <w:t xml:space="preserve"> scale rather than against high-volume commercial benchmarks that are not commensurate with the operating context.</w:t>
      </w:r>
    </w:p>
    <w:p w14:paraId="57D6994B" w14:textId="77777777" w:rsidR="00B85AD7" w:rsidRPr="00130595" w:rsidRDefault="00B85AD7" w:rsidP="00130595">
      <w:pPr>
        <w:pStyle w:val="Ttulo1"/>
        <w:numPr>
          <w:ilvl w:val="0"/>
          <w:numId w:val="32"/>
        </w:numPr>
      </w:pPr>
      <w:r w:rsidRPr="00130595">
        <w:lastRenderedPageBreak/>
        <w:t>Results</w:t>
      </w:r>
    </w:p>
    <w:p w14:paraId="4EF920C3" w14:textId="51BACBDF" w:rsidR="009C312E" w:rsidRPr="00303614" w:rsidRDefault="009C312E" w:rsidP="009C312E">
      <w:pPr>
        <w:pStyle w:val="text-base"/>
        <w:spacing w:before="0" w:beforeAutospacing="0" w:after="0" w:afterAutospacing="0"/>
        <w:jc w:val="both"/>
        <w:rPr>
          <w:color w:val="000000" w:themeColor="text1"/>
          <w:lang w:val="en-US"/>
        </w:rPr>
      </w:pPr>
      <w:r w:rsidRPr="00303614">
        <w:rPr>
          <w:color w:val="000000" w:themeColor="text1"/>
          <w:lang w:val="en-US"/>
        </w:rPr>
        <w:t>This section presents the regime-specific comparative evidence from the paired simulation design. Across scenarios, the hybrid controller does not show a uniform advantage. Instead, the analysis examines where the hybrid controller reduces cost, where it only matches tuned baselines, and where it fails under stress.</w:t>
      </w:r>
    </w:p>
    <w:p w14:paraId="16EC544B" w14:textId="77777777" w:rsidR="00DF7363" w:rsidRPr="00A70916" w:rsidRDefault="00DF7363" w:rsidP="00BC4C18">
      <w:pPr>
        <w:pStyle w:val="text-base"/>
        <w:spacing w:before="0" w:after="0" w:afterAutospacing="0"/>
        <w:jc w:val="both"/>
        <w:rPr>
          <w:color w:val="000000" w:themeColor="text1"/>
          <w:lang w:val="en-US"/>
        </w:rPr>
      </w:pPr>
      <w:r w:rsidRPr="00F34B55">
        <w:rPr>
          <w:lang w:val="en-US"/>
        </w:rPr>
        <w:t>This section reports paired Monte Carlo results from 1,600 paired replications (4 scenarios × 2 horizons × 2 routing settings × 100), yielding 8,000 policy evaluations across five policies. We treat GA=on as the primary setting because it represents the intended routing-aware configuration; we report GA=off as an ablation in Appendix F.</w:t>
      </w:r>
    </w:p>
    <w:p w14:paraId="036A728E" w14:textId="77777777" w:rsidR="00D20C9C" w:rsidRPr="00A70916" w:rsidRDefault="0069202B" w:rsidP="00BC4C18">
      <w:pPr>
        <w:pStyle w:val="text-base"/>
        <w:spacing w:before="0" w:after="0" w:afterAutospacing="0"/>
        <w:jc w:val="both"/>
        <w:rPr>
          <w:color w:val="000000" w:themeColor="text1"/>
          <w:lang w:val="en-US"/>
        </w:rPr>
      </w:pPr>
      <w:r w:rsidRPr="00A45DB6">
        <w:rPr>
          <w:lang w:val="en-US"/>
        </w:rPr>
        <w:t xml:space="preserve">Tables 3–6 summarize total cost and fill rates for the primary setting (GA ON). GA OFF results are reported in Appendix F as an </w:t>
      </w:r>
      <w:proofErr w:type="gramStart"/>
      <w:r w:rsidRPr="00A45DB6">
        <w:rPr>
          <w:lang w:val="en-US"/>
        </w:rPr>
        <w:t>ablation</w:t>
      </w:r>
      <w:proofErr w:type="gramEnd"/>
      <w:r w:rsidRPr="00A45DB6">
        <w:rPr>
          <w:lang w:val="en-US"/>
        </w:rPr>
        <w:t xml:space="preserve"> and do not change the main ranking patterns. We interpret statistically non-significant differences as preliminary, given the exploratory design (n = 100 paired replications per condition).</w:t>
      </w:r>
    </w:p>
    <w:p w14:paraId="25B952A2" w14:textId="36E29C6E" w:rsidR="0047501B" w:rsidRPr="003C0212" w:rsidRDefault="00000000" w:rsidP="00BC4C18">
      <w:pPr>
        <w:pStyle w:val="text-base"/>
        <w:spacing w:before="0" w:after="0" w:afterAutospacing="0"/>
        <w:jc w:val="both"/>
        <w:rPr>
          <w:lang w:val="en-US"/>
        </w:rPr>
      </w:pPr>
      <w:r w:rsidRPr="00F34B55">
        <w:rPr>
          <w:lang w:val="en-US"/>
        </w:rPr>
        <w:t xml:space="preserve">Supply-disruption diagnostic (bottleneck isolation). We isolate the mechanism behind the Supply Disruption failure in Table 5 by running a reduced diagnostic at the 180-day horizon with n = 30 paired replications, GA off, and reward = </w:t>
      </w:r>
      <w:proofErr w:type="spellStart"/>
      <w:r w:rsidRPr="00F34B55">
        <w:rPr>
          <w:lang w:val="en-US"/>
        </w:rPr>
        <w:t>inventory_only</w:t>
      </w:r>
      <w:proofErr w:type="spellEnd"/>
      <w:r w:rsidRPr="00F34B55">
        <w:rPr>
          <w:lang w:val="en-US"/>
        </w:rPr>
        <w:t xml:space="preserve"> (Appendix E.8). In this simplified setting, Hybrid AI shows a lower mean total cost (≈12.8 million) than Dynamic + Forecast (≈23.7 million) and Base-stock (≈23.6 million). In contrast, its mean fill rate decreases from ≈75.4–75.5% to ≈73.7% (Table E.8). We treat this diagnostic as exploratory and </w:t>
      </w:r>
      <w:proofErr w:type="gramStart"/>
      <w:r w:rsidRPr="00F34B55">
        <w:rPr>
          <w:lang w:val="en-US"/>
        </w:rPr>
        <w:t>mechanism-oriented</w:t>
      </w:r>
      <w:proofErr w:type="gramEnd"/>
      <w:r w:rsidRPr="00F34B55">
        <w:rPr>
          <w:lang w:val="en-US"/>
        </w:rPr>
        <w:t xml:space="preserve">. The primary routing-aware configuration (GA on; </w:t>
      </w:r>
      <w:proofErr w:type="spellStart"/>
      <w:r w:rsidRPr="00F34B55">
        <w:rPr>
          <w:lang w:val="en-US"/>
        </w:rPr>
        <w:t>inventory_plus_routing</w:t>
      </w:r>
      <w:proofErr w:type="spellEnd"/>
      <w:r w:rsidRPr="00F34B55">
        <w:rPr>
          <w:lang w:val="en-US"/>
        </w:rPr>
        <w:t xml:space="preserve">) still yields near-zero service and sharply higher costs for Hybrid AI under Supply Disruption (Table 5). </w:t>
      </w:r>
    </w:p>
    <w:p w14:paraId="51A3C84C" w14:textId="77777777" w:rsidR="0047501B" w:rsidRPr="003C0212" w:rsidRDefault="00000000" w:rsidP="00BC4C18">
      <w:pPr>
        <w:pStyle w:val="text-base"/>
        <w:spacing w:before="0" w:after="0" w:afterAutospacing="0"/>
        <w:jc w:val="both"/>
        <w:rPr>
          <w:lang w:val="en-US"/>
        </w:rPr>
      </w:pPr>
      <w:r w:rsidRPr="005B3AE7">
        <w:rPr>
          <w:b/>
          <w:bCs/>
          <w:lang w:val="en-US"/>
        </w:rPr>
        <w:t>Forecasting performance summary</w:t>
      </w:r>
      <w:r w:rsidRPr="00653ACC">
        <w:rPr>
          <w:lang w:val="en-US"/>
        </w:rPr>
        <w:t xml:space="preserve">. Forecasting affects Base-stock (Uncertain), Dynamic + Forecast, and the hybrid AI policy’s order-up-to target. Forecast accuracy was evaluated independently of the inventory control loop via a rolling-origin </w:t>
      </w:r>
      <w:proofErr w:type="spellStart"/>
      <w:r w:rsidRPr="00653ACC">
        <w:rPr>
          <w:lang w:val="en-US"/>
        </w:rPr>
        <w:t>backtest</w:t>
      </w:r>
      <w:proofErr w:type="spellEnd"/>
      <w:r w:rsidRPr="00653ACC">
        <w:rPr>
          <w:lang w:val="en-US"/>
        </w:rPr>
        <w:t>. Across scenarios, the LSTM+RF forecaster improves one-step point accuracy relative to smoothing-based alternatives on short histories (Appendix F)</w:t>
      </w:r>
      <w:r w:rsidR="00D508F7">
        <w:rPr>
          <w:lang w:val="en-US"/>
        </w:rPr>
        <w:t>, as measured by MAE/RMSE, and reduces large one-step errors in the</w:t>
      </w:r>
      <w:r w:rsidRPr="00653ACC">
        <w:rPr>
          <w:lang w:val="en-US"/>
        </w:rPr>
        <w:t xml:space="preserve"> Stable and Seasonal regimes. To assess probabilistic quality, we compute interval-calibration diagnostics (empirical coverage at nominal levels, PIT histograms) and distributional scores (CRPS) </w:t>
      </w:r>
      <w:r w:rsidR="00653ACC">
        <w:rPr>
          <w:lang w:val="en-US"/>
        </w:rPr>
        <w:fldChar w:fldCharType="begin"/>
      </w:r>
      <w:r w:rsidR="00653ACC">
        <w:rPr>
          <w:lang w:val="en-US"/>
        </w:rPr>
        <w:instrText xml:space="preserve"> ADDIN ZOTERO_ITEM CSL_CITATION {"citationID":"Du7HQDu3","properties":{"formattedCitation":"(Arnold et al., 2024)","plainCitation":"(Arnold et al., 2024)","noteIndex":0},"citationItems":[{"id":3528,"uris":["http://zotero.org/users/12903205/items/879FAG44"],"itemData":{"id":3528,"type":"article-journal","container-title":"Electronic Journal of Statistics","DOI":"10.1214/24-EJS2316","ISSN":"1935-7524","issue":"2","journalAbbreviation":"Electron. J. Statist.","source":"DOI.org (Crossref)","title":"Decompositions of the mean continuous ranked probability score","URL":"https://projecteuclid.org/journals/electronic-journal-of-statistics/volume-18/issue-2/Decompositions-of-the-mean-continuous-ranked-probability-score/10.1214/24-EJS2316.full","volume":"18","author":[{"family":"Arnold","given":"Sebastian"},{"family":"Walz","given":"Eva-Maria"},{"family":"Ziegel","given":"Johanna"},{"family":"Gneiting","given":"Tilmann"}],"accessed":{"date-parts":[["2026",2,5]]},"issued":{"date-parts":[["2024",1,1]]}}}],"schema":"https://github.com/citation-style-language/schema/raw/master/csl-citation.json"} </w:instrText>
      </w:r>
      <w:r w:rsidR="00653ACC">
        <w:rPr>
          <w:lang w:val="en-US"/>
        </w:rPr>
        <w:fldChar w:fldCharType="separate"/>
      </w:r>
      <w:r w:rsidR="00653ACC" w:rsidRPr="00653ACC">
        <w:rPr>
          <w:lang w:val="en-US"/>
        </w:rPr>
        <w:t>(Arnold et al., 2024)</w:t>
      </w:r>
      <w:r w:rsidR="00653ACC">
        <w:rPr>
          <w:lang w:val="en-US"/>
        </w:rPr>
        <w:fldChar w:fldCharType="end"/>
      </w:r>
      <w:r w:rsidRPr="00653ACC">
        <w:rPr>
          <w:lang w:val="en-US"/>
        </w:rPr>
        <w:t xml:space="preserve"> when the forecasting module stores predictive distributions. When forecast logs </w:t>
      </w:r>
      <w:r w:rsidR="00D508F7">
        <w:rPr>
          <w:lang w:val="en-US"/>
        </w:rPr>
        <w:t xml:space="preserve">store only point predictions, we rerun the rolling-origin </w:t>
      </w:r>
      <w:proofErr w:type="spellStart"/>
      <w:r w:rsidR="00D508F7">
        <w:rPr>
          <w:lang w:val="en-US"/>
        </w:rPr>
        <w:t>backtest</w:t>
      </w:r>
      <w:proofErr w:type="spellEnd"/>
      <w:r w:rsidR="00D508F7">
        <w:rPr>
          <w:lang w:val="en-US"/>
        </w:rPr>
        <w:t xml:space="preserve"> to export predictive quantiles for this calibration step; this does not </w:t>
      </w:r>
      <w:r w:rsidR="008E66BF">
        <w:rPr>
          <w:lang w:val="en-US"/>
        </w:rPr>
        <w:t>suggest</w:t>
      </w:r>
      <w:r w:rsidR="00D508F7">
        <w:rPr>
          <w:lang w:val="en-US"/>
        </w:rPr>
        <w:t xml:space="preserve"> re</w:t>
      </w:r>
      <w:r w:rsidRPr="00653ACC">
        <w:rPr>
          <w:lang w:val="en-US"/>
        </w:rPr>
        <w:t>running the full inventory simulation.</w:t>
      </w:r>
    </w:p>
    <w:p w14:paraId="1F6D9516" w14:textId="0360201C" w:rsidR="00914269" w:rsidRPr="00791589" w:rsidRDefault="00D20C9C" w:rsidP="007144EB">
      <w:pPr>
        <w:pStyle w:val="text-base"/>
        <w:spacing w:before="0" w:after="0" w:afterAutospacing="0"/>
        <w:jc w:val="both"/>
        <w:rPr>
          <w:color w:val="000000" w:themeColor="text1"/>
          <w:lang w:val="en-US"/>
        </w:rPr>
      </w:pPr>
      <w:r w:rsidRPr="00791589">
        <w:rPr>
          <w:color w:val="000000" w:themeColor="text1"/>
          <w:lang w:val="en-US"/>
        </w:rPr>
        <w:t xml:space="preserve">Under stable demand (Table 3), Hybrid AI has the lowest mean total cost at both 90 and 180 days while maintaining high fill rates (≈96–97%). Dynamic exhibits materially lower fill (≈66%) and therefore </w:t>
      </w:r>
      <w:proofErr w:type="gramStart"/>
      <w:r w:rsidRPr="00791589">
        <w:rPr>
          <w:color w:val="000000" w:themeColor="text1"/>
          <w:lang w:val="en-US"/>
        </w:rPr>
        <w:t>incurs</w:t>
      </w:r>
      <w:proofErr w:type="gramEnd"/>
      <w:r w:rsidRPr="00791589">
        <w:rPr>
          <w:color w:val="000000" w:themeColor="text1"/>
          <w:lang w:val="en-US"/>
        </w:rPr>
        <w:t xml:space="preserve"> stockout penalties, which explains why Dynamic and Dynamic + Forecast differ by an order of magnitude in total cost. </w:t>
      </w:r>
      <w:r w:rsidR="000D502C" w:rsidRPr="00791589">
        <w:rPr>
          <w:color w:val="000000" w:themeColor="text1"/>
          <w:lang w:val="en-US"/>
        </w:rPr>
        <w:t>Compared with the strongest baseline at each horizon, Hybrid AI reduces the</w:t>
      </w:r>
      <w:r w:rsidR="00630284" w:rsidRPr="00791589">
        <w:rPr>
          <w:color w:val="000000" w:themeColor="text1"/>
          <w:lang w:val="en-US"/>
        </w:rPr>
        <w:t xml:space="preserve"> mean total cost by about 16% at 90 days and 13% at 180 days, relative to Dynamic + Forecast and Base-stock, respectively. Both contrasts remain significant after Holm correction (p &lt; 0.001)</w:t>
      </w:r>
      <w:r w:rsidR="00914269" w:rsidRPr="00791589">
        <w:rPr>
          <w:color w:val="000000" w:themeColor="text1"/>
          <w:lang w:val="en-US"/>
        </w:rPr>
        <w:t>.</w:t>
      </w:r>
    </w:p>
    <w:p w14:paraId="4A9BA308" w14:textId="77777777" w:rsidR="00B32827" w:rsidRPr="00791589" w:rsidRDefault="00B32827" w:rsidP="00B32827">
      <w:pPr>
        <w:pStyle w:val="ng-star-inserted"/>
        <w:spacing w:before="0" w:after="0" w:afterAutospacing="0"/>
        <w:ind w:left="216" w:right="14"/>
        <w:jc w:val="center"/>
        <w:rPr>
          <w:rStyle w:val="ng-star-inserted1"/>
          <w:rFonts w:eastAsiaTheme="majorEastAsia"/>
          <w:b/>
          <w:bCs/>
          <w:color w:val="000000" w:themeColor="text1"/>
          <w:sz w:val="22"/>
          <w:szCs w:val="22"/>
          <w:lang w:val="en-US"/>
        </w:rPr>
      </w:pPr>
      <w:r w:rsidRPr="00791589">
        <w:rPr>
          <w:b/>
          <w:bCs/>
          <w:color w:val="000000" w:themeColor="text1"/>
          <w:sz w:val="20"/>
          <w:lang w:val="en-US"/>
        </w:rPr>
        <w:t>Table 3. Comparative performance metrics: Stable demand scenario (GA on; 90d and 180d).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7"/>
        <w:gridCol w:w="2439"/>
        <w:gridCol w:w="1558"/>
        <w:gridCol w:w="2124"/>
        <w:gridCol w:w="1668"/>
      </w:tblGrid>
      <w:tr w:rsidR="00B32827" w14:paraId="6C257047" w14:textId="77777777" w:rsidTr="00914269">
        <w:trPr>
          <w:jc w:val="center"/>
        </w:trPr>
        <w:tc>
          <w:tcPr>
            <w:tcW w:w="1947" w:type="dxa"/>
            <w:vAlign w:val="center"/>
          </w:tcPr>
          <w:p w14:paraId="4FCA4BFD" w14:textId="77777777" w:rsidR="00B32827" w:rsidRPr="000361F7" w:rsidRDefault="00B32827" w:rsidP="00115971">
            <w:pPr>
              <w:rPr>
                <w:rFonts w:cs="Times New Roman"/>
              </w:rPr>
            </w:pPr>
            <w:r w:rsidRPr="000361F7">
              <w:rPr>
                <w:rFonts w:cs="Times New Roman"/>
                <w:b/>
                <w:sz w:val="18"/>
              </w:rPr>
              <w:t>Policy</w:t>
            </w:r>
          </w:p>
        </w:tc>
        <w:tc>
          <w:tcPr>
            <w:tcW w:w="2439" w:type="dxa"/>
            <w:vAlign w:val="center"/>
          </w:tcPr>
          <w:p w14:paraId="1ED1F9D6" w14:textId="77777777" w:rsidR="00B32827" w:rsidRPr="000361F7" w:rsidRDefault="00B32827" w:rsidP="00115971">
            <w:pPr>
              <w:rPr>
                <w:rFonts w:cs="Times New Roman"/>
              </w:rPr>
            </w:pPr>
            <w:r w:rsidRPr="000361F7">
              <w:rPr>
                <w:rFonts w:cs="Times New Roman"/>
                <w:b/>
                <w:sz w:val="18"/>
              </w:rPr>
              <w:t>Total cost (90d), mean [95% CI]</w:t>
            </w:r>
          </w:p>
        </w:tc>
        <w:tc>
          <w:tcPr>
            <w:tcW w:w="1558" w:type="dxa"/>
            <w:vAlign w:val="center"/>
          </w:tcPr>
          <w:p w14:paraId="786A40CF" w14:textId="77777777" w:rsidR="00B32827" w:rsidRPr="000361F7" w:rsidRDefault="00B32827" w:rsidP="00115971">
            <w:pPr>
              <w:rPr>
                <w:rFonts w:cs="Times New Roman"/>
              </w:rPr>
            </w:pPr>
            <w:r w:rsidRPr="000361F7">
              <w:rPr>
                <w:rFonts w:cs="Times New Roman"/>
                <w:b/>
                <w:sz w:val="18"/>
              </w:rPr>
              <w:t>Fill rate (90d), mean [95% CI]</w:t>
            </w:r>
          </w:p>
        </w:tc>
        <w:tc>
          <w:tcPr>
            <w:tcW w:w="2124" w:type="dxa"/>
            <w:vAlign w:val="center"/>
          </w:tcPr>
          <w:p w14:paraId="1F453CA3" w14:textId="77777777" w:rsidR="00B32827" w:rsidRPr="000361F7" w:rsidRDefault="00B32827" w:rsidP="00115971">
            <w:pPr>
              <w:rPr>
                <w:rFonts w:cs="Times New Roman"/>
              </w:rPr>
            </w:pPr>
            <w:r w:rsidRPr="000361F7">
              <w:rPr>
                <w:rFonts w:cs="Times New Roman"/>
                <w:b/>
                <w:sz w:val="18"/>
              </w:rPr>
              <w:t>Total cost (180d), mean [95% CI]</w:t>
            </w:r>
          </w:p>
        </w:tc>
        <w:tc>
          <w:tcPr>
            <w:tcW w:w="1668" w:type="dxa"/>
            <w:vAlign w:val="center"/>
          </w:tcPr>
          <w:p w14:paraId="3E34015F" w14:textId="77777777" w:rsidR="00B32827" w:rsidRPr="000361F7" w:rsidRDefault="00B32827" w:rsidP="00115971">
            <w:pPr>
              <w:rPr>
                <w:rFonts w:cs="Times New Roman"/>
              </w:rPr>
            </w:pPr>
            <w:r w:rsidRPr="000361F7">
              <w:rPr>
                <w:rFonts w:cs="Times New Roman"/>
                <w:b/>
                <w:sz w:val="18"/>
              </w:rPr>
              <w:t>Fill rate (180d), mean [95% CI]</w:t>
            </w:r>
          </w:p>
        </w:tc>
      </w:tr>
      <w:tr w:rsidR="00B32827" w14:paraId="34215A39" w14:textId="77777777" w:rsidTr="00914269">
        <w:trPr>
          <w:jc w:val="center"/>
        </w:trPr>
        <w:tc>
          <w:tcPr>
            <w:tcW w:w="1947" w:type="dxa"/>
            <w:vAlign w:val="center"/>
          </w:tcPr>
          <w:p w14:paraId="73513AAB" w14:textId="77777777" w:rsidR="00B32827" w:rsidRPr="000361F7" w:rsidRDefault="00B32827" w:rsidP="00115971">
            <w:pPr>
              <w:rPr>
                <w:rFonts w:cs="Times New Roman"/>
              </w:rPr>
            </w:pPr>
            <w:r w:rsidRPr="000361F7">
              <w:rPr>
                <w:rFonts w:cs="Times New Roman"/>
                <w:sz w:val="18"/>
              </w:rPr>
              <w:t>Static</w:t>
            </w:r>
          </w:p>
        </w:tc>
        <w:tc>
          <w:tcPr>
            <w:tcW w:w="2439" w:type="dxa"/>
            <w:vAlign w:val="center"/>
          </w:tcPr>
          <w:p w14:paraId="0E449B19" w14:textId="77777777" w:rsidR="00B32827" w:rsidRDefault="00B32827" w:rsidP="00115971">
            <w:pPr>
              <w:jc w:val="center"/>
              <w:rPr>
                <w:rFonts w:cs="Times New Roman"/>
                <w:sz w:val="18"/>
              </w:rPr>
            </w:pPr>
            <w:r w:rsidRPr="000361F7">
              <w:rPr>
                <w:rFonts w:cs="Times New Roman"/>
                <w:sz w:val="18"/>
              </w:rPr>
              <w:t>9,759,941</w:t>
            </w:r>
          </w:p>
          <w:p w14:paraId="78FED3FD" w14:textId="77777777" w:rsidR="00B32827" w:rsidRPr="000361F7" w:rsidRDefault="00B32827" w:rsidP="00115971">
            <w:pPr>
              <w:jc w:val="center"/>
              <w:rPr>
                <w:rFonts w:cs="Times New Roman"/>
              </w:rPr>
            </w:pPr>
            <w:r w:rsidRPr="000361F7">
              <w:rPr>
                <w:rFonts w:cs="Times New Roman"/>
                <w:sz w:val="18"/>
              </w:rPr>
              <w:t>[9,482,287; 10,037,983]</w:t>
            </w:r>
          </w:p>
        </w:tc>
        <w:tc>
          <w:tcPr>
            <w:tcW w:w="1558" w:type="dxa"/>
            <w:vAlign w:val="center"/>
          </w:tcPr>
          <w:p w14:paraId="63177CCE" w14:textId="77777777" w:rsidR="00B32827" w:rsidRDefault="00B32827" w:rsidP="00115971">
            <w:pPr>
              <w:jc w:val="center"/>
              <w:rPr>
                <w:rFonts w:cs="Times New Roman"/>
                <w:sz w:val="18"/>
              </w:rPr>
            </w:pPr>
            <w:r w:rsidRPr="000361F7">
              <w:rPr>
                <w:rFonts w:cs="Times New Roman"/>
                <w:sz w:val="18"/>
              </w:rPr>
              <w:t>50.7%</w:t>
            </w:r>
          </w:p>
          <w:p w14:paraId="171BDA42" w14:textId="77777777" w:rsidR="00B32827" w:rsidRPr="000361F7" w:rsidRDefault="00B32827" w:rsidP="00115971">
            <w:pPr>
              <w:jc w:val="center"/>
              <w:rPr>
                <w:rFonts w:cs="Times New Roman"/>
              </w:rPr>
            </w:pPr>
            <w:r w:rsidRPr="000361F7">
              <w:rPr>
                <w:rFonts w:cs="Times New Roman"/>
                <w:sz w:val="18"/>
              </w:rPr>
              <w:t>[50.1%; 51.3%]</w:t>
            </w:r>
          </w:p>
        </w:tc>
        <w:tc>
          <w:tcPr>
            <w:tcW w:w="2124" w:type="dxa"/>
            <w:vAlign w:val="center"/>
          </w:tcPr>
          <w:p w14:paraId="2290CD47" w14:textId="77777777" w:rsidR="00B32827" w:rsidRDefault="00B32827" w:rsidP="00115971">
            <w:pPr>
              <w:jc w:val="center"/>
              <w:rPr>
                <w:rFonts w:cs="Times New Roman"/>
                <w:sz w:val="18"/>
              </w:rPr>
            </w:pPr>
            <w:r w:rsidRPr="000361F7">
              <w:rPr>
                <w:rFonts w:cs="Times New Roman"/>
                <w:sz w:val="18"/>
              </w:rPr>
              <w:t xml:space="preserve">19,504,874 </w:t>
            </w:r>
          </w:p>
          <w:p w14:paraId="281FD238" w14:textId="77777777" w:rsidR="00B32827" w:rsidRPr="000361F7" w:rsidRDefault="00B32827" w:rsidP="00115971">
            <w:pPr>
              <w:jc w:val="center"/>
              <w:rPr>
                <w:rFonts w:cs="Times New Roman"/>
              </w:rPr>
            </w:pPr>
            <w:r w:rsidRPr="000361F7">
              <w:rPr>
                <w:rFonts w:cs="Times New Roman"/>
                <w:sz w:val="18"/>
              </w:rPr>
              <w:t>[19,096,100; 19,919,665]</w:t>
            </w:r>
          </w:p>
        </w:tc>
        <w:tc>
          <w:tcPr>
            <w:tcW w:w="1668" w:type="dxa"/>
            <w:vAlign w:val="center"/>
          </w:tcPr>
          <w:p w14:paraId="67D07560" w14:textId="77777777" w:rsidR="00B32827" w:rsidRDefault="00B32827" w:rsidP="00115971">
            <w:pPr>
              <w:jc w:val="center"/>
              <w:rPr>
                <w:rFonts w:cs="Times New Roman"/>
                <w:sz w:val="18"/>
              </w:rPr>
            </w:pPr>
            <w:r w:rsidRPr="000361F7">
              <w:rPr>
                <w:rFonts w:cs="Times New Roman"/>
                <w:sz w:val="18"/>
              </w:rPr>
              <w:t xml:space="preserve">50.8% </w:t>
            </w:r>
          </w:p>
          <w:p w14:paraId="4333C535" w14:textId="77777777" w:rsidR="00B32827" w:rsidRPr="000361F7" w:rsidRDefault="00B32827" w:rsidP="00115971">
            <w:pPr>
              <w:jc w:val="center"/>
              <w:rPr>
                <w:rFonts w:cs="Times New Roman"/>
              </w:rPr>
            </w:pPr>
            <w:r w:rsidRPr="000361F7">
              <w:rPr>
                <w:rFonts w:cs="Times New Roman"/>
                <w:sz w:val="18"/>
              </w:rPr>
              <w:t>[50.4%; 51.3%]</w:t>
            </w:r>
          </w:p>
        </w:tc>
      </w:tr>
      <w:tr w:rsidR="00B32827" w14:paraId="6AFEE744" w14:textId="77777777" w:rsidTr="00914269">
        <w:trPr>
          <w:jc w:val="center"/>
        </w:trPr>
        <w:tc>
          <w:tcPr>
            <w:tcW w:w="1947" w:type="dxa"/>
            <w:vAlign w:val="center"/>
          </w:tcPr>
          <w:p w14:paraId="7E8EF99F" w14:textId="77777777" w:rsidR="00B32827" w:rsidRPr="000361F7" w:rsidRDefault="00B32827" w:rsidP="00115971">
            <w:pPr>
              <w:rPr>
                <w:rFonts w:cs="Times New Roman"/>
              </w:rPr>
            </w:pPr>
            <w:r w:rsidRPr="000361F7">
              <w:rPr>
                <w:rFonts w:cs="Times New Roman"/>
                <w:sz w:val="18"/>
              </w:rPr>
              <w:t>Dynamic</w:t>
            </w:r>
          </w:p>
        </w:tc>
        <w:tc>
          <w:tcPr>
            <w:tcW w:w="2439" w:type="dxa"/>
            <w:vAlign w:val="center"/>
          </w:tcPr>
          <w:p w14:paraId="4E0B3C73" w14:textId="77777777" w:rsidR="00B32827" w:rsidRDefault="00B32827" w:rsidP="00115971">
            <w:pPr>
              <w:jc w:val="center"/>
              <w:rPr>
                <w:rFonts w:cs="Times New Roman"/>
                <w:sz w:val="18"/>
              </w:rPr>
            </w:pPr>
            <w:r w:rsidRPr="000361F7">
              <w:rPr>
                <w:rFonts w:cs="Times New Roman"/>
                <w:sz w:val="18"/>
              </w:rPr>
              <w:t>6,878,926</w:t>
            </w:r>
          </w:p>
          <w:p w14:paraId="201AF301" w14:textId="77777777" w:rsidR="00B32827" w:rsidRPr="000361F7" w:rsidRDefault="00B32827" w:rsidP="00115971">
            <w:pPr>
              <w:jc w:val="center"/>
              <w:rPr>
                <w:rFonts w:cs="Times New Roman"/>
              </w:rPr>
            </w:pPr>
            <w:r w:rsidRPr="000361F7">
              <w:rPr>
                <w:rFonts w:cs="Times New Roman"/>
                <w:sz w:val="18"/>
              </w:rPr>
              <w:t>[6,696,326; 7,087,911]</w:t>
            </w:r>
          </w:p>
        </w:tc>
        <w:tc>
          <w:tcPr>
            <w:tcW w:w="1558" w:type="dxa"/>
            <w:vAlign w:val="center"/>
          </w:tcPr>
          <w:p w14:paraId="44E91E11" w14:textId="77777777" w:rsidR="00B32827" w:rsidRDefault="00B32827" w:rsidP="00115971">
            <w:pPr>
              <w:jc w:val="center"/>
              <w:rPr>
                <w:rFonts w:cs="Times New Roman"/>
                <w:sz w:val="18"/>
              </w:rPr>
            </w:pPr>
            <w:r w:rsidRPr="000361F7">
              <w:rPr>
                <w:rFonts w:cs="Times New Roman"/>
                <w:sz w:val="18"/>
              </w:rPr>
              <w:t>65.8%</w:t>
            </w:r>
          </w:p>
          <w:p w14:paraId="3E334E90" w14:textId="77777777" w:rsidR="00B32827" w:rsidRPr="000361F7" w:rsidRDefault="00B32827" w:rsidP="00115971">
            <w:pPr>
              <w:jc w:val="center"/>
              <w:rPr>
                <w:rFonts w:cs="Times New Roman"/>
              </w:rPr>
            </w:pPr>
            <w:r w:rsidRPr="000361F7">
              <w:rPr>
                <w:rFonts w:cs="Times New Roman"/>
                <w:sz w:val="18"/>
              </w:rPr>
              <w:t>[65.5%; 66.2%]</w:t>
            </w:r>
          </w:p>
        </w:tc>
        <w:tc>
          <w:tcPr>
            <w:tcW w:w="2124" w:type="dxa"/>
            <w:vAlign w:val="center"/>
          </w:tcPr>
          <w:p w14:paraId="5159C2BA" w14:textId="77777777" w:rsidR="00B32827" w:rsidRDefault="00B32827" w:rsidP="00115971">
            <w:pPr>
              <w:jc w:val="center"/>
              <w:rPr>
                <w:rFonts w:cs="Times New Roman"/>
                <w:sz w:val="18"/>
              </w:rPr>
            </w:pPr>
            <w:r w:rsidRPr="000361F7">
              <w:rPr>
                <w:rFonts w:cs="Times New Roman"/>
                <w:sz w:val="18"/>
              </w:rPr>
              <w:t xml:space="preserve">13,301,446 </w:t>
            </w:r>
          </w:p>
          <w:p w14:paraId="7B90404B" w14:textId="77777777" w:rsidR="00B32827" w:rsidRPr="000361F7" w:rsidRDefault="00B32827" w:rsidP="00115971">
            <w:pPr>
              <w:jc w:val="center"/>
              <w:rPr>
                <w:rFonts w:cs="Times New Roman"/>
              </w:rPr>
            </w:pPr>
            <w:r w:rsidRPr="000361F7">
              <w:rPr>
                <w:rFonts w:cs="Times New Roman"/>
                <w:sz w:val="18"/>
              </w:rPr>
              <w:t>[12,981,501; 13,618,843]</w:t>
            </w:r>
          </w:p>
        </w:tc>
        <w:tc>
          <w:tcPr>
            <w:tcW w:w="1668" w:type="dxa"/>
            <w:vAlign w:val="center"/>
          </w:tcPr>
          <w:p w14:paraId="67FF7E92" w14:textId="77777777" w:rsidR="00B32827" w:rsidRDefault="00B32827" w:rsidP="00115971">
            <w:pPr>
              <w:jc w:val="center"/>
              <w:rPr>
                <w:rFonts w:cs="Times New Roman"/>
                <w:sz w:val="18"/>
              </w:rPr>
            </w:pPr>
            <w:r w:rsidRPr="000361F7">
              <w:rPr>
                <w:rFonts w:cs="Times New Roman"/>
                <w:sz w:val="18"/>
              </w:rPr>
              <w:t xml:space="preserve">66.4% </w:t>
            </w:r>
          </w:p>
          <w:p w14:paraId="4FA794A9" w14:textId="77777777" w:rsidR="00B32827" w:rsidRPr="000361F7" w:rsidRDefault="00B32827" w:rsidP="00115971">
            <w:pPr>
              <w:jc w:val="center"/>
              <w:rPr>
                <w:rFonts w:cs="Times New Roman"/>
              </w:rPr>
            </w:pPr>
            <w:r w:rsidRPr="000361F7">
              <w:rPr>
                <w:rFonts w:cs="Times New Roman"/>
                <w:sz w:val="18"/>
              </w:rPr>
              <w:t>[66.2%; 66.7%]</w:t>
            </w:r>
          </w:p>
        </w:tc>
      </w:tr>
      <w:tr w:rsidR="00B32827" w14:paraId="024E5AF3" w14:textId="77777777" w:rsidTr="00914269">
        <w:trPr>
          <w:jc w:val="center"/>
        </w:trPr>
        <w:tc>
          <w:tcPr>
            <w:tcW w:w="1947" w:type="dxa"/>
            <w:vAlign w:val="center"/>
          </w:tcPr>
          <w:p w14:paraId="4FFB0DAB" w14:textId="77777777" w:rsidR="00B32827" w:rsidRPr="000361F7" w:rsidRDefault="00B32827" w:rsidP="00115971">
            <w:pPr>
              <w:rPr>
                <w:rFonts w:cs="Times New Roman"/>
              </w:rPr>
            </w:pPr>
            <w:r w:rsidRPr="000361F7">
              <w:rPr>
                <w:rFonts w:cs="Times New Roman"/>
                <w:sz w:val="18"/>
              </w:rPr>
              <w:t>Dynamic + Forecast</w:t>
            </w:r>
          </w:p>
        </w:tc>
        <w:tc>
          <w:tcPr>
            <w:tcW w:w="2439" w:type="dxa"/>
            <w:vAlign w:val="center"/>
          </w:tcPr>
          <w:p w14:paraId="6D483D99" w14:textId="77777777" w:rsidR="00B32827" w:rsidRDefault="00B32827" w:rsidP="00115971">
            <w:pPr>
              <w:jc w:val="center"/>
              <w:rPr>
                <w:rFonts w:cs="Times New Roman"/>
                <w:sz w:val="18"/>
              </w:rPr>
            </w:pPr>
            <w:r w:rsidRPr="000361F7">
              <w:rPr>
                <w:rFonts w:cs="Times New Roman"/>
                <w:sz w:val="18"/>
              </w:rPr>
              <w:t>780,448</w:t>
            </w:r>
          </w:p>
          <w:p w14:paraId="077006AE" w14:textId="77777777" w:rsidR="00B32827" w:rsidRPr="000361F7" w:rsidRDefault="00B32827" w:rsidP="00115971">
            <w:pPr>
              <w:jc w:val="center"/>
              <w:rPr>
                <w:rFonts w:cs="Times New Roman"/>
              </w:rPr>
            </w:pPr>
            <w:r w:rsidRPr="000361F7">
              <w:rPr>
                <w:rFonts w:cs="Times New Roman"/>
                <w:sz w:val="18"/>
              </w:rPr>
              <w:t>[705,885; 852,952]</w:t>
            </w:r>
          </w:p>
        </w:tc>
        <w:tc>
          <w:tcPr>
            <w:tcW w:w="1558" w:type="dxa"/>
            <w:vAlign w:val="center"/>
          </w:tcPr>
          <w:p w14:paraId="6FBCEA7E" w14:textId="77777777" w:rsidR="00B32827" w:rsidRDefault="00B32827" w:rsidP="00115971">
            <w:pPr>
              <w:jc w:val="center"/>
              <w:rPr>
                <w:rFonts w:cs="Times New Roman"/>
                <w:sz w:val="18"/>
              </w:rPr>
            </w:pPr>
            <w:r w:rsidRPr="000361F7">
              <w:rPr>
                <w:rFonts w:cs="Times New Roman"/>
                <w:sz w:val="18"/>
              </w:rPr>
              <w:t>96.4%</w:t>
            </w:r>
          </w:p>
          <w:p w14:paraId="3D7CE733" w14:textId="77777777" w:rsidR="00B32827" w:rsidRPr="000361F7" w:rsidRDefault="00B32827" w:rsidP="00115971">
            <w:pPr>
              <w:jc w:val="center"/>
              <w:rPr>
                <w:rFonts w:cs="Times New Roman"/>
              </w:rPr>
            </w:pPr>
            <w:r w:rsidRPr="000361F7">
              <w:rPr>
                <w:rFonts w:cs="Times New Roman"/>
                <w:sz w:val="18"/>
              </w:rPr>
              <w:t>[96.1%; 96.6%]</w:t>
            </w:r>
          </w:p>
        </w:tc>
        <w:tc>
          <w:tcPr>
            <w:tcW w:w="2124" w:type="dxa"/>
            <w:vAlign w:val="center"/>
          </w:tcPr>
          <w:p w14:paraId="7BBE5A14" w14:textId="77777777" w:rsidR="00B32827" w:rsidRDefault="00B32827" w:rsidP="00115971">
            <w:pPr>
              <w:jc w:val="center"/>
              <w:rPr>
                <w:rFonts w:cs="Times New Roman"/>
                <w:sz w:val="18"/>
              </w:rPr>
            </w:pPr>
            <w:r w:rsidRPr="000361F7">
              <w:rPr>
                <w:rFonts w:cs="Times New Roman"/>
                <w:sz w:val="18"/>
              </w:rPr>
              <w:t xml:space="preserve">1,039,416 </w:t>
            </w:r>
          </w:p>
          <w:p w14:paraId="5092A734" w14:textId="77777777" w:rsidR="00B32827" w:rsidRPr="000361F7" w:rsidRDefault="00B32827" w:rsidP="00115971">
            <w:pPr>
              <w:jc w:val="center"/>
              <w:rPr>
                <w:rFonts w:cs="Times New Roman"/>
              </w:rPr>
            </w:pPr>
            <w:r w:rsidRPr="000361F7">
              <w:rPr>
                <w:rFonts w:cs="Times New Roman"/>
                <w:sz w:val="18"/>
              </w:rPr>
              <w:t>[935,245; 1,147,698]</w:t>
            </w:r>
          </w:p>
        </w:tc>
        <w:tc>
          <w:tcPr>
            <w:tcW w:w="1668" w:type="dxa"/>
            <w:vAlign w:val="center"/>
          </w:tcPr>
          <w:p w14:paraId="25254C23" w14:textId="77777777" w:rsidR="00B32827" w:rsidRDefault="00B32827" w:rsidP="00115971">
            <w:pPr>
              <w:jc w:val="center"/>
              <w:rPr>
                <w:rFonts w:cs="Times New Roman"/>
                <w:sz w:val="18"/>
              </w:rPr>
            </w:pPr>
            <w:r w:rsidRPr="000361F7">
              <w:rPr>
                <w:rFonts w:cs="Times New Roman"/>
                <w:sz w:val="18"/>
              </w:rPr>
              <w:t xml:space="preserve">97.6% </w:t>
            </w:r>
          </w:p>
          <w:p w14:paraId="22E690D1" w14:textId="77777777" w:rsidR="00B32827" w:rsidRPr="000361F7" w:rsidRDefault="00B32827" w:rsidP="00115971">
            <w:pPr>
              <w:jc w:val="center"/>
              <w:rPr>
                <w:rFonts w:cs="Times New Roman"/>
              </w:rPr>
            </w:pPr>
            <w:r w:rsidRPr="000361F7">
              <w:rPr>
                <w:rFonts w:cs="Times New Roman"/>
                <w:sz w:val="18"/>
              </w:rPr>
              <w:t>[97.5%; 97.8%]</w:t>
            </w:r>
          </w:p>
        </w:tc>
      </w:tr>
      <w:tr w:rsidR="00B32827" w14:paraId="5F42084C" w14:textId="77777777" w:rsidTr="00914269">
        <w:trPr>
          <w:jc w:val="center"/>
        </w:trPr>
        <w:tc>
          <w:tcPr>
            <w:tcW w:w="1947" w:type="dxa"/>
            <w:tcBorders>
              <w:bottom w:val="single" w:sz="4" w:space="0" w:color="auto"/>
            </w:tcBorders>
            <w:vAlign w:val="center"/>
          </w:tcPr>
          <w:p w14:paraId="1303D886" w14:textId="77777777" w:rsidR="00B32827" w:rsidRPr="000361F7" w:rsidRDefault="00B32827" w:rsidP="00115971">
            <w:pPr>
              <w:rPr>
                <w:rFonts w:cs="Times New Roman"/>
              </w:rPr>
            </w:pPr>
            <w:r w:rsidRPr="000361F7">
              <w:rPr>
                <w:rFonts w:cs="Times New Roman"/>
                <w:sz w:val="18"/>
              </w:rPr>
              <w:t>Base-stock (Uncertain)</w:t>
            </w:r>
          </w:p>
        </w:tc>
        <w:tc>
          <w:tcPr>
            <w:tcW w:w="2439" w:type="dxa"/>
            <w:tcBorders>
              <w:bottom w:val="single" w:sz="4" w:space="0" w:color="auto"/>
            </w:tcBorders>
            <w:vAlign w:val="center"/>
          </w:tcPr>
          <w:p w14:paraId="159641A9" w14:textId="77777777" w:rsidR="00B32827" w:rsidRDefault="00B32827" w:rsidP="00115971">
            <w:pPr>
              <w:jc w:val="center"/>
              <w:rPr>
                <w:rFonts w:cs="Times New Roman"/>
                <w:sz w:val="18"/>
              </w:rPr>
            </w:pPr>
            <w:r w:rsidRPr="000361F7">
              <w:rPr>
                <w:rFonts w:cs="Times New Roman"/>
                <w:sz w:val="18"/>
              </w:rPr>
              <w:t>788,148</w:t>
            </w:r>
          </w:p>
          <w:p w14:paraId="4061A49F" w14:textId="77777777" w:rsidR="00B32827" w:rsidRPr="000361F7" w:rsidRDefault="00B32827" w:rsidP="00115971">
            <w:pPr>
              <w:jc w:val="center"/>
              <w:rPr>
                <w:rFonts w:cs="Times New Roman"/>
              </w:rPr>
            </w:pPr>
            <w:r w:rsidRPr="000361F7">
              <w:rPr>
                <w:rFonts w:cs="Times New Roman"/>
                <w:sz w:val="18"/>
              </w:rPr>
              <w:t>[706,980; 881,357]</w:t>
            </w:r>
          </w:p>
        </w:tc>
        <w:tc>
          <w:tcPr>
            <w:tcW w:w="1558" w:type="dxa"/>
            <w:tcBorders>
              <w:bottom w:val="single" w:sz="4" w:space="0" w:color="auto"/>
            </w:tcBorders>
            <w:vAlign w:val="center"/>
          </w:tcPr>
          <w:p w14:paraId="7CF53263" w14:textId="77777777" w:rsidR="00B32827" w:rsidRDefault="00B32827" w:rsidP="00115971">
            <w:pPr>
              <w:jc w:val="center"/>
              <w:rPr>
                <w:rFonts w:cs="Times New Roman"/>
                <w:sz w:val="18"/>
              </w:rPr>
            </w:pPr>
            <w:r w:rsidRPr="000361F7">
              <w:rPr>
                <w:rFonts w:cs="Times New Roman"/>
                <w:sz w:val="18"/>
              </w:rPr>
              <w:t>96.4%</w:t>
            </w:r>
          </w:p>
          <w:p w14:paraId="659AFCDE" w14:textId="77777777" w:rsidR="00B32827" w:rsidRPr="000361F7" w:rsidRDefault="00B32827" w:rsidP="00115971">
            <w:pPr>
              <w:jc w:val="center"/>
              <w:rPr>
                <w:rFonts w:cs="Times New Roman"/>
              </w:rPr>
            </w:pPr>
            <w:r w:rsidRPr="000361F7">
              <w:rPr>
                <w:rFonts w:cs="Times New Roman"/>
                <w:sz w:val="18"/>
              </w:rPr>
              <w:t>[96.1%; 96.7%]</w:t>
            </w:r>
          </w:p>
        </w:tc>
        <w:tc>
          <w:tcPr>
            <w:tcW w:w="2124" w:type="dxa"/>
            <w:tcBorders>
              <w:bottom w:val="single" w:sz="4" w:space="0" w:color="auto"/>
            </w:tcBorders>
            <w:vAlign w:val="center"/>
          </w:tcPr>
          <w:p w14:paraId="05E3C910" w14:textId="77777777" w:rsidR="00B32827" w:rsidRDefault="00B32827" w:rsidP="00115971">
            <w:pPr>
              <w:jc w:val="center"/>
              <w:rPr>
                <w:rFonts w:cs="Times New Roman"/>
                <w:sz w:val="18"/>
              </w:rPr>
            </w:pPr>
            <w:r w:rsidRPr="000361F7">
              <w:rPr>
                <w:rFonts w:cs="Times New Roman"/>
                <w:sz w:val="18"/>
              </w:rPr>
              <w:t xml:space="preserve">1,002,794 </w:t>
            </w:r>
          </w:p>
          <w:p w14:paraId="0EA51A52" w14:textId="77777777" w:rsidR="00B32827" w:rsidRPr="000361F7" w:rsidRDefault="00B32827" w:rsidP="00115971">
            <w:pPr>
              <w:jc w:val="center"/>
              <w:rPr>
                <w:rFonts w:cs="Times New Roman"/>
              </w:rPr>
            </w:pPr>
            <w:r w:rsidRPr="000361F7">
              <w:rPr>
                <w:rFonts w:cs="Times New Roman"/>
                <w:sz w:val="18"/>
              </w:rPr>
              <w:t>[897,941; 1,107,095]</w:t>
            </w:r>
          </w:p>
        </w:tc>
        <w:tc>
          <w:tcPr>
            <w:tcW w:w="1668" w:type="dxa"/>
            <w:tcBorders>
              <w:bottom w:val="single" w:sz="4" w:space="0" w:color="auto"/>
            </w:tcBorders>
            <w:vAlign w:val="center"/>
          </w:tcPr>
          <w:p w14:paraId="6EEF7568" w14:textId="77777777" w:rsidR="00B32827" w:rsidRDefault="00B32827" w:rsidP="00115971">
            <w:pPr>
              <w:jc w:val="center"/>
              <w:rPr>
                <w:rFonts w:cs="Times New Roman"/>
                <w:sz w:val="18"/>
              </w:rPr>
            </w:pPr>
            <w:r w:rsidRPr="000361F7">
              <w:rPr>
                <w:rFonts w:cs="Times New Roman"/>
                <w:sz w:val="18"/>
              </w:rPr>
              <w:t xml:space="preserve">97.7% </w:t>
            </w:r>
          </w:p>
          <w:p w14:paraId="73780AC4" w14:textId="77777777" w:rsidR="00B32827" w:rsidRPr="000361F7" w:rsidRDefault="00B32827" w:rsidP="00115971">
            <w:pPr>
              <w:jc w:val="center"/>
              <w:rPr>
                <w:rFonts w:cs="Times New Roman"/>
              </w:rPr>
            </w:pPr>
            <w:r w:rsidRPr="000361F7">
              <w:rPr>
                <w:rFonts w:cs="Times New Roman"/>
                <w:sz w:val="18"/>
              </w:rPr>
              <w:t>[97.5%; 97.9%]</w:t>
            </w:r>
          </w:p>
        </w:tc>
      </w:tr>
      <w:tr w:rsidR="00B32827" w14:paraId="16D237F0" w14:textId="77777777" w:rsidTr="00914269">
        <w:trPr>
          <w:jc w:val="center"/>
        </w:trPr>
        <w:tc>
          <w:tcPr>
            <w:tcW w:w="1947" w:type="dxa"/>
            <w:tcBorders>
              <w:bottom w:val="single" w:sz="4" w:space="0" w:color="auto"/>
            </w:tcBorders>
            <w:vAlign w:val="center"/>
          </w:tcPr>
          <w:p w14:paraId="034538A2" w14:textId="77777777" w:rsidR="00B32827" w:rsidRPr="000361F7" w:rsidRDefault="00B32827" w:rsidP="00115971">
            <w:pPr>
              <w:rPr>
                <w:rFonts w:cs="Times New Roman"/>
              </w:rPr>
            </w:pPr>
            <w:r w:rsidRPr="000361F7">
              <w:rPr>
                <w:rFonts w:cs="Times New Roman"/>
                <w:sz w:val="18"/>
              </w:rPr>
              <w:t>Hybrid AI</w:t>
            </w:r>
          </w:p>
        </w:tc>
        <w:tc>
          <w:tcPr>
            <w:tcW w:w="2439" w:type="dxa"/>
            <w:tcBorders>
              <w:bottom w:val="single" w:sz="4" w:space="0" w:color="auto"/>
            </w:tcBorders>
            <w:vAlign w:val="center"/>
          </w:tcPr>
          <w:p w14:paraId="119A5D58" w14:textId="77777777" w:rsidR="00B32827" w:rsidRDefault="00B32827" w:rsidP="00115971">
            <w:pPr>
              <w:jc w:val="center"/>
              <w:rPr>
                <w:rFonts w:cs="Times New Roman"/>
                <w:sz w:val="18"/>
              </w:rPr>
            </w:pPr>
            <w:r w:rsidRPr="000361F7">
              <w:rPr>
                <w:rFonts w:cs="Times New Roman"/>
                <w:sz w:val="18"/>
              </w:rPr>
              <w:t>655,184</w:t>
            </w:r>
          </w:p>
          <w:p w14:paraId="69FBBF2D" w14:textId="77777777" w:rsidR="00B32827" w:rsidRPr="000361F7" w:rsidRDefault="00B32827" w:rsidP="00115971">
            <w:pPr>
              <w:jc w:val="center"/>
              <w:rPr>
                <w:rFonts w:cs="Times New Roman"/>
              </w:rPr>
            </w:pPr>
            <w:r w:rsidRPr="000361F7">
              <w:rPr>
                <w:rFonts w:cs="Times New Roman"/>
                <w:sz w:val="18"/>
              </w:rPr>
              <w:t>[581,752; 730,121]</w:t>
            </w:r>
          </w:p>
        </w:tc>
        <w:tc>
          <w:tcPr>
            <w:tcW w:w="1558" w:type="dxa"/>
            <w:tcBorders>
              <w:bottom w:val="single" w:sz="4" w:space="0" w:color="auto"/>
            </w:tcBorders>
            <w:vAlign w:val="center"/>
          </w:tcPr>
          <w:p w14:paraId="79E219C1" w14:textId="77777777" w:rsidR="00B32827" w:rsidRDefault="00B32827" w:rsidP="00115971">
            <w:pPr>
              <w:jc w:val="center"/>
              <w:rPr>
                <w:rFonts w:cs="Times New Roman"/>
                <w:sz w:val="18"/>
              </w:rPr>
            </w:pPr>
            <w:r w:rsidRPr="000361F7">
              <w:rPr>
                <w:rFonts w:cs="Times New Roman"/>
                <w:sz w:val="18"/>
              </w:rPr>
              <w:t>97.1%</w:t>
            </w:r>
          </w:p>
          <w:p w14:paraId="7202FD57" w14:textId="77777777" w:rsidR="00B32827" w:rsidRPr="000361F7" w:rsidRDefault="00B32827" w:rsidP="00115971">
            <w:pPr>
              <w:jc w:val="center"/>
              <w:rPr>
                <w:rFonts w:cs="Times New Roman"/>
              </w:rPr>
            </w:pPr>
            <w:r w:rsidRPr="000361F7">
              <w:rPr>
                <w:rFonts w:cs="Times New Roman"/>
                <w:sz w:val="18"/>
              </w:rPr>
              <w:t>[96.9%; 97.4%]</w:t>
            </w:r>
          </w:p>
        </w:tc>
        <w:tc>
          <w:tcPr>
            <w:tcW w:w="2124" w:type="dxa"/>
            <w:tcBorders>
              <w:bottom w:val="single" w:sz="4" w:space="0" w:color="auto"/>
            </w:tcBorders>
            <w:vAlign w:val="center"/>
          </w:tcPr>
          <w:p w14:paraId="77BDF919" w14:textId="77777777" w:rsidR="00B32827" w:rsidRDefault="00B32827" w:rsidP="00115971">
            <w:pPr>
              <w:jc w:val="center"/>
              <w:rPr>
                <w:rFonts w:cs="Times New Roman"/>
                <w:sz w:val="18"/>
              </w:rPr>
            </w:pPr>
            <w:r w:rsidRPr="000361F7">
              <w:rPr>
                <w:rFonts w:cs="Times New Roman"/>
                <w:sz w:val="18"/>
              </w:rPr>
              <w:t xml:space="preserve">706,278 </w:t>
            </w:r>
          </w:p>
          <w:p w14:paraId="4E0A3615" w14:textId="77777777" w:rsidR="00B32827" w:rsidRPr="000361F7" w:rsidRDefault="00B32827" w:rsidP="00115971">
            <w:pPr>
              <w:jc w:val="center"/>
              <w:rPr>
                <w:rFonts w:cs="Times New Roman"/>
              </w:rPr>
            </w:pPr>
            <w:r w:rsidRPr="000361F7">
              <w:rPr>
                <w:rFonts w:cs="Times New Roman"/>
                <w:sz w:val="18"/>
              </w:rPr>
              <w:t>[642,599; 772,531]</w:t>
            </w:r>
          </w:p>
        </w:tc>
        <w:tc>
          <w:tcPr>
            <w:tcW w:w="1668" w:type="dxa"/>
            <w:tcBorders>
              <w:bottom w:val="single" w:sz="4" w:space="0" w:color="auto"/>
            </w:tcBorders>
            <w:vAlign w:val="center"/>
          </w:tcPr>
          <w:p w14:paraId="78C9A329" w14:textId="77777777" w:rsidR="00B32827" w:rsidRDefault="00B32827" w:rsidP="00115971">
            <w:pPr>
              <w:jc w:val="center"/>
              <w:rPr>
                <w:rFonts w:cs="Times New Roman"/>
                <w:sz w:val="18"/>
              </w:rPr>
            </w:pPr>
            <w:r w:rsidRPr="000361F7">
              <w:rPr>
                <w:rFonts w:cs="Times New Roman"/>
                <w:sz w:val="18"/>
              </w:rPr>
              <w:t xml:space="preserve">98.5% </w:t>
            </w:r>
          </w:p>
          <w:p w14:paraId="6A854C6F" w14:textId="77777777" w:rsidR="00B32827" w:rsidRPr="000361F7" w:rsidRDefault="00B32827" w:rsidP="00115971">
            <w:pPr>
              <w:jc w:val="center"/>
              <w:rPr>
                <w:rFonts w:cs="Times New Roman"/>
              </w:rPr>
            </w:pPr>
            <w:r w:rsidRPr="000361F7">
              <w:rPr>
                <w:rFonts w:cs="Times New Roman"/>
                <w:sz w:val="18"/>
              </w:rPr>
              <w:t>[98.4%; 98.6%]</w:t>
            </w:r>
          </w:p>
        </w:tc>
      </w:tr>
      <w:tr w:rsidR="00791589" w:rsidRPr="00791589" w14:paraId="29C3060B" w14:textId="77777777" w:rsidTr="00914269">
        <w:trPr>
          <w:jc w:val="center"/>
        </w:trPr>
        <w:tc>
          <w:tcPr>
            <w:tcW w:w="9736" w:type="dxa"/>
            <w:gridSpan w:val="5"/>
            <w:tcBorders>
              <w:top w:val="single" w:sz="4" w:space="0" w:color="auto"/>
              <w:left w:val="nil"/>
              <w:bottom w:val="nil"/>
              <w:right w:val="nil"/>
            </w:tcBorders>
            <w:vAlign w:val="center"/>
          </w:tcPr>
          <w:p w14:paraId="2148C1D5" w14:textId="082DBA93" w:rsidR="00914269" w:rsidRPr="00791589" w:rsidRDefault="00914269" w:rsidP="00914269">
            <w:pPr>
              <w:rPr>
                <w:rFonts w:cs="Times New Roman"/>
                <w:iCs/>
                <w:color w:val="000000" w:themeColor="text1"/>
                <w:szCs w:val="20"/>
                <w:highlight w:val="yellow"/>
              </w:rPr>
            </w:pPr>
            <w:r w:rsidRPr="00791589">
              <w:rPr>
                <w:rFonts w:cs="Times New Roman"/>
                <w:iCs/>
                <w:color w:val="000000" w:themeColor="text1"/>
                <w:szCs w:val="20"/>
              </w:rPr>
              <w:t xml:space="preserve">Note: </w:t>
            </w:r>
            <w:r w:rsidR="00096A28" w:rsidRPr="00791589">
              <w:rPr>
                <w:rFonts w:cs="Times New Roman"/>
                <w:iCs/>
                <w:color w:val="000000" w:themeColor="text1"/>
                <w:szCs w:val="20"/>
              </w:rPr>
              <w:t>All cost and service metrics are calculated over the evaluation window only, spanning days 29 to T. The warm-up period, covering days 1 to 28, is excluded from all reported summaries.</w:t>
            </w:r>
          </w:p>
          <w:p w14:paraId="6E1EAC40" w14:textId="77777777" w:rsidR="00914269" w:rsidRPr="00791589" w:rsidRDefault="00914269" w:rsidP="00115971">
            <w:pPr>
              <w:jc w:val="center"/>
              <w:rPr>
                <w:rFonts w:cs="Times New Roman"/>
                <w:color w:val="000000" w:themeColor="text1"/>
                <w:sz w:val="18"/>
              </w:rPr>
            </w:pPr>
          </w:p>
        </w:tc>
      </w:tr>
    </w:tbl>
    <w:p w14:paraId="3C6D4821" w14:textId="354D1B4E" w:rsidR="007C4978" w:rsidRPr="00791589" w:rsidRDefault="00096A28" w:rsidP="005B3AE7">
      <w:pPr>
        <w:pStyle w:val="text-base"/>
        <w:spacing w:before="0" w:after="0"/>
        <w:jc w:val="both"/>
        <w:rPr>
          <w:color w:val="000000" w:themeColor="text1"/>
          <w:lang w:val="en-US"/>
        </w:rPr>
      </w:pPr>
      <w:r w:rsidRPr="00791589">
        <w:rPr>
          <w:color w:val="000000" w:themeColor="text1"/>
          <w:lang w:val="en-US"/>
        </w:rPr>
        <w:t xml:space="preserve">Under High Volatility (Table 4), Base-stock has the lowest mean cost at the 90-day horizon. Hybrid AI is about 5% more costly, and neither contrast, against Base-stock nor against Dynamic + Forecast, remains significant after Holm correction. At 180 days, the ranking changes. Hybrid AI has the lowest mean cost, </w:t>
      </w:r>
      <w:r w:rsidR="000D502C" w:rsidRPr="00791589">
        <w:rPr>
          <w:color w:val="000000" w:themeColor="text1"/>
          <w:lang w:val="en-US"/>
        </w:rPr>
        <w:t>roughly 0.7% below Base-stock, but the pairwise differences relative to Base-stock and Dynamic + Forecast remain in</w:t>
      </w:r>
      <w:r w:rsidRPr="00791589">
        <w:rPr>
          <w:color w:val="000000" w:themeColor="text1"/>
          <w:lang w:val="en-US"/>
        </w:rPr>
        <w:t>significant after Holm correction.</w:t>
      </w:r>
    </w:p>
    <w:p w14:paraId="442B5A65" w14:textId="77777777" w:rsidR="00B32827" w:rsidRPr="0073558D" w:rsidRDefault="00B32827" w:rsidP="00B32827">
      <w:pPr>
        <w:pStyle w:val="ng-star-inserted"/>
        <w:spacing w:before="0" w:after="0" w:afterAutospacing="0"/>
        <w:ind w:left="216" w:right="14"/>
        <w:jc w:val="center"/>
        <w:rPr>
          <w:b/>
          <w:bCs/>
          <w:lang w:val="en-US"/>
        </w:rPr>
      </w:pPr>
      <w:r w:rsidRPr="00184C45">
        <w:rPr>
          <w:b/>
          <w:bCs/>
          <w:sz w:val="20"/>
          <w:lang w:val="en-US"/>
        </w:rPr>
        <w:t>Table 4. Comparative performance metrics: High-volatility demand scenario (GA on; 90d and 180d).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2155"/>
        <w:gridCol w:w="1739"/>
        <w:gridCol w:w="2084"/>
        <w:gridCol w:w="1810"/>
      </w:tblGrid>
      <w:tr w:rsidR="00B32827" w14:paraId="7865BAC1" w14:textId="77777777" w:rsidTr="00C023AA">
        <w:trPr>
          <w:jc w:val="center"/>
        </w:trPr>
        <w:tc>
          <w:tcPr>
            <w:tcW w:w="1948" w:type="dxa"/>
            <w:vAlign w:val="center"/>
          </w:tcPr>
          <w:p w14:paraId="4E37A371" w14:textId="77777777" w:rsidR="00B32827" w:rsidRPr="000361F7" w:rsidRDefault="00B32827" w:rsidP="00115971">
            <w:pPr>
              <w:rPr>
                <w:rFonts w:cs="Times New Roman"/>
              </w:rPr>
            </w:pPr>
            <w:r w:rsidRPr="000361F7">
              <w:rPr>
                <w:rFonts w:cs="Times New Roman"/>
                <w:b/>
                <w:sz w:val="18"/>
              </w:rPr>
              <w:t>Policy</w:t>
            </w:r>
          </w:p>
        </w:tc>
        <w:tc>
          <w:tcPr>
            <w:tcW w:w="2155" w:type="dxa"/>
            <w:vAlign w:val="center"/>
          </w:tcPr>
          <w:p w14:paraId="4785FC38" w14:textId="77777777" w:rsidR="00B32827" w:rsidRPr="000361F7" w:rsidRDefault="00B32827" w:rsidP="00115971">
            <w:pPr>
              <w:jc w:val="center"/>
              <w:rPr>
                <w:rFonts w:cs="Times New Roman"/>
              </w:rPr>
            </w:pPr>
            <w:r w:rsidRPr="000361F7">
              <w:rPr>
                <w:rFonts w:cs="Times New Roman"/>
                <w:b/>
                <w:sz w:val="18"/>
              </w:rPr>
              <w:t>Total cost (90d), mean [95% CI]</w:t>
            </w:r>
          </w:p>
        </w:tc>
        <w:tc>
          <w:tcPr>
            <w:tcW w:w="1739" w:type="dxa"/>
            <w:vAlign w:val="center"/>
          </w:tcPr>
          <w:p w14:paraId="7A29C5D5" w14:textId="77777777" w:rsidR="00B32827" w:rsidRPr="000361F7" w:rsidRDefault="00B32827" w:rsidP="00115971">
            <w:pPr>
              <w:jc w:val="center"/>
              <w:rPr>
                <w:rFonts w:cs="Times New Roman"/>
              </w:rPr>
            </w:pPr>
            <w:r w:rsidRPr="000361F7">
              <w:rPr>
                <w:rFonts w:cs="Times New Roman"/>
                <w:b/>
                <w:sz w:val="18"/>
              </w:rPr>
              <w:t>Fill rate (90d), mean [95% CI]</w:t>
            </w:r>
          </w:p>
        </w:tc>
        <w:tc>
          <w:tcPr>
            <w:tcW w:w="2084" w:type="dxa"/>
            <w:vAlign w:val="center"/>
          </w:tcPr>
          <w:p w14:paraId="2F978640" w14:textId="77777777" w:rsidR="00B32827" w:rsidRPr="000361F7" w:rsidRDefault="00B32827" w:rsidP="00115971">
            <w:pPr>
              <w:jc w:val="center"/>
              <w:rPr>
                <w:rFonts w:cs="Times New Roman"/>
              </w:rPr>
            </w:pPr>
            <w:r w:rsidRPr="000361F7">
              <w:rPr>
                <w:rFonts w:cs="Times New Roman"/>
                <w:b/>
                <w:sz w:val="18"/>
              </w:rPr>
              <w:t>Total cost (180d), mean [95% CI]</w:t>
            </w:r>
          </w:p>
        </w:tc>
        <w:tc>
          <w:tcPr>
            <w:tcW w:w="1810" w:type="dxa"/>
            <w:vAlign w:val="center"/>
          </w:tcPr>
          <w:p w14:paraId="6306011E" w14:textId="77777777" w:rsidR="00B32827" w:rsidRPr="000361F7" w:rsidRDefault="00B32827" w:rsidP="00115971">
            <w:pPr>
              <w:jc w:val="center"/>
              <w:rPr>
                <w:rFonts w:cs="Times New Roman"/>
              </w:rPr>
            </w:pPr>
            <w:r w:rsidRPr="000361F7">
              <w:rPr>
                <w:rFonts w:cs="Times New Roman"/>
                <w:b/>
                <w:sz w:val="18"/>
              </w:rPr>
              <w:t>Fill rate (180d), mean [95% CI]</w:t>
            </w:r>
          </w:p>
        </w:tc>
      </w:tr>
      <w:tr w:rsidR="00B32827" w14:paraId="798ABAE4" w14:textId="77777777" w:rsidTr="00C023AA">
        <w:trPr>
          <w:jc w:val="center"/>
        </w:trPr>
        <w:tc>
          <w:tcPr>
            <w:tcW w:w="1948" w:type="dxa"/>
            <w:vAlign w:val="center"/>
          </w:tcPr>
          <w:p w14:paraId="71BA7CAA" w14:textId="77777777" w:rsidR="00B32827" w:rsidRPr="000361F7" w:rsidRDefault="00B32827" w:rsidP="00115971">
            <w:pPr>
              <w:rPr>
                <w:rFonts w:cs="Times New Roman"/>
              </w:rPr>
            </w:pPr>
            <w:r w:rsidRPr="000361F7">
              <w:rPr>
                <w:rFonts w:cs="Times New Roman"/>
                <w:sz w:val="18"/>
              </w:rPr>
              <w:lastRenderedPageBreak/>
              <w:t>Static</w:t>
            </w:r>
          </w:p>
        </w:tc>
        <w:tc>
          <w:tcPr>
            <w:tcW w:w="2155" w:type="dxa"/>
            <w:vAlign w:val="center"/>
          </w:tcPr>
          <w:p w14:paraId="1A4D7E05" w14:textId="77777777" w:rsidR="00B32827" w:rsidRDefault="00B32827" w:rsidP="00115971">
            <w:pPr>
              <w:jc w:val="center"/>
              <w:rPr>
                <w:rFonts w:cs="Times New Roman"/>
                <w:sz w:val="18"/>
              </w:rPr>
            </w:pPr>
            <w:r w:rsidRPr="000361F7">
              <w:rPr>
                <w:rFonts w:cs="Times New Roman"/>
                <w:sz w:val="18"/>
              </w:rPr>
              <w:t xml:space="preserve">10,346,572 </w:t>
            </w:r>
          </w:p>
          <w:p w14:paraId="29E84DD3" w14:textId="77777777" w:rsidR="00B32827" w:rsidRPr="000361F7" w:rsidRDefault="00B32827" w:rsidP="00115971">
            <w:pPr>
              <w:jc w:val="center"/>
              <w:rPr>
                <w:rFonts w:cs="Times New Roman"/>
              </w:rPr>
            </w:pPr>
            <w:r w:rsidRPr="000361F7">
              <w:rPr>
                <w:rFonts w:cs="Times New Roman"/>
                <w:sz w:val="18"/>
              </w:rPr>
              <w:t>[10,033,245; 10,672,573]</w:t>
            </w:r>
          </w:p>
        </w:tc>
        <w:tc>
          <w:tcPr>
            <w:tcW w:w="1739" w:type="dxa"/>
            <w:vAlign w:val="center"/>
          </w:tcPr>
          <w:p w14:paraId="4FFE607B" w14:textId="77777777" w:rsidR="00B32827" w:rsidRDefault="00B32827" w:rsidP="00115971">
            <w:pPr>
              <w:jc w:val="center"/>
              <w:rPr>
                <w:rFonts w:cs="Times New Roman"/>
                <w:sz w:val="18"/>
              </w:rPr>
            </w:pPr>
            <w:r w:rsidRPr="000361F7">
              <w:rPr>
                <w:rFonts w:cs="Times New Roman"/>
                <w:sz w:val="18"/>
              </w:rPr>
              <w:t xml:space="preserve">49.0% </w:t>
            </w:r>
          </w:p>
          <w:p w14:paraId="6CC83DCD" w14:textId="77777777" w:rsidR="00B32827" w:rsidRPr="000361F7" w:rsidRDefault="00B32827" w:rsidP="00115971">
            <w:pPr>
              <w:jc w:val="center"/>
              <w:rPr>
                <w:rFonts w:cs="Times New Roman"/>
              </w:rPr>
            </w:pPr>
            <w:r w:rsidRPr="000361F7">
              <w:rPr>
                <w:rFonts w:cs="Times New Roman"/>
                <w:sz w:val="18"/>
              </w:rPr>
              <w:t>[48.1%; 49.8%]</w:t>
            </w:r>
          </w:p>
        </w:tc>
        <w:tc>
          <w:tcPr>
            <w:tcW w:w="2084" w:type="dxa"/>
            <w:vAlign w:val="center"/>
          </w:tcPr>
          <w:p w14:paraId="58F7C99F" w14:textId="77777777" w:rsidR="00B32827" w:rsidRDefault="00B32827" w:rsidP="00115971">
            <w:pPr>
              <w:jc w:val="center"/>
              <w:rPr>
                <w:rFonts w:cs="Times New Roman"/>
                <w:sz w:val="18"/>
              </w:rPr>
            </w:pPr>
            <w:r w:rsidRPr="000361F7">
              <w:rPr>
                <w:rFonts w:cs="Times New Roman"/>
                <w:sz w:val="18"/>
              </w:rPr>
              <w:t xml:space="preserve">21,038,242 </w:t>
            </w:r>
          </w:p>
          <w:p w14:paraId="34FEC52F" w14:textId="77777777" w:rsidR="00B32827" w:rsidRPr="000361F7" w:rsidRDefault="00B32827" w:rsidP="00115971">
            <w:pPr>
              <w:jc w:val="center"/>
              <w:rPr>
                <w:rFonts w:cs="Times New Roman"/>
              </w:rPr>
            </w:pPr>
            <w:r w:rsidRPr="000361F7">
              <w:rPr>
                <w:rFonts w:cs="Times New Roman"/>
                <w:sz w:val="18"/>
              </w:rPr>
              <w:t>[20,584,973; 21,499,017]</w:t>
            </w:r>
          </w:p>
        </w:tc>
        <w:tc>
          <w:tcPr>
            <w:tcW w:w="1810" w:type="dxa"/>
            <w:vAlign w:val="center"/>
          </w:tcPr>
          <w:p w14:paraId="2CDF6F8C" w14:textId="77777777" w:rsidR="00B32827" w:rsidRDefault="00B32827" w:rsidP="00115971">
            <w:pPr>
              <w:jc w:val="center"/>
              <w:rPr>
                <w:rFonts w:cs="Times New Roman"/>
                <w:sz w:val="18"/>
              </w:rPr>
            </w:pPr>
            <w:r w:rsidRPr="000361F7">
              <w:rPr>
                <w:rFonts w:cs="Times New Roman"/>
                <w:sz w:val="18"/>
              </w:rPr>
              <w:t xml:space="preserve">48.9% </w:t>
            </w:r>
          </w:p>
          <w:p w14:paraId="12C70EAD" w14:textId="77777777" w:rsidR="00B32827" w:rsidRPr="000361F7" w:rsidRDefault="00B32827" w:rsidP="00115971">
            <w:pPr>
              <w:jc w:val="center"/>
              <w:rPr>
                <w:rFonts w:cs="Times New Roman"/>
              </w:rPr>
            </w:pPr>
            <w:r w:rsidRPr="000361F7">
              <w:rPr>
                <w:rFonts w:cs="Times New Roman"/>
                <w:sz w:val="18"/>
              </w:rPr>
              <w:t>[48.4%; 49.3%]</w:t>
            </w:r>
          </w:p>
        </w:tc>
      </w:tr>
      <w:tr w:rsidR="00B32827" w14:paraId="4406CAD5" w14:textId="77777777" w:rsidTr="00C023AA">
        <w:trPr>
          <w:jc w:val="center"/>
        </w:trPr>
        <w:tc>
          <w:tcPr>
            <w:tcW w:w="1948" w:type="dxa"/>
            <w:vAlign w:val="center"/>
          </w:tcPr>
          <w:p w14:paraId="5A30B7EF" w14:textId="77777777" w:rsidR="00B32827" w:rsidRPr="000361F7" w:rsidRDefault="00B32827" w:rsidP="00115971">
            <w:pPr>
              <w:rPr>
                <w:rFonts w:cs="Times New Roman"/>
              </w:rPr>
            </w:pPr>
            <w:r w:rsidRPr="000361F7">
              <w:rPr>
                <w:rFonts w:cs="Times New Roman"/>
                <w:sz w:val="18"/>
              </w:rPr>
              <w:t>Dynamic</w:t>
            </w:r>
          </w:p>
        </w:tc>
        <w:tc>
          <w:tcPr>
            <w:tcW w:w="2155" w:type="dxa"/>
            <w:vAlign w:val="center"/>
          </w:tcPr>
          <w:p w14:paraId="1A0D3673" w14:textId="77777777" w:rsidR="00B32827" w:rsidRDefault="00B32827" w:rsidP="00115971">
            <w:pPr>
              <w:jc w:val="center"/>
              <w:rPr>
                <w:rFonts w:cs="Times New Roman"/>
                <w:sz w:val="18"/>
              </w:rPr>
            </w:pPr>
            <w:r w:rsidRPr="000361F7">
              <w:rPr>
                <w:rFonts w:cs="Times New Roman"/>
                <w:sz w:val="18"/>
              </w:rPr>
              <w:t xml:space="preserve">6,516,111 </w:t>
            </w:r>
          </w:p>
          <w:p w14:paraId="07EE9F77" w14:textId="77777777" w:rsidR="00B32827" w:rsidRPr="000361F7" w:rsidRDefault="00B32827" w:rsidP="00115971">
            <w:pPr>
              <w:jc w:val="center"/>
              <w:rPr>
                <w:rFonts w:cs="Times New Roman"/>
              </w:rPr>
            </w:pPr>
            <w:r w:rsidRPr="000361F7">
              <w:rPr>
                <w:rFonts w:cs="Times New Roman"/>
                <w:sz w:val="18"/>
              </w:rPr>
              <w:t>[6,272,927; 6,774,782]</w:t>
            </w:r>
          </w:p>
        </w:tc>
        <w:tc>
          <w:tcPr>
            <w:tcW w:w="1739" w:type="dxa"/>
            <w:vAlign w:val="center"/>
          </w:tcPr>
          <w:p w14:paraId="686848DB" w14:textId="77777777" w:rsidR="00B32827" w:rsidRDefault="00B32827" w:rsidP="00115971">
            <w:pPr>
              <w:jc w:val="center"/>
              <w:rPr>
                <w:rFonts w:cs="Times New Roman"/>
                <w:sz w:val="18"/>
              </w:rPr>
            </w:pPr>
            <w:r w:rsidRPr="000361F7">
              <w:rPr>
                <w:rFonts w:cs="Times New Roman"/>
                <w:sz w:val="18"/>
              </w:rPr>
              <w:t xml:space="preserve">68.5% </w:t>
            </w:r>
          </w:p>
          <w:p w14:paraId="03BFF558" w14:textId="77777777" w:rsidR="00B32827" w:rsidRPr="000361F7" w:rsidRDefault="00B32827" w:rsidP="00115971">
            <w:pPr>
              <w:jc w:val="center"/>
              <w:rPr>
                <w:rFonts w:cs="Times New Roman"/>
              </w:rPr>
            </w:pPr>
            <w:r w:rsidRPr="000361F7">
              <w:rPr>
                <w:rFonts w:cs="Times New Roman"/>
                <w:sz w:val="18"/>
              </w:rPr>
              <w:t>[68.1%; 68.9%]</w:t>
            </w:r>
          </w:p>
        </w:tc>
        <w:tc>
          <w:tcPr>
            <w:tcW w:w="2084" w:type="dxa"/>
            <w:vAlign w:val="center"/>
          </w:tcPr>
          <w:p w14:paraId="7633E724" w14:textId="77777777" w:rsidR="00B32827" w:rsidRDefault="00B32827" w:rsidP="00115971">
            <w:pPr>
              <w:jc w:val="center"/>
              <w:rPr>
                <w:rFonts w:cs="Times New Roman"/>
                <w:sz w:val="18"/>
              </w:rPr>
            </w:pPr>
            <w:r w:rsidRPr="000361F7">
              <w:rPr>
                <w:rFonts w:cs="Times New Roman"/>
                <w:sz w:val="18"/>
              </w:rPr>
              <w:t xml:space="preserve">12,634,834 </w:t>
            </w:r>
          </w:p>
          <w:p w14:paraId="4037366E" w14:textId="77777777" w:rsidR="00B32827" w:rsidRPr="000361F7" w:rsidRDefault="00B32827" w:rsidP="00115971">
            <w:pPr>
              <w:jc w:val="center"/>
              <w:rPr>
                <w:rFonts w:cs="Times New Roman"/>
              </w:rPr>
            </w:pPr>
            <w:r w:rsidRPr="000361F7">
              <w:rPr>
                <w:rFonts w:cs="Times New Roman"/>
                <w:sz w:val="18"/>
              </w:rPr>
              <w:t>[12,309,847; 12,996,835]</w:t>
            </w:r>
          </w:p>
        </w:tc>
        <w:tc>
          <w:tcPr>
            <w:tcW w:w="1810" w:type="dxa"/>
            <w:vAlign w:val="center"/>
          </w:tcPr>
          <w:p w14:paraId="212FF899" w14:textId="77777777" w:rsidR="00B32827" w:rsidRDefault="00B32827" w:rsidP="00115971">
            <w:pPr>
              <w:jc w:val="center"/>
              <w:rPr>
                <w:rFonts w:cs="Times New Roman"/>
                <w:sz w:val="18"/>
              </w:rPr>
            </w:pPr>
            <w:r w:rsidRPr="000361F7">
              <w:rPr>
                <w:rFonts w:cs="Times New Roman"/>
                <w:sz w:val="18"/>
              </w:rPr>
              <w:t xml:space="preserve">69.8% </w:t>
            </w:r>
          </w:p>
          <w:p w14:paraId="4860C8DE" w14:textId="77777777" w:rsidR="00B32827" w:rsidRPr="000361F7" w:rsidRDefault="00B32827" w:rsidP="00115971">
            <w:pPr>
              <w:jc w:val="center"/>
              <w:rPr>
                <w:rFonts w:cs="Times New Roman"/>
              </w:rPr>
            </w:pPr>
            <w:r w:rsidRPr="000361F7">
              <w:rPr>
                <w:rFonts w:cs="Times New Roman"/>
                <w:sz w:val="18"/>
              </w:rPr>
              <w:t>[69.4%; 70.1%]</w:t>
            </w:r>
          </w:p>
        </w:tc>
      </w:tr>
      <w:tr w:rsidR="00B32827" w14:paraId="253A593F" w14:textId="77777777" w:rsidTr="00C023AA">
        <w:trPr>
          <w:jc w:val="center"/>
        </w:trPr>
        <w:tc>
          <w:tcPr>
            <w:tcW w:w="1948" w:type="dxa"/>
            <w:vAlign w:val="center"/>
          </w:tcPr>
          <w:p w14:paraId="53A03395" w14:textId="77777777" w:rsidR="00B32827" w:rsidRPr="000361F7" w:rsidRDefault="00B32827" w:rsidP="00115971">
            <w:pPr>
              <w:rPr>
                <w:rFonts w:cs="Times New Roman"/>
              </w:rPr>
            </w:pPr>
            <w:r w:rsidRPr="000361F7">
              <w:rPr>
                <w:rFonts w:cs="Times New Roman"/>
                <w:sz w:val="18"/>
              </w:rPr>
              <w:t>Dynamic + Forecast</w:t>
            </w:r>
          </w:p>
        </w:tc>
        <w:tc>
          <w:tcPr>
            <w:tcW w:w="2155" w:type="dxa"/>
            <w:vAlign w:val="center"/>
          </w:tcPr>
          <w:p w14:paraId="43E7ABAD" w14:textId="77777777" w:rsidR="00B32827" w:rsidRDefault="00B32827" w:rsidP="00115971">
            <w:pPr>
              <w:jc w:val="center"/>
              <w:rPr>
                <w:rFonts w:cs="Times New Roman"/>
                <w:sz w:val="18"/>
              </w:rPr>
            </w:pPr>
            <w:r w:rsidRPr="000361F7">
              <w:rPr>
                <w:rFonts w:cs="Times New Roman"/>
                <w:sz w:val="18"/>
              </w:rPr>
              <w:t xml:space="preserve">1,003,714 </w:t>
            </w:r>
          </w:p>
          <w:p w14:paraId="29B1EFCE" w14:textId="77777777" w:rsidR="00B32827" w:rsidRPr="000361F7" w:rsidRDefault="00B32827" w:rsidP="00115971">
            <w:pPr>
              <w:jc w:val="center"/>
              <w:rPr>
                <w:rFonts w:cs="Times New Roman"/>
              </w:rPr>
            </w:pPr>
            <w:r w:rsidRPr="000361F7">
              <w:rPr>
                <w:rFonts w:cs="Times New Roman"/>
                <w:sz w:val="18"/>
              </w:rPr>
              <w:t>[907,356; 1,101,321]</w:t>
            </w:r>
          </w:p>
        </w:tc>
        <w:tc>
          <w:tcPr>
            <w:tcW w:w="1739" w:type="dxa"/>
            <w:vAlign w:val="center"/>
          </w:tcPr>
          <w:p w14:paraId="2A497127" w14:textId="77777777" w:rsidR="00B32827" w:rsidRDefault="00B32827" w:rsidP="00115971">
            <w:pPr>
              <w:jc w:val="center"/>
              <w:rPr>
                <w:rFonts w:cs="Times New Roman"/>
                <w:sz w:val="18"/>
              </w:rPr>
            </w:pPr>
            <w:r w:rsidRPr="000361F7">
              <w:rPr>
                <w:rFonts w:cs="Times New Roman"/>
                <w:sz w:val="18"/>
              </w:rPr>
              <w:t xml:space="preserve">95.5% </w:t>
            </w:r>
          </w:p>
          <w:p w14:paraId="5E86AB4D" w14:textId="77777777" w:rsidR="00B32827" w:rsidRPr="000361F7" w:rsidRDefault="00B32827" w:rsidP="00115971">
            <w:pPr>
              <w:jc w:val="center"/>
              <w:rPr>
                <w:rFonts w:cs="Times New Roman"/>
              </w:rPr>
            </w:pPr>
            <w:r w:rsidRPr="000361F7">
              <w:rPr>
                <w:rFonts w:cs="Times New Roman"/>
                <w:sz w:val="18"/>
              </w:rPr>
              <w:t>[95.1%; 95.8%]</w:t>
            </w:r>
          </w:p>
        </w:tc>
        <w:tc>
          <w:tcPr>
            <w:tcW w:w="2084" w:type="dxa"/>
            <w:vAlign w:val="center"/>
          </w:tcPr>
          <w:p w14:paraId="6F668369" w14:textId="77777777" w:rsidR="00B32827" w:rsidRDefault="00B32827" w:rsidP="00115971">
            <w:pPr>
              <w:jc w:val="center"/>
              <w:rPr>
                <w:rFonts w:cs="Times New Roman"/>
                <w:sz w:val="18"/>
              </w:rPr>
            </w:pPr>
            <w:r w:rsidRPr="000361F7">
              <w:rPr>
                <w:rFonts w:cs="Times New Roman"/>
                <w:sz w:val="18"/>
              </w:rPr>
              <w:t xml:space="preserve">1,190,446 </w:t>
            </w:r>
          </w:p>
          <w:p w14:paraId="4ACC3633" w14:textId="77777777" w:rsidR="00B32827" w:rsidRPr="000361F7" w:rsidRDefault="00B32827" w:rsidP="00115971">
            <w:pPr>
              <w:jc w:val="center"/>
              <w:rPr>
                <w:rFonts w:cs="Times New Roman"/>
              </w:rPr>
            </w:pPr>
            <w:r w:rsidRPr="000361F7">
              <w:rPr>
                <w:rFonts w:cs="Times New Roman"/>
                <w:sz w:val="18"/>
              </w:rPr>
              <w:t>[1,056,514; 1,332,388]</w:t>
            </w:r>
          </w:p>
        </w:tc>
        <w:tc>
          <w:tcPr>
            <w:tcW w:w="1810" w:type="dxa"/>
            <w:vAlign w:val="center"/>
          </w:tcPr>
          <w:p w14:paraId="17482177" w14:textId="77777777" w:rsidR="00B32827" w:rsidRDefault="00B32827" w:rsidP="00115971">
            <w:pPr>
              <w:jc w:val="center"/>
              <w:rPr>
                <w:rFonts w:cs="Times New Roman"/>
                <w:sz w:val="18"/>
              </w:rPr>
            </w:pPr>
            <w:r w:rsidRPr="000361F7">
              <w:rPr>
                <w:rFonts w:cs="Times New Roman"/>
                <w:sz w:val="18"/>
              </w:rPr>
              <w:t xml:space="preserve">97.5% </w:t>
            </w:r>
          </w:p>
          <w:p w14:paraId="45388B07" w14:textId="77777777" w:rsidR="00B32827" w:rsidRPr="000361F7" w:rsidRDefault="00B32827" w:rsidP="00115971">
            <w:pPr>
              <w:jc w:val="center"/>
              <w:rPr>
                <w:rFonts w:cs="Times New Roman"/>
              </w:rPr>
            </w:pPr>
            <w:r w:rsidRPr="000361F7">
              <w:rPr>
                <w:rFonts w:cs="Times New Roman"/>
                <w:sz w:val="18"/>
              </w:rPr>
              <w:t>[97.3%; 97.7%]</w:t>
            </w:r>
          </w:p>
        </w:tc>
      </w:tr>
      <w:tr w:rsidR="00B32827" w14:paraId="77AE1358" w14:textId="77777777" w:rsidTr="00C023AA">
        <w:trPr>
          <w:jc w:val="center"/>
        </w:trPr>
        <w:tc>
          <w:tcPr>
            <w:tcW w:w="1948" w:type="dxa"/>
            <w:tcBorders>
              <w:bottom w:val="single" w:sz="4" w:space="0" w:color="auto"/>
            </w:tcBorders>
            <w:vAlign w:val="center"/>
          </w:tcPr>
          <w:p w14:paraId="4A7E8739" w14:textId="77777777" w:rsidR="00B32827" w:rsidRPr="000361F7" w:rsidRDefault="00B32827" w:rsidP="00115971">
            <w:pPr>
              <w:rPr>
                <w:rFonts w:cs="Times New Roman"/>
              </w:rPr>
            </w:pPr>
            <w:r w:rsidRPr="000361F7">
              <w:rPr>
                <w:rFonts w:cs="Times New Roman"/>
                <w:sz w:val="18"/>
              </w:rPr>
              <w:t>Base-stock (Uncertain)</w:t>
            </w:r>
          </w:p>
        </w:tc>
        <w:tc>
          <w:tcPr>
            <w:tcW w:w="2155" w:type="dxa"/>
            <w:tcBorders>
              <w:bottom w:val="single" w:sz="4" w:space="0" w:color="auto"/>
            </w:tcBorders>
            <w:vAlign w:val="center"/>
          </w:tcPr>
          <w:p w14:paraId="73167E87" w14:textId="77777777" w:rsidR="00B32827" w:rsidRDefault="00B32827" w:rsidP="00115971">
            <w:pPr>
              <w:jc w:val="center"/>
              <w:rPr>
                <w:rFonts w:cs="Times New Roman"/>
                <w:sz w:val="18"/>
              </w:rPr>
            </w:pPr>
            <w:r w:rsidRPr="000361F7">
              <w:rPr>
                <w:rFonts w:cs="Times New Roman"/>
                <w:sz w:val="18"/>
              </w:rPr>
              <w:t xml:space="preserve">995,125 </w:t>
            </w:r>
          </w:p>
          <w:p w14:paraId="410105AB" w14:textId="77777777" w:rsidR="00B32827" w:rsidRPr="000361F7" w:rsidRDefault="00B32827" w:rsidP="00115971">
            <w:pPr>
              <w:jc w:val="center"/>
              <w:rPr>
                <w:rFonts w:cs="Times New Roman"/>
              </w:rPr>
            </w:pPr>
            <w:r w:rsidRPr="000361F7">
              <w:rPr>
                <w:rFonts w:cs="Times New Roman"/>
                <w:sz w:val="18"/>
              </w:rPr>
              <w:t>[895,660; 1,104,238]</w:t>
            </w:r>
          </w:p>
        </w:tc>
        <w:tc>
          <w:tcPr>
            <w:tcW w:w="1739" w:type="dxa"/>
            <w:tcBorders>
              <w:bottom w:val="single" w:sz="4" w:space="0" w:color="auto"/>
            </w:tcBorders>
            <w:vAlign w:val="center"/>
          </w:tcPr>
          <w:p w14:paraId="5F433814" w14:textId="77777777" w:rsidR="00B32827" w:rsidRDefault="00B32827" w:rsidP="00115971">
            <w:pPr>
              <w:jc w:val="center"/>
              <w:rPr>
                <w:rFonts w:cs="Times New Roman"/>
                <w:sz w:val="18"/>
              </w:rPr>
            </w:pPr>
            <w:r w:rsidRPr="000361F7">
              <w:rPr>
                <w:rFonts w:cs="Times New Roman"/>
                <w:sz w:val="18"/>
              </w:rPr>
              <w:t xml:space="preserve">95.5% </w:t>
            </w:r>
          </w:p>
          <w:p w14:paraId="30CB31A1" w14:textId="77777777" w:rsidR="00B32827" w:rsidRPr="000361F7" w:rsidRDefault="00B32827" w:rsidP="00115971">
            <w:pPr>
              <w:jc w:val="center"/>
              <w:rPr>
                <w:rFonts w:cs="Times New Roman"/>
              </w:rPr>
            </w:pPr>
            <w:r w:rsidRPr="000361F7">
              <w:rPr>
                <w:rFonts w:cs="Times New Roman"/>
                <w:sz w:val="18"/>
              </w:rPr>
              <w:t>[95.2%; 95.9%]</w:t>
            </w:r>
          </w:p>
        </w:tc>
        <w:tc>
          <w:tcPr>
            <w:tcW w:w="2084" w:type="dxa"/>
            <w:tcBorders>
              <w:bottom w:val="single" w:sz="4" w:space="0" w:color="auto"/>
            </w:tcBorders>
            <w:vAlign w:val="center"/>
          </w:tcPr>
          <w:p w14:paraId="7E3BC992" w14:textId="77777777" w:rsidR="00B32827" w:rsidRDefault="00B32827" w:rsidP="00115971">
            <w:pPr>
              <w:jc w:val="center"/>
              <w:rPr>
                <w:rFonts w:cs="Times New Roman"/>
                <w:sz w:val="18"/>
              </w:rPr>
            </w:pPr>
            <w:r w:rsidRPr="000361F7">
              <w:rPr>
                <w:rFonts w:cs="Times New Roman"/>
                <w:sz w:val="18"/>
              </w:rPr>
              <w:t xml:space="preserve">1,118,782 </w:t>
            </w:r>
          </w:p>
          <w:p w14:paraId="56B0EF4E" w14:textId="77777777" w:rsidR="00B32827" w:rsidRPr="000361F7" w:rsidRDefault="00B32827" w:rsidP="00115971">
            <w:pPr>
              <w:jc w:val="center"/>
              <w:rPr>
                <w:rFonts w:cs="Times New Roman"/>
              </w:rPr>
            </w:pPr>
            <w:r w:rsidRPr="000361F7">
              <w:rPr>
                <w:rFonts w:cs="Times New Roman"/>
                <w:sz w:val="18"/>
              </w:rPr>
              <w:t>[1,001,882; 1,250,873]</w:t>
            </w:r>
          </w:p>
        </w:tc>
        <w:tc>
          <w:tcPr>
            <w:tcW w:w="1810" w:type="dxa"/>
            <w:tcBorders>
              <w:bottom w:val="single" w:sz="4" w:space="0" w:color="auto"/>
            </w:tcBorders>
            <w:vAlign w:val="center"/>
          </w:tcPr>
          <w:p w14:paraId="5CD97A8C" w14:textId="77777777" w:rsidR="00B32827" w:rsidRDefault="00B32827" w:rsidP="00115971">
            <w:pPr>
              <w:jc w:val="center"/>
              <w:rPr>
                <w:rFonts w:cs="Times New Roman"/>
                <w:sz w:val="18"/>
              </w:rPr>
            </w:pPr>
            <w:r w:rsidRPr="000361F7">
              <w:rPr>
                <w:rFonts w:cs="Times New Roman"/>
                <w:sz w:val="18"/>
              </w:rPr>
              <w:t xml:space="preserve">97.7% </w:t>
            </w:r>
          </w:p>
          <w:p w14:paraId="1E3F2653" w14:textId="77777777" w:rsidR="00B32827" w:rsidRPr="000361F7" w:rsidRDefault="00B32827" w:rsidP="00115971">
            <w:pPr>
              <w:jc w:val="center"/>
              <w:rPr>
                <w:rFonts w:cs="Times New Roman"/>
              </w:rPr>
            </w:pPr>
            <w:r w:rsidRPr="000361F7">
              <w:rPr>
                <w:rFonts w:cs="Times New Roman"/>
                <w:sz w:val="18"/>
              </w:rPr>
              <w:t>[97.4%; 97.9%]</w:t>
            </w:r>
          </w:p>
        </w:tc>
      </w:tr>
      <w:tr w:rsidR="00B32827" w14:paraId="4C58FA95" w14:textId="77777777" w:rsidTr="00C023AA">
        <w:trPr>
          <w:jc w:val="center"/>
        </w:trPr>
        <w:tc>
          <w:tcPr>
            <w:tcW w:w="1948" w:type="dxa"/>
            <w:tcBorders>
              <w:bottom w:val="single" w:sz="4" w:space="0" w:color="auto"/>
            </w:tcBorders>
            <w:vAlign w:val="center"/>
          </w:tcPr>
          <w:p w14:paraId="6C2904F6" w14:textId="77777777" w:rsidR="00B32827" w:rsidRPr="000361F7" w:rsidRDefault="00B32827" w:rsidP="00115971">
            <w:pPr>
              <w:rPr>
                <w:rFonts w:cs="Times New Roman"/>
              </w:rPr>
            </w:pPr>
            <w:r w:rsidRPr="000361F7">
              <w:rPr>
                <w:rFonts w:cs="Times New Roman"/>
                <w:sz w:val="18"/>
              </w:rPr>
              <w:t>Hybrid AI</w:t>
            </w:r>
          </w:p>
        </w:tc>
        <w:tc>
          <w:tcPr>
            <w:tcW w:w="2155" w:type="dxa"/>
            <w:tcBorders>
              <w:bottom w:val="single" w:sz="4" w:space="0" w:color="auto"/>
            </w:tcBorders>
            <w:vAlign w:val="center"/>
          </w:tcPr>
          <w:p w14:paraId="7CB04414" w14:textId="77777777" w:rsidR="00B32827" w:rsidRDefault="00B32827" w:rsidP="00115971">
            <w:pPr>
              <w:jc w:val="center"/>
              <w:rPr>
                <w:rFonts w:cs="Times New Roman"/>
                <w:sz w:val="18"/>
              </w:rPr>
            </w:pPr>
            <w:r w:rsidRPr="000361F7">
              <w:rPr>
                <w:rFonts w:cs="Times New Roman"/>
                <w:sz w:val="18"/>
              </w:rPr>
              <w:t xml:space="preserve">1,045,249 </w:t>
            </w:r>
          </w:p>
          <w:p w14:paraId="1130B711" w14:textId="77777777" w:rsidR="00B32827" w:rsidRPr="000361F7" w:rsidRDefault="00B32827" w:rsidP="00115971">
            <w:pPr>
              <w:jc w:val="center"/>
              <w:rPr>
                <w:rFonts w:cs="Times New Roman"/>
              </w:rPr>
            </w:pPr>
            <w:r w:rsidRPr="000361F7">
              <w:rPr>
                <w:rFonts w:cs="Times New Roman"/>
                <w:sz w:val="18"/>
              </w:rPr>
              <w:t>[948,960; 1,150,847]</w:t>
            </w:r>
          </w:p>
        </w:tc>
        <w:tc>
          <w:tcPr>
            <w:tcW w:w="1739" w:type="dxa"/>
            <w:tcBorders>
              <w:bottom w:val="single" w:sz="4" w:space="0" w:color="auto"/>
            </w:tcBorders>
            <w:vAlign w:val="center"/>
          </w:tcPr>
          <w:p w14:paraId="14EBCE23" w14:textId="77777777" w:rsidR="00B32827" w:rsidRDefault="00B32827" w:rsidP="00115971">
            <w:pPr>
              <w:jc w:val="center"/>
              <w:rPr>
                <w:rFonts w:cs="Times New Roman"/>
                <w:sz w:val="18"/>
              </w:rPr>
            </w:pPr>
            <w:r w:rsidRPr="000361F7">
              <w:rPr>
                <w:rFonts w:cs="Times New Roman"/>
                <w:sz w:val="18"/>
              </w:rPr>
              <w:t xml:space="preserve">95.3% </w:t>
            </w:r>
          </w:p>
          <w:p w14:paraId="354FC8B7" w14:textId="77777777" w:rsidR="00B32827" w:rsidRPr="000361F7" w:rsidRDefault="00B32827" w:rsidP="00115971">
            <w:pPr>
              <w:jc w:val="center"/>
              <w:rPr>
                <w:rFonts w:cs="Times New Roman"/>
              </w:rPr>
            </w:pPr>
            <w:r w:rsidRPr="000361F7">
              <w:rPr>
                <w:rFonts w:cs="Times New Roman"/>
                <w:sz w:val="18"/>
              </w:rPr>
              <w:t>[95.0%; 95.6%]</w:t>
            </w:r>
          </w:p>
        </w:tc>
        <w:tc>
          <w:tcPr>
            <w:tcW w:w="2084" w:type="dxa"/>
            <w:tcBorders>
              <w:bottom w:val="single" w:sz="4" w:space="0" w:color="auto"/>
            </w:tcBorders>
            <w:vAlign w:val="center"/>
          </w:tcPr>
          <w:p w14:paraId="50D3F091" w14:textId="77777777" w:rsidR="00B32827" w:rsidRDefault="00B32827" w:rsidP="00115971">
            <w:pPr>
              <w:jc w:val="center"/>
              <w:rPr>
                <w:rFonts w:cs="Times New Roman"/>
                <w:sz w:val="18"/>
              </w:rPr>
            </w:pPr>
            <w:r w:rsidRPr="000361F7">
              <w:rPr>
                <w:rFonts w:cs="Times New Roman"/>
                <w:sz w:val="18"/>
              </w:rPr>
              <w:t xml:space="preserve">1,110,667 </w:t>
            </w:r>
          </w:p>
          <w:p w14:paraId="6DC0CD94" w14:textId="77777777" w:rsidR="00B32827" w:rsidRPr="000361F7" w:rsidRDefault="00B32827" w:rsidP="00115971">
            <w:pPr>
              <w:jc w:val="center"/>
              <w:rPr>
                <w:rFonts w:cs="Times New Roman"/>
              </w:rPr>
            </w:pPr>
            <w:r w:rsidRPr="000361F7">
              <w:rPr>
                <w:rFonts w:cs="Times New Roman"/>
                <w:sz w:val="18"/>
              </w:rPr>
              <w:t>[995,162; 1,233,528]</w:t>
            </w:r>
          </w:p>
        </w:tc>
        <w:tc>
          <w:tcPr>
            <w:tcW w:w="1810" w:type="dxa"/>
            <w:tcBorders>
              <w:bottom w:val="single" w:sz="4" w:space="0" w:color="auto"/>
            </w:tcBorders>
            <w:vAlign w:val="center"/>
          </w:tcPr>
          <w:p w14:paraId="189B9DFB" w14:textId="77777777" w:rsidR="00B32827" w:rsidRDefault="00B32827" w:rsidP="00115971">
            <w:pPr>
              <w:jc w:val="center"/>
              <w:rPr>
                <w:rFonts w:cs="Times New Roman"/>
                <w:sz w:val="18"/>
              </w:rPr>
            </w:pPr>
            <w:r w:rsidRPr="000361F7">
              <w:rPr>
                <w:rFonts w:cs="Times New Roman"/>
                <w:sz w:val="18"/>
              </w:rPr>
              <w:t xml:space="preserve">97.7% </w:t>
            </w:r>
          </w:p>
          <w:p w14:paraId="2508595D" w14:textId="77777777" w:rsidR="00B32827" w:rsidRPr="000361F7" w:rsidRDefault="00B32827" w:rsidP="00115971">
            <w:pPr>
              <w:jc w:val="center"/>
              <w:rPr>
                <w:rFonts w:cs="Times New Roman"/>
              </w:rPr>
            </w:pPr>
            <w:r w:rsidRPr="000361F7">
              <w:rPr>
                <w:rFonts w:cs="Times New Roman"/>
                <w:sz w:val="18"/>
              </w:rPr>
              <w:t>[97.5%; 97.9%]</w:t>
            </w:r>
          </w:p>
        </w:tc>
      </w:tr>
      <w:tr w:rsidR="00C023AA" w14:paraId="29C2D5F0" w14:textId="77777777" w:rsidTr="00C023AA">
        <w:trPr>
          <w:jc w:val="center"/>
        </w:trPr>
        <w:tc>
          <w:tcPr>
            <w:tcW w:w="9736" w:type="dxa"/>
            <w:gridSpan w:val="5"/>
            <w:tcBorders>
              <w:top w:val="single" w:sz="4" w:space="0" w:color="auto"/>
              <w:left w:val="nil"/>
              <w:bottom w:val="nil"/>
              <w:right w:val="nil"/>
            </w:tcBorders>
            <w:vAlign w:val="center"/>
          </w:tcPr>
          <w:p w14:paraId="0E63E7DE" w14:textId="009A48D0" w:rsidR="00C023AA" w:rsidRPr="000361F7" w:rsidRDefault="00C023AA" w:rsidP="00C023AA">
            <w:pPr>
              <w:rPr>
                <w:rFonts w:cs="Times New Roman"/>
                <w:sz w:val="18"/>
              </w:rPr>
            </w:pPr>
            <w:r w:rsidRPr="00C023AA">
              <w:rPr>
                <w:rFonts w:cs="Times New Roman"/>
                <w:sz w:val="18"/>
              </w:rPr>
              <w:t>Note: Costs and service metrics are computed over the evaluation window only (days 29 through T). Warm-up days 1–28 are excluded from all reported summaries.</w:t>
            </w:r>
          </w:p>
        </w:tc>
      </w:tr>
    </w:tbl>
    <w:p w14:paraId="3A86DF65" w14:textId="76540650" w:rsidR="00C023AA" w:rsidRPr="002B56EF" w:rsidRDefault="002B56EF" w:rsidP="00076B08">
      <w:pPr>
        <w:pStyle w:val="text-base"/>
        <w:spacing w:before="0" w:after="0"/>
        <w:jc w:val="both"/>
        <w:rPr>
          <w:color w:val="FFC000"/>
          <w:highlight w:val="yellow"/>
          <w:lang w:val="en-US"/>
        </w:rPr>
      </w:pPr>
      <w:r w:rsidRPr="002B56EF">
        <w:rPr>
          <w:color w:val="FFC000"/>
          <w:lang w:val="en-US"/>
        </w:rPr>
        <w:t xml:space="preserve">Under Supply Disruption (Table 5), Dynamic is the </w:t>
      </w:r>
      <w:proofErr w:type="gramStart"/>
      <w:r w:rsidRPr="002B56EF">
        <w:rPr>
          <w:color w:val="FFC000"/>
          <w:lang w:val="en-US"/>
        </w:rPr>
        <w:t>lowest-cost</w:t>
      </w:r>
      <w:proofErr w:type="gramEnd"/>
      <w:r w:rsidRPr="002B56EF">
        <w:rPr>
          <w:color w:val="FFC000"/>
          <w:lang w:val="en-US"/>
        </w:rPr>
        <w:t xml:space="preserve"> policy </w:t>
      </w:r>
      <w:proofErr w:type="gramStart"/>
      <w:r w:rsidRPr="002B56EF">
        <w:rPr>
          <w:color w:val="FFC000"/>
          <w:lang w:val="en-US"/>
        </w:rPr>
        <w:t>at</w:t>
      </w:r>
      <w:proofErr w:type="gramEnd"/>
      <w:r w:rsidRPr="002B56EF">
        <w:rPr>
          <w:color w:val="FFC000"/>
          <w:lang w:val="en-US"/>
        </w:rPr>
        <w:t xml:space="preserve"> both horizons. Hybrid AI shows the opposite pattern. Ordering and routing costs fall to near zero, mean fill drops to 1.7% at 90 days and 0.9% at 180 days, and total cost rises by about 85% at 90 days and 94% at 180 days relative to the strongest baseline; both contrasts remain significant after Holm correction (p &lt; 0.001 Because fill is bounded between 0 and 1, these means imply that at least 98% of replications at 90 days and 99% at 180 days fall below a 0.90 service floor (Table 7). The multi</w:t>
      </w:r>
      <w:proofErr w:type="gramStart"/>
      <w:r w:rsidRPr="002B56EF">
        <w:rPr>
          <w:color w:val="FFC000"/>
          <w:lang w:val="en-US"/>
        </w:rPr>
        <w:t xml:space="preserve">-seed </w:t>
      </w:r>
      <w:proofErr w:type="gramEnd"/>
      <w:r w:rsidRPr="002B56EF">
        <w:rPr>
          <w:color w:val="FFC000"/>
          <w:lang w:val="en-US"/>
        </w:rPr>
        <w:t xml:space="preserve">sensitivity analysis </w:t>
      </w:r>
      <w:r>
        <w:rPr>
          <w:color w:val="FFC000"/>
          <w:lang w:val="en-US"/>
        </w:rPr>
        <w:t>shows</w:t>
      </w:r>
      <w:r w:rsidRPr="002B56EF">
        <w:rPr>
          <w:color w:val="FFC000"/>
          <w:lang w:val="en-US"/>
        </w:rPr>
        <w:t xml:space="preserve"> the same pattern. Supply Disruption is the only regime in which Hybrid AI combines extreme service-floor violations with unstable rankings across initializations, which points to structural fragility rather than an isolated training outlier.</w:t>
      </w:r>
    </w:p>
    <w:p w14:paraId="7F552331" w14:textId="77777777" w:rsidR="00B32827" w:rsidRPr="0073558D" w:rsidRDefault="00B32827" w:rsidP="00B32827">
      <w:pPr>
        <w:pStyle w:val="ng-star-inserted"/>
        <w:spacing w:before="0" w:after="0" w:afterAutospacing="0"/>
        <w:ind w:left="216" w:right="14"/>
        <w:jc w:val="center"/>
        <w:rPr>
          <w:b/>
          <w:bCs/>
          <w:lang w:val="en-US"/>
        </w:rPr>
      </w:pPr>
      <w:r w:rsidRPr="00184C45">
        <w:rPr>
          <w:b/>
          <w:bCs/>
          <w:sz w:val="20"/>
          <w:lang w:val="en-US"/>
        </w:rPr>
        <w:t>Table 5. Comparative performance metrics: Supply disruption scenario (GA on; 90d and 180d).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7"/>
        <w:gridCol w:w="2155"/>
        <w:gridCol w:w="1558"/>
        <w:gridCol w:w="2129"/>
        <w:gridCol w:w="1947"/>
      </w:tblGrid>
      <w:tr w:rsidR="00B32827" w14:paraId="2AC731E0" w14:textId="77777777" w:rsidTr="00C023AA">
        <w:trPr>
          <w:jc w:val="center"/>
        </w:trPr>
        <w:tc>
          <w:tcPr>
            <w:tcW w:w="1947" w:type="dxa"/>
            <w:vAlign w:val="center"/>
          </w:tcPr>
          <w:p w14:paraId="003406D7" w14:textId="77777777" w:rsidR="00B32827" w:rsidRPr="007B218B" w:rsidRDefault="00B32827" w:rsidP="00115971">
            <w:pPr>
              <w:rPr>
                <w:rFonts w:cs="Times New Roman"/>
                <w:b/>
                <w:sz w:val="18"/>
              </w:rPr>
            </w:pPr>
            <w:r w:rsidRPr="007B218B">
              <w:rPr>
                <w:rFonts w:cs="Times New Roman"/>
                <w:b/>
                <w:sz w:val="18"/>
              </w:rPr>
              <w:t>Policy</w:t>
            </w:r>
          </w:p>
        </w:tc>
        <w:tc>
          <w:tcPr>
            <w:tcW w:w="2155" w:type="dxa"/>
            <w:vAlign w:val="center"/>
          </w:tcPr>
          <w:p w14:paraId="66F71948" w14:textId="77777777" w:rsidR="00B32827" w:rsidRPr="007B218B" w:rsidRDefault="00B32827" w:rsidP="00115971">
            <w:pPr>
              <w:rPr>
                <w:rFonts w:cs="Times New Roman"/>
                <w:b/>
                <w:sz w:val="18"/>
              </w:rPr>
            </w:pPr>
            <w:r w:rsidRPr="007B218B">
              <w:rPr>
                <w:rFonts w:cs="Times New Roman"/>
                <w:b/>
                <w:sz w:val="18"/>
              </w:rPr>
              <w:t>Total cost (90d), mean [95% CI]</w:t>
            </w:r>
          </w:p>
        </w:tc>
        <w:tc>
          <w:tcPr>
            <w:tcW w:w="1558" w:type="dxa"/>
            <w:vAlign w:val="center"/>
          </w:tcPr>
          <w:p w14:paraId="3091BB52" w14:textId="77777777" w:rsidR="00B32827" w:rsidRPr="007B218B" w:rsidRDefault="00B32827" w:rsidP="00115971">
            <w:pPr>
              <w:rPr>
                <w:rFonts w:cs="Times New Roman"/>
                <w:b/>
                <w:sz w:val="18"/>
              </w:rPr>
            </w:pPr>
            <w:r w:rsidRPr="007B218B">
              <w:rPr>
                <w:rFonts w:cs="Times New Roman"/>
                <w:b/>
                <w:sz w:val="18"/>
              </w:rPr>
              <w:t>Fill rate (90d), mean [95% CI]</w:t>
            </w:r>
          </w:p>
        </w:tc>
        <w:tc>
          <w:tcPr>
            <w:tcW w:w="2129" w:type="dxa"/>
            <w:vAlign w:val="center"/>
          </w:tcPr>
          <w:p w14:paraId="61CC0AAF" w14:textId="77777777" w:rsidR="00B32827" w:rsidRPr="007B218B" w:rsidRDefault="00B32827" w:rsidP="00115971">
            <w:pPr>
              <w:rPr>
                <w:rFonts w:cs="Times New Roman"/>
                <w:b/>
                <w:sz w:val="18"/>
              </w:rPr>
            </w:pPr>
            <w:r w:rsidRPr="007B218B">
              <w:rPr>
                <w:rFonts w:cs="Times New Roman"/>
                <w:b/>
                <w:sz w:val="18"/>
              </w:rPr>
              <w:t>Total cost (180d), mean [95% CI]</w:t>
            </w:r>
          </w:p>
        </w:tc>
        <w:tc>
          <w:tcPr>
            <w:tcW w:w="1947" w:type="dxa"/>
            <w:vAlign w:val="center"/>
          </w:tcPr>
          <w:p w14:paraId="6BC2C9DE" w14:textId="77777777" w:rsidR="00B32827" w:rsidRPr="007B218B" w:rsidRDefault="00B32827" w:rsidP="00115971">
            <w:pPr>
              <w:rPr>
                <w:rFonts w:cs="Times New Roman"/>
                <w:b/>
                <w:sz w:val="18"/>
              </w:rPr>
            </w:pPr>
            <w:r w:rsidRPr="007B218B">
              <w:rPr>
                <w:rFonts w:cs="Times New Roman"/>
                <w:b/>
                <w:sz w:val="18"/>
              </w:rPr>
              <w:t>Fill rate (180d), mean [95% CI]</w:t>
            </w:r>
          </w:p>
        </w:tc>
      </w:tr>
      <w:tr w:rsidR="00B32827" w14:paraId="44C221CA" w14:textId="77777777" w:rsidTr="00C023AA">
        <w:trPr>
          <w:jc w:val="center"/>
        </w:trPr>
        <w:tc>
          <w:tcPr>
            <w:tcW w:w="1947" w:type="dxa"/>
            <w:vAlign w:val="center"/>
          </w:tcPr>
          <w:p w14:paraId="36D12B54" w14:textId="77777777" w:rsidR="00B32827" w:rsidRPr="007B218B" w:rsidRDefault="00B32827" w:rsidP="00115971">
            <w:pPr>
              <w:rPr>
                <w:rFonts w:cs="Times New Roman"/>
                <w:sz w:val="18"/>
              </w:rPr>
            </w:pPr>
            <w:r w:rsidRPr="007B218B">
              <w:rPr>
                <w:rFonts w:cs="Times New Roman"/>
                <w:sz w:val="18"/>
              </w:rPr>
              <w:t>Static</w:t>
            </w:r>
          </w:p>
        </w:tc>
        <w:tc>
          <w:tcPr>
            <w:tcW w:w="2155" w:type="dxa"/>
            <w:vAlign w:val="center"/>
          </w:tcPr>
          <w:p w14:paraId="1177FDE6" w14:textId="77777777" w:rsidR="00B32827" w:rsidRDefault="00B32827" w:rsidP="00115971">
            <w:pPr>
              <w:jc w:val="center"/>
              <w:rPr>
                <w:rFonts w:cs="Times New Roman"/>
                <w:sz w:val="18"/>
              </w:rPr>
            </w:pPr>
            <w:r w:rsidRPr="007B218B">
              <w:rPr>
                <w:rFonts w:cs="Times New Roman"/>
                <w:sz w:val="18"/>
              </w:rPr>
              <w:t>12,406,027</w:t>
            </w:r>
          </w:p>
          <w:p w14:paraId="435425DD" w14:textId="77777777" w:rsidR="00B32827" w:rsidRPr="007B218B" w:rsidRDefault="00B32827" w:rsidP="00115971">
            <w:pPr>
              <w:jc w:val="center"/>
              <w:rPr>
                <w:rFonts w:cs="Times New Roman"/>
                <w:sz w:val="18"/>
              </w:rPr>
            </w:pPr>
            <w:r w:rsidRPr="007B218B">
              <w:rPr>
                <w:rFonts w:cs="Times New Roman"/>
                <w:sz w:val="18"/>
              </w:rPr>
              <w:t>[12,090,553; 12,744,667]</w:t>
            </w:r>
          </w:p>
        </w:tc>
        <w:tc>
          <w:tcPr>
            <w:tcW w:w="1558" w:type="dxa"/>
            <w:vAlign w:val="center"/>
          </w:tcPr>
          <w:p w14:paraId="0E3D69CD" w14:textId="77777777" w:rsidR="00B32827" w:rsidRDefault="00B32827" w:rsidP="00115971">
            <w:pPr>
              <w:jc w:val="center"/>
              <w:rPr>
                <w:rFonts w:cs="Times New Roman"/>
                <w:sz w:val="18"/>
              </w:rPr>
            </w:pPr>
            <w:r w:rsidRPr="007B218B">
              <w:rPr>
                <w:rFonts w:cs="Times New Roman"/>
                <w:sz w:val="18"/>
              </w:rPr>
              <w:t>42.8%</w:t>
            </w:r>
          </w:p>
          <w:p w14:paraId="6510A122" w14:textId="77777777" w:rsidR="00B32827" w:rsidRPr="007B218B" w:rsidRDefault="00B32827" w:rsidP="00115971">
            <w:pPr>
              <w:jc w:val="center"/>
              <w:rPr>
                <w:rFonts w:cs="Times New Roman"/>
                <w:sz w:val="18"/>
              </w:rPr>
            </w:pPr>
            <w:r w:rsidRPr="007B218B">
              <w:rPr>
                <w:rFonts w:cs="Times New Roman"/>
                <w:sz w:val="18"/>
              </w:rPr>
              <w:t>[42.5%; 43.2%]</w:t>
            </w:r>
          </w:p>
        </w:tc>
        <w:tc>
          <w:tcPr>
            <w:tcW w:w="2129" w:type="dxa"/>
            <w:vAlign w:val="center"/>
          </w:tcPr>
          <w:p w14:paraId="4A027004" w14:textId="77777777" w:rsidR="00B32827" w:rsidRPr="007B218B" w:rsidRDefault="00B32827" w:rsidP="00115971">
            <w:pPr>
              <w:jc w:val="center"/>
              <w:rPr>
                <w:rFonts w:cs="Times New Roman"/>
                <w:sz w:val="18"/>
              </w:rPr>
            </w:pPr>
            <w:r w:rsidRPr="007B218B">
              <w:rPr>
                <w:rFonts w:cs="Times New Roman"/>
                <w:sz w:val="18"/>
              </w:rPr>
              <w:t>24,159,402 [23,710,592; 24,620,273]</w:t>
            </w:r>
          </w:p>
        </w:tc>
        <w:tc>
          <w:tcPr>
            <w:tcW w:w="1947" w:type="dxa"/>
            <w:vAlign w:val="center"/>
          </w:tcPr>
          <w:p w14:paraId="5A901B0C" w14:textId="77777777" w:rsidR="00B32827" w:rsidRDefault="00B32827" w:rsidP="00115971">
            <w:pPr>
              <w:jc w:val="center"/>
              <w:rPr>
                <w:rFonts w:cs="Times New Roman"/>
                <w:sz w:val="18"/>
              </w:rPr>
            </w:pPr>
            <w:r w:rsidRPr="007B218B">
              <w:rPr>
                <w:rFonts w:cs="Times New Roman"/>
                <w:sz w:val="18"/>
              </w:rPr>
              <w:t>43.8%</w:t>
            </w:r>
          </w:p>
          <w:p w14:paraId="656A9424" w14:textId="77777777" w:rsidR="00B32827" w:rsidRPr="007B218B" w:rsidRDefault="00B32827" w:rsidP="00115971">
            <w:pPr>
              <w:jc w:val="center"/>
              <w:rPr>
                <w:rFonts w:cs="Times New Roman"/>
                <w:sz w:val="18"/>
              </w:rPr>
            </w:pPr>
            <w:r w:rsidRPr="007B218B">
              <w:rPr>
                <w:rFonts w:cs="Times New Roman"/>
                <w:sz w:val="18"/>
              </w:rPr>
              <w:t>[43.5%; 44.0%]</w:t>
            </w:r>
          </w:p>
        </w:tc>
      </w:tr>
      <w:tr w:rsidR="00B32827" w14:paraId="524C34A9" w14:textId="77777777" w:rsidTr="00C023AA">
        <w:trPr>
          <w:jc w:val="center"/>
        </w:trPr>
        <w:tc>
          <w:tcPr>
            <w:tcW w:w="1947" w:type="dxa"/>
            <w:vAlign w:val="center"/>
          </w:tcPr>
          <w:p w14:paraId="66970DC2" w14:textId="77777777" w:rsidR="00B32827" w:rsidRPr="007B218B" w:rsidRDefault="00B32827" w:rsidP="00115971">
            <w:pPr>
              <w:rPr>
                <w:rFonts w:cs="Times New Roman"/>
                <w:sz w:val="18"/>
              </w:rPr>
            </w:pPr>
            <w:r w:rsidRPr="007B218B">
              <w:rPr>
                <w:rFonts w:cs="Times New Roman"/>
                <w:sz w:val="18"/>
              </w:rPr>
              <w:t>Dynamic</w:t>
            </w:r>
          </w:p>
        </w:tc>
        <w:tc>
          <w:tcPr>
            <w:tcW w:w="2155" w:type="dxa"/>
            <w:vAlign w:val="center"/>
          </w:tcPr>
          <w:p w14:paraId="4BF7C157" w14:textId="77777777" w:rsidR="00B32827" w:rsidRDefault="00B32827" w:rsidP="00115971">
            <w:pPr>
              <w:jc w:val="center"/>
              <w:rPr>
                <w:rFonts w:cs="Times New Roman"/>
                <w:sz w:val="18"/>
              </w:rPr>
            </w:pPr>
            <w:r w:rsidRPr="007B218B">
              <w:rPr>
                <w:rFonts w:cs="Times New Roman"/>
                <w:sz w:val="18"/>
              </w:rPr>
              <w:t>11,449,069</w:t>
            </w:r>
          </w:p>
          <w:p w14:paraId="7AC0F5BA" w14:textId="77777777" w:rsidR="00B32827" w:rsidRPr="007B218B" w:rsidRDefault="00B32827" w:rsidP="00115971">
            <w:pPr>
              <w:jc w:val="center"/>
              <w:rPr>
                <w:rFonts w:cs="Times New Roman"/>
                <w:sz w:val="18"/>
              </w:rPr>
            </w:pPr>
            <w:r w:rsidRPr="007B218B">
              <w:rPr>
                <w:rFonts w:cs="Times New Roman"/>
                <w:sz w:val="18"/>
              </w:rPr>
              <w:t>[11,117,358; 11,790,057]</w:t>
            </w:r>
          </w:p>
        </w:tc>
        <w:tc>
          <w:tcPr>
            <w:tcW w:w="1558" w:type="dxa"/>
            <w:vAlign w:val="center"/>
          </w:tcPr>
          <w:p w14:paraId="579FD994" w14:textId="77777777" w:rsidR="00B32827" w:rsidRDefault="00B32827" w:rsidP="00115971">
            <w:pPr>
              <w:jc w:val="center"/>
              <w:rPr>
                <w:rFonts w:cs="Times New Roman"/>
                <w:sz w:val="18"/>
              </w:rPr>
            </w:pPr>
            <w:r w:rsidRPr="007B218B">
              <w:rPr>
                <w:rFonts w:cs="Times New Roman"/>
                <w:sz w:val="18"/>
              </w:rPr>
              <w:t>47.2%</w:t>
            </w:r>
          </w:p>
          <w:p w14:paraId="2A6AEA18" w14:textId="77777777" w:rsidR="00B32827" w:rsidRPr="007B218B" w:rsidRDefault="00B32827" w:rsidP="00115971">
            <w:pPr>
              <w:jc w:val="center"/>
              <w:rPr>
                <w:rFonts w:cs="Times New Roman"/>
                <w:sz w:val="18"/>
              </w:rPr>
            </w:pPr>
            <w:r w:rsidRPr="007B218B">
              <w:rPr>
                <w:rFonts w:cs="Times New Roman"/>
                <w:sz w:val="18"/>
              </w:rPr>
              <w:t>[46.7%; 47.6%]</w:t>
            </w:r>
          </w:p>
        </w:tc>
        <w:tc>
          <w:tcPr>
            <w:tcW w:w="2129" w:type="dxa"/>
            <w:vAlign w:val="center"/>
          </w:tcPr>
          <w:p w14:paraId="62A360B3" w14:textId="77777777" w:rsidR="00B32827" w:rsidRPr="007B218B" w:rsidRDefault="00B32827" w:rsidP="00115971">
            <w:pPr>
              <w:jc w:val="center"/>
              <w:rPr>
                <w:rFonts w:cs="Times New Roman"/>
                <w:sz w:val="18"/>
              </w:rPr>
            </w:pPr>
            <w:r w:rsidRPr="007B218B">
              <w:rPr>
                <w:rFonts w:cs="Times New Roman"/>
                <w:sz w:val="18"/>
              </w:rPr>
              <w:t>21,893,702 [21,428,378; 22,382,376]</w:t>
            </w:r>
          </w:p>
        </w:tc>
        <w:tc>
          <w:tcPr>
            <w:tcW w:w="1947" w:type="dxa"/>
            <w:vAlign w:val="center"/>
          </w:tcPr>
          <w:p w14:paraId="30C1A5E5" w14:textId="77777777" w:rsidR="00B32827" w:rsidRDefault="00B32827" w:rsidP="00115971">
            <w:pPr>
              <w:jc w:val="center"/>
              <w:rPr>
                <w:rFonts w:cs="Times New Roman"/>
                <w:sz w:val="18"/>
              </w:rPr>
            </w:pPr>
            <w:r w:rsidRPr="007B218B">
              <w:rPr>
                <w:rFonts w:cs="Times New Roman"/>
                <w:sz w:val="18"/>
              </w:rPr>
              <w:t>49.3%</w:t>
            </w:r>
          </w:p>
          <w:p w14:paraId="10060721" w14:textId="77777777" w:rsidR="00B32827" w:rsidRPr="007B218B" w:rsidRDefault="00B32827" w:rsidP="00115971">
            <w:pPr>
              <w:jc w:val="center"/>
              <w:rPr>
                <w:rFonts w:cs="Times New Roman"/>
                <w:sz w:val="18"/>
              </w:rPr>
            </w:pPr>
            <w:r w:rsidRPr="007B218B">
              <w:rPr>
                <w:rFonts w:cs="Times New Roman"/>
                <w:sz w:val="18"/>
              </w:rPr>
              <w:t>[49.0%; 49.6%]</w:t>
            </w:r>
          </w:p>
        </w:tc>
      </w:tr>
      <w:tr w:rsidR="00B32827" w14:paraId="4DD0CB4B" w14:textId="77777777" w:rsidTr="00C023AA">
        <w:trPr>
          <w:jc w:val="center"/>
        </w:trPr>
        <w:tc>
          <w:tcPr>
            <w:tcW w:w="1947" w:type="dxa"/>
            <w:vAlign w:val="center"/>
          </w:tcPr>
          <w:p w14:paraId="508D0FA9" w14:textId="77777777" w:rsidR="00B32827" w:rsidRPr="007B218B" w:rsidRDefault="00B32827" w:rsidP="00115971">
            <w:pPr>
              <w:rPr>
                <w:rFonts w:cs="Times New Roman"/>
                <w:sz w:val="18"/>
              </w:rPr>
            </w:pPr>
            <w:r w:rsidRPr="007B218B">
              <w:rPr>
                <w:rFonts w:cs="Times New Roman"/>
                <w:sz w:val="18"/>
              </w:rPr>
              <w:t>Dynamic + Forecast</w:t>
            </w:r>
          </w:p>
        </w:tc>
        <w:tc>
          <w:tcPr>
            <w:tcW w:w="2155" w:type="dxa"/>
            <w:vAlign w:val="center"/>
          </w:tcPr>
          <w:p w14:paraId="4E9E9F2F" w14:textId="77777777" w:rsidR="00B32827" w:rsidRDefault="00B32827" w:rsidP="00115971">
            <w:pPr>
              <w:jc w:val="center"/>
              <w:rPr>
                <w:rFonts w:cs="Times New Roman"/>
                <w:sz w:val="18"/>
              </w:rPr>
            </w:pPr>
            <w:r w:rsidRPr="007B218B">
              <w:rPr>
                <w:rFonts w:cs="Times New Roman"/>
                <w:sz w:val="18"/>
              </w:rPr>
              <w:t>14,712,293</w:t>
            </w:r>
          </w:p>
          <w:p w14:paraId="364DB148" w14:textId="77777777" w:rsidR="00B32827" w:rsidRPr="007B218B" w:rsidRDefault="00B32827" w:rsidP="00115971">
            <w:pPr>
              <w:jc w:val="center"/>
              <w:rPr>
                <w:rFonts w:cs="Times New Roman"/>
                <w:sz w:val="18"/>
              </w:rPr>
            </w:pPr>
            <w:r w:rsidRPr="007B218B">
              <w:rPr>
                <w:rFonts w:cs="Times New Roman"/>
                <w:sz w:val="18"/>
              </w:rPr>
              <w:t>[14,373,888; 15,069,346]</w:t>
            </w:r>
          </w:p>
        </w:tc>
        <w:tc>
          <w:tcPr>
            <w:tcW w:w="1558" w:type="dxa"/>
            <w:vAlign w:val="center"/>
          </w:tcPr>
          <w:p w14:paraId="5D96DD83" w14:textId="77777777" w:rsidR="00B32827" w:rsidRDefault="00B32827" w:rsidP="00115971">
            <w:pPr>
              <w:jc w:val="center"/>
              <w:rPr>
                <w:rFonts w:cs="Times New Roman"/>
                <w:sz w:val="18"/>
              </w:rPr>
            </w:pPr>
            <w:r w:rsidRPr="007B218B">
              <w:rPr>
                <w:rFonts w:cs="Times New Roman"/>
                <w:sz w:val="18"/>
              </w:rPr>
              <w:t>51.1%</w:t>
            </w:r>
          </w:p>
          <w:p w14:paraId="7FBCD9EE" w14:textId="77777777" w:rsidR="00B32827" w:rsidRPr="007B218B" w:rsidRDefault="00B32827" w:rsidP="00115971">
            <w:pPr>
              <w:jc w:val="center"/>
              <w:rPr>
                <w:rFonts w:cs="Times New Roman"/>
                <w:sz w:val="18"/>
              </w:rPr>
            </w:pPr>
            <w:r w:rsidRPr="007B218B">
              <w:rPr>
                <w:rFonts w:cs="Times New Roman"/>
                <w:sz w:val="18"/>
              </w:rPr>
              <w:t>[50.6%; 51.6%]</w:t>
            </w:r>
          </w:p>
        </w:tc>
        <w:tc>
          <w:tcPr>
            <w:tcW w:w="2129" w:type="dxa"/>
            <w:vAlign w:val="center"/>
          </w:tcPr>
          <w:p w14:paraId="0B017C85" w14:textId="77777777" w:rsidR="00B32827" w:rsidRPr="007B218B" w:rsidRDefault="00B32827" w:rsidP="00115971">
            <w:pPr>
              <w:jc w:val="center"/>
              <w:rPr>
                <w:rFonts w:cs="Times New Roman"/>
                <w:sz w:val="18"/>
              </w:rPr>
            </w:pPr>
            <w:r w:rsidRPr="007B218B">
              <w:rPr>
                <w:rFonts w:cs="Times New Roman"/>
                <w:sz w:val="18"/>
              </w:rPr>
              <w:t>24,175,303 [23,648,320; 24,682,242]</w:t>
            </w:r>
          </w:p>
        </w:tc>
        <w:tc>
          <w:tcPr>
            <w:tcW w:w="1947" w:type="dxa"/>
            <w:vAlign w:val="center"/>
          </w:tcPr>
          <w:p w14:paraId="5312B3EF" w14:textId="77777777" w:rsidR="00B32827" w:rsidRDefault="00B32827" w:rsidP="00115971">
            <w:pPr>
              <w:jc w:val="center"/>
              <w:rPr>
                <w:rFonts w:cs="Times New Roman"/>
                <w:sz w:val="18"/>
              </w:rPr>
            </w:pPr>
            <w:r w:rsidRPr="007B218B">
              <w:rPr>
                <w:rFonts w:cs="Times New Roman"/>
                <w:sz w:val="18"/>
              </w:rPr>
              <w:t>75.5%</w:t>
            </w:r>
          </w:p>
          <w:p w14:paraId="0F8DCBD1" w14:textId="77777777" w:rsidR="00B32827" w:rsidRPr="007B218B" w:rsidRDefault="00B32827" w:rsidP="00115971">
            <w:pPr>
              <w:jc w:val="center"/>
              <w:rPr>
                <w:rFonts w:cs="Times New Roman"/>
                <w:sz w:val="18"/>
              </w:rPr>
            </w:pPr>
            <w:r w:rsidRPr="007B218B">
              <w:rPr>
                <w:rFonts w:cs="Times New Roman"/>
                <w:sz w:val="18"/>
              </w:rPr>
              <w:t>[75.2%; 75.7%]</w:t>
            </w:r>
          </w:p>
        </w:tc>
      </w:tr>
      <w:tr w:rsidR="00B32827" w14:paraId="37EE7F1D" w14:textId="77777777" w:rsidTr="00C023AA">
        <w:trPr>
          <w:jc w:val="center"/>
        </w:trPr>
        <w:tc>
          <w:tcPr>
            <w:tcW w:w="1947" w:type="dxa"/>
            <w:vAlign w:val="center"/>
          </w:tcPr>
          <w:p w14:paraId="5E13E931" w14:textId="77777777" w:rsidR="00B32827" w:rsidRPr="007B218B" w:rsidRDefault="00B32827" w:rsidP="00115971">
            <w:pPr>
              <w:rPr>
                <w:rFonts w:cs="Times New Roman"/>
                <w:sz w:val="18"/>
              </w:rPr>
            </w:pPr>
            <w:r w:rsidRPr="007B218B">
              <w:rPr>
                <w:rFonts w:cs="Times New Roman"/>
                <w:sz w:val="18"/>
              </w:rPr>
              <w:t>Base-stock (Uncertain)</w:t>
            </w:r>
          </w:p>
        </w:tc>
        <w:tc>
          <w:tcPr>
            <w:tcW w:w="2155" w:type="dxa"/>
            <w:tcBorders>
              <w:bottom w:val="single" w:sz="4" w:space="0" w:color="auto"/>
            </w:tcBorders>
            <w:vAlign w:val="center"/>
          </w:tcPr>
          <w:p w14:paraId="3CE5DAB0" w14:textId="77777777" w:rsidR="00B32827" w:rsidRDefault="00B32827" w:rsidP="00115971">
            <w:pPr>
              <w:jc w:val="center"/>
              <w:rPr>
                <w:rFonts w:cs="Times New Roman"/>
                <w:sz w:val="18"/>
              </w:rPr>
            </w:pPr>
            <w:r w:rsidRPr="007B218B">
              <w:rPr>
                <w:rFonts w:cs="Times New Roman"/>
                <w:sz w:val="18"/>
              </w:rPr>
              <w:t>14,832,752</w:t>
            </w:r>
          </w:p>
          <w:p w14:paraId="59035C44" w14:textId="77777777" w:rsidR="00B32827" w:rsidRPr="007B218B" w:rsidRDefault="00B32827" w:rsidP="00115971">
            <w:pPr>
              <w:jc w:val="center"/>
              <w:rPr>
                <w:rFonts w:cs="Times New Roman"/>
                <w:sz w:val="18"/>
              </w:rPr>
            </w:pPr>
            <w:r w:rsidRPr="007B218B">
              <w:rPr>
                <w:rFonts w:cs="Times New Roman"/>
                <w:sz w:val="18"/>
              </w:rPr>
              <w:t>[14,439,809; 15,263,267]</w:t>
            </w:r>
          </w:p>
        </w:tc>
        <w:tc>
          <w:tcPr>
            <w:tcW w:w="1558" w:type="dxa"/>
            <w:vAlign w:val="center"/>
          </w:tcPr>
          <w:p w14:paraId="70F77DBC" w14:textId="77777777" w:rsidR="00B32827" w:rsidRDefault="00B32827" w:rsidP="00115971">
            <w:pPr>
              <w:jc w:val="center"/>
              <w:rPr>
                <w:rFonts w:cs="Times New Roman"/>
                <w:sz w:val="18"/>
              </w:rPr>
            </w:pPr>
            <w:r w:rsidRPr="007B218B">
              <w:rPr>
                <w:rFonts w:cs="Times New Roman"/>
                <w:sz w:val="18"/>
              </w:rPr>
              <w:t>51.0%</w:t>
            </w:r>
          </w:p>
          <w:p w14:paraId="619F77C0" w14:textId="77777777" w:rsidR="00B32827" w:rsidRPr="007B218B" w:rsidRDefault="00B32827" w:rsidP="00115971">
            <w:pPr>
              <w:jc w:val="center"/>
              <w:rPr>
                <w:rFonts w:cs="Times New Roman"/>
                <w:sz w:val="18"/>
              </w:rPr>
            </w:pPr>
            <w:r w:rsidRPr="007B218B">
              <w:rPr>
                <w:rFonts w:cs="Times New Roman"/>
                <w:sz w:val="18"/>
              </w:rPr>
              <w:t>[50.5%; 51.5%]</w:t>
            </w:r>
          </w:p>
        </w:tc>
        <w:tc>
          <w:tcPr>
            <w:tcW w:w="2129" w:type="dxa"/>
            <w:vAlign w:val="center"/>
          </w:tcPr>
          <w:p w14:paraId="3DC1F4AA" w14:textId="77777777" w:rsidR="00B32827" w:rsidRPr="007B218B" w:rsidRDefault="00B32827" w:rsidP="00115971">
            <w:pPr>
              <w:jc w:val="center"/>
              <w:rPr>
                <w:rFonts w:cs="Times New Roman"/>
                <w:sz w:val="18"/>
              </w:rPr>
            </w:pPr>
            <w:r w:rsidRPr="007B218B">
              <w:rPr>
                <w:rFonts w:cs="Times New Roman"/>
                <w:sz w:val="18"/>
              </w:rPr>
              <w:t>24,391,523 [23,884,653; 24,904,111]</w:t>
            </w:r>
          </w:p>
        </w:tc>
        <w:tc>
          <w:tcPr>
            <w:tcW w:w="1947" w:type="dxa"/>
            <w:vAlign w:val="center"/>
          </w:tcPr>
          <w:p w14:paraId="54D3F785" w14:textId="77777777" w:rsidR="00B32827" w:rsidRDefault="00B32827" w:rsidP="00115971">
            <w:pPr>
              <w:jc w:val="center"/>
              <w:rPr>
                <w:rFonts w:cs="Times New Roman"/>
                <w:sz w:val="18"/>
              </w:rPr>
            </w:pPr>
            <w:r w:rsidRPr="007B218B">
              <w:rPr>
                <w:rFonts w:cs="Times New Roman"/>
                <w:sz w:val="18"/>
              </w:rPr>
              <w:t>75.3%</w:t>
            </w:r>
          </w:p>
          <w:p w14:paraId="62CB9A62" w14:textId="77777777" w:rsidR="00B32827" w:rsidRPr="007B218B" w:rsidRDefault="00B32827" w:rsidP="00115971">
            <w:pPr>
              <w:jc w:val="center"/>
              <w:rPr>
                <w:rFonts w:cs="Times New Roman"/>
                <w:sz w:val="18"/>
              </w:rPr>
            </w:pPr>
            <w:r w:rsidRPr="007B218B">
              <w:rPr>
                <w:rFonts w:cs="Times New Roman"/>
                <w:sz w:val="18"/>
              </w:rPr>
              <w:t>[75.0%; 75.6%]</w:t>
            </w:r>
          </w:p>
        </w:tc>
      </w:tr>
      <w:tr w:rsidR="00B32827" w14:paraId="7F88D625" w14:textId="77777777" w:rsidTr="00C023AA">
        <w:trPr>
          <w:jc w:val="center"/>
        </w:trPr>
        <w:tc>
          <w:tcPr>
            <w:tcW w:w="1947" w:type="dxa"/>
            <w:tcBorders>
              <w:bottom w:val="nil"/>
            </w:tcBorders>
            <w:vAlign w:val="center"/>
          </w:tcPr>
          <w:p w14:paraId="538F4963" w14:textId="77777777" w:rsidR="00B32827" w:rsidRPr="007B218B" w:rsidRDefault="00B32827" w:rsidP="00115971">
            <w:pPr>
              <w:rPr>
                <w:rFonts w:cs="Times New Roman"/>
                <w:sz w:val="18"/>
              </w:rPr>
            </w:pPr>
            <w:r w:rsidRPr="007B218B">
              <w:rPr>
                <w:rFonts w:cs="Times New Roman"/>
                <w:sz w:val="18"/>
              </w:rPr>
              <w:t>Hybrid AI</w:t>
            </w:r>
          </w:p>
        </w:tc>
        <w:tc>
          <w:tcPr>
            <w:tcW w:w="2155" w:type="dxa"/>
            <w:tcBorders>
              <w:bottom w:val="single" w:sz="4" w:space="0" w:color="auto"/>
            </w:tcBorders>
            <w:vAlign w:val="center"/>
          </w:tcPr>
          <w:p w14:paraId="3AFF2A3D" w14:textId="77777777" w:rsidR="00B32827" w:rsidRDefault="00B32827" w:rsidP="00115971">
            <w:pPr>
              <w:jc w:val="center"/>
              <w:rPr>
                <w:rFonts w:cs="Times New Roman"/>
                <w:sz w:val="18"/>
              </w:rPr>
            </w:pPr>
            <w:r w:rsidRPr="007B218B">
              <w:rPr>
                <w:rFonts w:cs="Times New Roman"/>
                <w:sz w:val="18"/>
              </w:rPr>
              <w:t>21,139,616</w:t>
            </w:r>
          </w:p>
          <w:p w14:paraId="6A0446BE" w14:textId="77777777" w:rsidR="00B32827" w:rsidRPr="007B218B" w:rsidRDefault="00B32827" w:rsidP="00115971">
            <w:pPr>
              <w:jc w:val="center"/>
              <w:rPr>
                <w:rFonts w:cs="Times New Roman"/>
                <w:sz w:val="18"/>
              </w:rPr>
            </w:pPr>
            <w:r w:rsidRPr="007B218B">
              <w:rPr>
                <w:rFonts w:cs="Times New Roman"/>
                <w:sz w:val="18"/>
              </w:rPr>
              <w:t>[20,749,118; 21,535,272]</w:t>
            </w:r>
          </w:p>
        </w:tc>
        <w:tc>
          <w:tcPr>
            <w:tcW w:w="1558" w:type="dxa"/>
            <w:tcBorders>
              <w:bottom w:val="nil"/>
            </w:tcBorders>
            <w:vAlign w:val="center"/>
          </w:tcPr>
          <w:p w14:paraId="411AC608" w14:textId="77777777" w:rsidR="00B32827" w:rsidRDefault="00B32827" w:rsidP="00115971">
            <w:pPr>
              <w:jc w:val="center"/>
              <w:rPr>
                <w:rFonts w:cs="Times New Roman"/>
                <w:sz w:val="18"/>
              </w:rPr>
            </w:pPr>
            <w:r w:rsidRPr="007B218B">
              <w:rPr>
                <w:rFonts w:cs="Times New Roman"/>
                <w:sz w:val="18"/>
              </w:rPr>
              <w:t>1.7%</w:t>
            </w:r>
          </w:p>
          <w:p w14:paraId="3B2C0709" w14:textId="77777777" w:rsidR="00B32827" w:rsidRPr="007B218B" w:rsidRDefault="00B32827" w:rsidP="00115971">
            <w:pPr>
              <w:jc w:val="center"/>
              <w:rPr>
                <w:rFonts w:cs="Times New Roman"/>
                <w:sz w:val="18"/>
              </w:rPr>
            </w:pPr>
            <w:r w:rsidRPr="007B218B">
              <w:rPr>
                <w:rFonts w:cs="Times New Roman"/>
                <w:sz w:val="18"/>
              </w:rPr>
              <w:t>[1.7%; 1.7%]</w:t>
            </w:r>
          </w:p>
        </w:tc>
        <w:tc>
          <w:tcPr>
            <w:tcW w:w="2129" w:type="dxa"/>
            <w:tcBorders>
              <w:bottom w:val="nil"/>
            </w:tcBorders>
            <w:vAlign w:val="center"/>
          </w:tcPr>
          <w:p w14:paraId="2316ADDA" w14:textId="77777777" w:rsidR="00B32827" w:rsidRPr="007B218B" w:rsidRDefault="00B32827" w:rsidP="00115971">
            <w:pPr>
              <w:jc w:val="center"/>
              <w:rPr>
                <w:rFonts w:cs="Times New Roman"/>
                <w:sz w:val="18"/>
              </w:rPr>
            </w:pPr>
            <w:r w:rsidRPr="007B218B">
              <w:rPr>
                <w:rFonts w:cs="Times New Roman"/>
                <w:sz w:val="18"/>
              </w:rPr>
              <w:t>42,453,194 [41,802,375; 43,102,411]</w:t>
            </w:r>
          </w:p>
        </w:tc>
        <w:tc>
          <w:tcPr>
            <w:tcW w:w="1947" w:type="dxa"/>
            <w:tcBorders>
              <w:bottom w:val="nil"/>
            </w:tcBorders>
            <w:vAlign w:val="center"/>
          </w:tcPr>
          <w:p w14:paraId="381845E9" w14:textId="77777777" w:rsidR="00B32827" w:rsidRDefault="00B32827" w:rsidP="00115971">
            <w:pPr>
              <w:jc w:val="center"/>
              <w:rPr>
                <w:rFonts w:cs="Times New Roman"/>
                <w:sz w:val="18"/>
              </w:rPr>
            </w:pPr>
            <w:r w:rsidRPr="007B218B">
              <w:rPr>
                <w:rFonts w:cs="Times New Roman"/>
                <w:sz w:val="18"/>
              </w:rPr>
              <w:t>0.9%</w:t>
            </w:r>
          </w:p>
          <w:p w14:paraId="163EBA96" w14:textId="77777777" w:rsidR="00B32827" w:rsidRPr="007B218B" w:rsidRDefault="00B32827" w:rsidP="00115971">
            <w:pPr>
              <w:jc w:val="center"/>
              <w:rPr>
                <w:rFonts w:cs="Times New Roman"/>
                <w:sz w:val="18"/>
              </w:rPr>
            </w:pPr>
            <w:r w:rsidRPr="007B218B">
              <w:rPr>
                <w:rFonts w:cs="Times New Roman"/>
                <w:sz w:val="18"/>
              </w:rPr>
              <w:t>[0.8%; 0.9%]</w:t>
            </w:r>
          </w:p>
        </w:tc>
      </w:tr>
      <w:tr w:rsidR="00096A28" w:rsidRPr="00096A28" w14:paraId="334B7A20" w14:textId="77777777" w:rsidTr="00C023AA">
        <w:trPr>
          <w:jc w:val="center"/>
        </w:trPr>
        <w:tc>
          <w:tcPr>
            <w:tcW w:w="9736" w:type="dxa"/>
            <w:gridSpan w:val="5"/>
            <w:tcBorders>
              <w:top w:val="nil"/>
              <w:left w:val="nil"/>
              <w:bottom w:val="nil"/>
              <w:right w:val="nil"/>
            </w:tcBorders>
            <w:vAlign w:val="center"/>
          </w:tcPr>
          <w:p w14:paraId="3BD9F2FC" w14:textId="0598B590" w:rsidR="00096A28" w:rsidRPr="00096A28" w:rsidRDefault="00C023AA" w:rsidP="00096A28">
            <w:pPr>
              <w:jc w:val="both"/>
              <w:rPr>
                <w:rFonts w:cs="Times New Roman"/>
                <w:color w:val="FFC000"/>
                <w:sz w:val="18"/>
              </w:rPr>
            </w:pPr>
            <w:r w:rsidRPr="00096A28">
              <w:rPr>
                <w:rFonts w:cs="Times New Roman"/>
                <w:color w:val="FFC000"/>
                <w:sz w:val="18"/>
              </w:rPr>
              <w:t xml:space="preserve">Note: </w:t>
            </w:r>
            <w:r w:rsidR="00096A28" w:rsidRPr="00096A28">
              <w:rPr>
                <w:rFonts w:cs="Times New Roman"/>
                <w:color w:val="FFC000"/>
                <w:sz w:val="18"/>
              </w:rPr>
              <w:t xml:space="preserve">All reported cost and service metrics are computed over the evaluation window, from day 29 to day T. Warm-up days 1–28 </w:t>
            </w:r>
            <w:proofErr w:type="gramStart"/>
            <w:r w:rsidR="00096A28" w:rsidRPr="00096A28">
              <w:rPr>
                <w:rFonts w:cs="Times New Roman"/>
                <w:color w:val="FFC000"/>
                <w:sz w:val="18"/>
              </w:rPr>
              <w:t>are</w:t>
            </w:r>
            <w:proofErr w:type="gramEnd"/>
            <w:r w:rsidR="00096A28" w:rsidRPr="00096A28">
              <w:rPr>
                <w:rFonts w:cs="Times New Roman"/>
                <w:color w:val="FFC000"/>
                <w:sz w:val="18"/>
              </w:rPr>
              <w:t xml:space="preserve"> excluded from all summaries</w:t>
            </w:r>
          </w:p>
        </w:tc>
      </w:tr>
    </w:tbl>
    <w:p w14:paraId="015FCE62" w14:textId="3729479A" w:rsidR="00B32827" w:rsidRPr="00400420" w:rsidRDefault="00400420" w:rsidP="00400420">
      <w:pPr>
        <w:pStyle w:val="text-base"/>
        <w:jc w:val="both"/>
        <w:rPr>
          <w:color w:val="FFC000"/>
          <w:lang w:val="en-US"/>
        </w:rPr>
      </w:pPr>
      <w:r w:rsidRPr="00400420">
        <w:rPr>
          <w:color w:val="FFC000"/>
          <w:lang w:val="en-US"/>
        </w:rPr>
        <w:t>Under Seasonal Surge (Table 6), Base-stock has the lowest mean cost at both horizons. Hybrid AI performs better than Static and Dynamic, but it remains more costly than Base-stock and Dynamic + Forecast. Relative to Base-stock, mean cost is higher by about 29% at 90 days and 20% at 180 days, and both contrasts remain significant after Holm correction (p&lt;0.01)</w:t>
      </w:r>
      <w:r w:rsidR="00B32827" w:rsidRPr="00400420">
        <w:rPr>
          <w:color w:val="FFC000"/>
          <w:lang w:val="en-US"/>
        </w:rPr>
        <w:t>.</w:t>
      </w:r>
    </w:p>
    <w:p w14:paraId="537D3734" w14:textId="77777777" w:rsidR="00B32827" w:rsidRPr="0073558D" w:rsidRDefault="00B32827" w:rsidP="00B32827">
      <w:pPr>
        <w:pStyle w:val="ng-star-inserted"/>
        <w:spacing w:before="0" w:after="0" w:afterAutospacing="0"/>
        <w:ind w:left="216" w:right="14"/>
        <w:jc w:val="center"/>
        <w:rPr>
          <w:b/>
          <w:bCs/>
          <w:lang w:val="en-US"/>
        </w:rPr>
      </w:pPr>
      <w:r w:rsidRPr="00184C45">
        <w:rPr>
          <w:b/>
          <w:bCs/>
          <w:sz w:val="20"/>
          <w:lang w:val="en-US"/>
        </w:rPr>
        <w:t>Table 6. Comparative performance metrics: Seasonal surge scenario (GA on; 90d and 180d).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2155"/>
        <w:gridCol w:w="1739"/>
        <w:gridCol w:w="2084"/>
        <w:gridCol w:w="1810"/>
      </w:tblGrid>
      <w:tr w:rsidR="00B32827" w14:paraId="19EEAEBE" w14:textId="77777777" w:rsidTr="00C023AA">
        <w:trPr>
          <w:jc w:val="center"/>
        </w:trPr>
        <w:tc>
          <w:tcPr>
            <w:tcW w:w="1948" w:type="dxa"/>
            <w:vAlign w:val="center"/>
          </w:tcPr>
          <w:p w14:paraId="05BBA92D" w14:textId="77777777" w:rsidR="00B32827" w:rsidRPr="007B218B" w:rsidRDefault="00B32827" w:rsidP="00115971">
            <w:pPr>
              <w:rPr>
                <w:rFonts w:cs="Times New Roman"/>
                <w:b/>
                <w:sz w:val="18"/>
              </w:rPr>
            </w:pPr>
            <w:r w:rsidRPr="007B218B">
              <w:rPr>
                <w:rFonts w:cs="Times New Roman"/>
                <w:b/>
                <w:sz w:val="18"/>
              </w:rPr>
              <w:t>Policy</w:t>
            </w:r>
          </w:p>
        </w:tc>
        <w:tc>
          <w:tcPr>
            <w:tcW w:w="2155" w:type="dxa"/>
            <w:vAlign w:val="center"/>
          </w:tcPr>
          <w:p w14:paraId="0B55D5C7" w14:textId="77777777" w:rsidR="00B32827" w:rsidRPr="007B218B" w:rsidRDefault="00B32827" w:rsidP="00C023AA">
            <w:pPr>
              <w:jc w:val="center"/>
              <w:rPr>
                <w:rFonts w:cs="Times New Roman"/>
                <w:b/>
                <w:sz w:val="18"/>
              </w:rPr>
            </w:pPr>
            <w:r w:rsidRPr="007B218B">
              <w:rPr>
                <w:rFonts w:cs="Times New Roman"/>
                <w:b/>
                <w:sz w:val="18"/>
              </w:rPr>
              <w:t>Total cost (90d), mean [95% CI]</w:t>
            </w:r>
          </w:p>
        </w:tc>
        <w:tc>
          <w:tcPr>
            <w:tcW w:w="1739" w:type="dxa"/>
            <w:vAlign w:val="center"/>
          </w:tcPr>
          <w:p w14:paraId="76F6F022" w14:textId="77777777" w:rsidR="00B32827" w:rsidRPr="007B218B" w:rsidRDefault="00B32827" w:rsidP="00C023AA">
            <w:pPr>
              <w:jc w:val="center"/>
              <w:rPr>
                <w:rFonts w:cs="Times New Roman"/>
                <w:b/>
                <w:sz w:val="18"/>
              </w:rPr>
            </w:pPr>
            <w:r w:rsidRPr="007B218B">
              <w:rPr>
                <w:rFonts w:cs="Times New Roman"/>
                <w:b/>
                <w:sz w:val="18"/>
              </w:rPr>
              <w:t>Fill rate (90d), mean [95% CI]</w:t>
            </w:r>
          </w:p>
        </w:tc>
        <w:tc>
          <w:tcPr>
            <w:tcW w:w="2084" w:type="dxa"/>
            <w:vAlign w:val="center"/>
          </w:tcPr>
          <w:p w14:paraId="7A673512" w14:textId="77777777" w:rsidR="00B32827" w:rsidRPr="007B218B" w:rsidRDefault="00B32827" w:rsidP="00C023AA">
            <w:pPr>
              <w:jc w:val="center"/>
              <w:rPr>
                <w:rFonts w:cs="Times New Roman"/>
                <w:b/>
                <w:sz w:val="18"/>
              </w:rPr>
            </w:pPr>
            <w:r w:rsidRPr="007B218B">
              <w:rPr>
                <w:rFonts w:cs="Times New Roman"/>
                <w:b/>
                <w:sz w:val="18"/>
              </w:rPr>
              <w:t>Total cost (180d), mean [95% CI]</w:t>
            </w:r>
          </w:p>
        </w:tc>
        <w:tc>
          <w:tcPr>
            <w:tcW w:w="1810" w:type="dxa"/>
            <w:vAlign w:val="center"/>
          </w:tcPr>
          <w:p w14:paraId="646BE2F5" w14:textId="77777777" w:rsidR="00B32827" w:rsidRPr="007B218B" w:rsidRDefault="00B32827" w:rsidP="00C023AA">
            <w:pPr>
              <w:jc w:val="center"/>
              <w:rPr>
                <w:rFonts w:cs="Times New Roman"/>
                <w:b/>
                <w:sz w:val="18"/>
              </w:rPr>
            </w:pPr>
            <w:r w:rsidRPr="007B218B">
              <w:rPr>
                <w:rFonts w:cs="Times New Roman"/>
                <w:b/>
                <w:sz w:val="18"/>
              </w:rPr>
              <w:t>Fill rate (180d), mean [95% CI]</w:t>
            </w:r>
          </w:p>
        </w:tc>
      </w:tr>
      <w:tr w:rsidR="00B32827" w14:paraId="7D149A8D" w14:textId="77777777" w:rsidTr="00C023AA">
        <w:trPr>
          <w:jc w:val="center"/>
        </w:trPr>
        <w:tc>
          <w:tcPr>
            <w:tcW w:w="1948" w:type="dxa"/>
            <w:vAlign w:val="center"/>
          </w:tcPr>
          <w:p w14:paraId="74B26B6A" w14:textId="77777777" w:rsidR="00B32827" w:rsidRPr="007B218B" w:rsidRDefault="00B32827" w:rsidP="00115971">
            <w:pPr>
              <w:rPr>
                <w:rFonts w:cs="Times New Roman"/>
                <w:bCs/>
                <w:sz w:val="18"/>
              </w:rPr>
            </w:pPr>
            <w:r w:rsidRPr="007B218B">
              <w:rPr>
                <w:rFonts w:cs="Times New Roman"/>
                <w:bCs/>
                <w:sz w:val="18"/>
              </w:rPr>
              <w:t>Static</w:t>
            </w:r>
          </w:p>
        </w:tc>
        <w:tc>
          <w:tcPr>
            <w:tcW w:w="2155" w:type="dxa"/>
            <w:vAlign w:val="center"/>
          </w:tcPr>
          <w:p w14:paraId="7BCFAAC7" w14:textId="77777777" w:rsidR="00B32827" w:rsidRDefault="00B32827" w:rsidP="00115971">
            <w:pPr>
              <w:jc w:val="center"/>
              <w:rPr>
                <w:rFonts w:cs="Times New Roman"/>
                <w:bCs/>
                <w:sz w:val="18"/>
              </w:rPr>
            </w:pPr>
            <w:r w:rsidRPr="007B218B">
              <w:rPr>
                <w:rFonts w:cs="Times New Roman"/>
                <w:bCs/>
                <w:sz w:val="18"/>
              </w:rPr>
              <w:t>13,484,951</w:t>
            </w:r>
          </w:p>
          <w:p w14:paraId="68D79C6F" w14:textId="77777777" w:rsidR="00B32827" w:rsidRPr="007B218B" w:rsidRDefault="00B32827" w:rsidP="00115971">
            <w:pPr>
              <w:jc w:val="center"/>
              <w:rPr>
                <w:rFonts w:cs="Times New Roman"/>
                <w:bCs/>
                <w:sz w:val="18"/>
              </w:rPr>
            </w:pPr>
            <w:r w:rsidRPr="007B218B">
              <w:rPr>
                <w:rFonts w:cs="Times New Roman"/>
                <w:bCs/>
                <w:sz w:val="18"/>
              </w:rPr>
              <w:t>[13,062,807; 13,916,450]</w:t>
            </w:r>
          </w:p>
        </w:tc>
        <w:tc>
          <w:tcPr>
            <w:tcW w:w="1739" w:type="dxa"/>
            <w:vAlign w:val="center"/>
          </w:tcPr>
          <w:p w14:paraId="3299502D" w14:textId="77777777" w:rsidR="00B32827" w:rsidRDefault="00B32827" w:rsidP="00115971">
            <w:pPr>
              <w:jc w:val="center"/>
              <w:rPr>
                <w:rFonts w:cs="Times New Roman"/>
                <w:bCs/>
                <w:sz w:val="18"/>
              </w:rPr>
            </w:pPr>
            <w:r w:rsidRPr="007B218B">
              <w:rPr>
                <w:rFonts w:cs="Times New Roman"/>
                <w:bCs/>
                <w:sz w:val="18"/>
              </w:rPr>
              <w:t>48.3%</w:t>
            </w:r>
          </w:p>
          <w:p w14:paraId="3EA59FDF" w14:textId="77777777" w:rsidR="00B32827" w:rsidRPr="007B218B" w:rsidRDefault="00B32827" w:rsidP="00115971">
            <w:pPr>
              <w:jc w:val="center"/>
              <w:rPr>
                <w:rFonts w:cs="Times New Roman"/>
                <w:bCs/>
                <w:sz w:val="18"/>
              </w:rPr>
            </w:pPr>
            <w:r w:rsidRPr="007B218B">
              <w:rPr>
                <w:rFonts w:cs="Times New Roman"/>
                <w:bCs/>
                <w:sz w:val="18"/>
              </w:rPr>
              <w:t>[47.5%; 48.9%]</w:t>
            </w:r>
          </w:p>
        </w:tc>
        <w:tc>
          <w:tcPr>
            <w:tcW w:w="2084" w:type="dxa"/>
            <w:vAlign w:val="center"/>
          </w:tcPr>
          <w:p w14:paraId="72F2F976" w14:textId="77777777" w:rsidR="00B32827" w:rsidRDefault="00B32827" w:rsidP="00115971">
            <w:pPr>
              <w:jc w:val="center"/>
              <w:rPr>
                <w:rFonts w:cs="Times New Roman"/>
                <w:bCs/>
                <w:sz w:val="18"/>
              </w:rPr>
            </w:pPr>
            <w:r w:rsidRPr="007B218B">
              <w:rPr>
                <w:rFonts w:cs="Times New Roman"/>
                <w:bCs/>
                <w:sz w:val="18"/>
              </w:rPr>
              <w:t>25,658,384</w:t>
            </w:r>
          </w:p>
          <w:p w14:paraId="6E5920B2" w14:textId="77777777" w:rsidR="00B32827" w:rsidRPr="007B218B" w:rsidRDefault="00B32827" w:rsidP="00115971">
            <w:pPr>
              <w:jc w:val="center"/>
              <w:rPr>
                <w:rFonts w:cs="Times New Roman"/>
                <w:bCs/>
                <w:sz w:val="18"/>
              </w:rPr>
            </w:pPr>
            <w:r w:rsidRPr="007B218B">
              <w:rPr>
                <w:rFonts w:cs="Times New Roman"/>
                <w:bCs/>
                <w:sz w:val="18"/>
              </w:rPr>
              <w:t>[25,160,511; 26,223,922]</w:t>
            </w:r>
          </w:p>
        </w:tc>
        <w:tc>
          <w:tcPr>
            <w:tcW w:w="1810" w:type="dxa"/>
            <w:vAlign w:val="center"/>
          </w:tcPr>
          <w:p w14:paraId="6C483E2E" w14:textId="77777777" w:rsidR="00B32827" w:rsidRDefault="00B32827" w:rsidP="00115971">
            <w:pPr>
              <w:jc w:val="center"/>
              <w:rPr>
                <w:rFonts w:cs="Times New Roman"/>
                <w:bCs/>
                <w:sz w:val="18"/>
              </w:rPr>
            </w:pPr>
            <w:r w:rsidRPr="007B218B">
              <w:rPr>
                <w:rFonts w:cs="Times New Roman"/>
                <w:bCs/>
                <w:sz w:val="18"/>
              </w:rPr>
              <w:t>49.6%</w:t>
            </w:r>
          </w:p>
          <w:p w14:paraId="2A864BBF" w14:textId="77777777" w:rsidR="00B32827" w:rsidRPr="007B218B" w:rsidRDefault="00B32827" w:rsidP="00115971">
            <w:pPr>
              <w:jc w:val="center"/>
              <w:rPr>
                <w:rFonts w:cs="Times New Roman"/>
                <w:bCs/>
                <w:sz w:val="18"/>
              </w:rPr>
            </w:pPr>
            <w:r w:rsidRPr="007B218B">
              <w:rPr>
                <w:rFonts w:cs="Times New Roman"/>
                <w:bCs/>
                <w:sz w:val="18"/>
              </w:rPr>
              <w:t>[49.1%; 50.1%]</w:t>
            </w:r>
          </w:p>
        </w:tc>
      </w:tr>
      <w:tr w:rsidR="00B32827" w14:paraId="032448C6" w14:textId="77777777" w:rsidTr="00C023AA">
        <w:trPr>
          <w:jc w:val="center"/>
        </w:trPr>
        <w:tc>
          <w:tcPr>
            <w:tcW w:w="1948" w:type="dxa"/>
            <w:vAlign w:val="center"/>
          </w:tcPr>
          <w:p w14:paraId="1A7A0DF5" w14:textId="77777777" w:rsidR="00B32827" w:rsidRPr="007B218B" w:rsidRDefault="00B32827" w:rsidP="00115971">
            <w:pPr>
              <w:rPr>
                <w:rFonts w:cs="Times New Roman"/>
                <w:bCs/>
                <w:sz w:val="18"/>
              </w:rPr>
            </w:pPr>
            <w:r w:rsidRPr="007B218B">
              <w:rPr>
                <w:rFonts w:cs="Times New Roman"/>
                <w:bCs/>
                <w:sz w:val="18"/>
              </w:rPr>
              <w:t>Dynamic</w:t>
            </w:r>
          </w:p>
        </w:tc>
        <w:tc>
          <w:tcPr>
            <w:tcW w:w="2155" w:type="dxa"/>
            <w:vAlign w:val="center"/>
          </w:tcPr>
          <w:p w14:paraId="577637DC" w14:textId="77777777" w:rsidR="00B32827" w:rsidRDefault="00B32827" w:rsidP="00115971">
            <w:pPr>
              <w:jc w:val="center"/>
              <w:rPr>
                <w:rFonts w:cs="Times New Roman"/>
                <w:bCs/>
                <w:sz w:val="18"/>
              </w:rPr>
            </w:pPr>
            <w:r w:rsidRPr="007B218B">
              <w:rPr>
                <w:rFonts w:cs="Times New Roman"/>
                <w:bCs/>
                <w:sz w:val="18"/>
              </w:rPr>
              <w:t>8,832,438</w:t>
            </w:r>
          </w:p>
          <w:p w14:paraId="6D49D42D" w14:textId="77777777" w:rsidR="00B32827" w:rsidRPr="007B218B" w:rsidRDefault="00B32827" w:rsidP="00115971">
            <w:pPr>
              <w:jc w:val="center"/>
              <w:rPr>
                <w:rFonts w:cs="Times New Roman"/>
                <w:bCs/>
                <w:sz w:val="18"/>
              </w:rPr>
            </w:pPr>
            <w:r w:rsidRPr="007B218B">
              <w:rPr>
                <w:rFonts w:cs="Times New Roman"/>
                <w:bCs/>
                <w:sz w:val="18"/>
              </w:rPr>
              <w:t>[8,491,625; 9,173,063]</w:t>
            </w:r>
          </w:p>
        </w:tc>
        <w:tc>
          <w:tcPr>
            <w:tcW w:w="1739" w:type="dxa"/>
            <w:vAlign w:val="center"/>
          </w:tcPr>
          <w:p w14:paraId="445DB9B5" w14:textId="77777777" w:rsidR="00B32827" w:rsidRDefault="00B32827" w:rsidP="00115971">
            <w:pPr>
              <w:jc w:val="center"/>
              <w:rPr>
                <w:rFonts w:cs="Times New Roman"/>
                <w:bCs/>
                <w:sz w:val="18"/>
              </w:rPr>
            </w:pPr>
            <w:r w:rsidRPr="007B218B">
              <w:rPr>
                <w:rFonts w:cs="Times New Roman"/>
                <w:bCs/>
                <w:sz w:val="18"/>
              </w:rPr>
              <w:t>66.3%</w:t>
            </w:r>
          </w:p>
          <w:p w14:paraId="5AAA3C3B" w14:textId="77777777" w:rsidR="00B32827" w:rsidRPr="007B218B" w:rsidRDefault="00B32827" w:rsidP="00115971">
            <w:pPr>
              <w:jc w:val="center"/>
              <w:rPr>
                <w:rFonts w:cs="Times New Roman"/>
                <w:bCs/>
                <w:sz w:val="18"/>
              </w:rPr>
            </w:pPr>
            <w:r w:rsidRPr="007B218B">
              <w:rPr>
                <w:rFonts w:cs="Times New Roman"/>
                <w:bCs/>
                <w:sz w:val="18"/>
              </w:rPr>
              <w:t>[65.8%; 66.8%]</w:t>
            </w:r>
          </w:p>
        </w:tc>
        <w:tc>
          <w:tcPr>
            <w:tcW w:w="2084" w:type="dxa"/>
            <w:vAlign w:val="center"/>
          </w:tcPr>
          <w:p w14:paraId="4FD5775A" w14:textId="77777777" w:rsidR="00B32827" w:rsidRDefault="00B32827" w:rsidP="00115971">
            <w:pPr>
              <w:jc w:val="center"/>
              <w:rPr>
                <w:rFonts w:cs="Times New Roman"/>
                <w:bCs/>
                <w:sz w:val="18"/>
              </w:rPr>
            </w:pPr>
            <w:r w:rsidRPr="007B218B">
              <w:rPr>
                <w:rFonts w:cs="Times New Roman"/>
                <w:bCs/>
                <w:sz w:val="18"/>
              </w:rPr>
              <w:t>16,144,028</w:t>
            </w:r>
          </w:p>
          <w:p w14:paraId="4B50A251" w14:textId="77777777" w:rsidR="00B32827" w:rsidRPr="007B218B" w:rsidRDefault="00B32827" w:rsidP="00115971">
            <w:pPr>
              <w:jc w:val="center"/>
              <w:rPr>
                <w:rFonts w:cs="Times New Roman"/>
                <w:bCs/>
                <w:sz w:val="18"/>
              </w:rPr>
            </w:pPr>
            <w:r w:rsidRPr="007B218B">
              <w:rPr>
                <w:rFonts w:cs="Times New Roman"/>
                <w:bCs/>
                <w:sz w:val="18"/>
              </w:rPr>
              <w:t>[15,723,680; 16,589,276]</w:t>
            </w:r>
          </w:p>
        </w:tc>
        <w:tc>
          <w:tcPr>
            <w:tcW w:w="1810" w:type="dxa"/>
            <w:vAlign w:val="center"/>
          </w:tcPr>
          <w:p w14:paraId="6F6FE978" w14:textId="77777777" w:rsidR="00B32827" w:rsidRDefault="00B32827" w:rsidP="00115971">
            <w:pPr>
              <w:jc w:val="center"/>
              <w:rPr>
                <w:rFonts w:cs="Times New Roman"/>
                <w:bCs/>
                <w:sz w:val="18"/>
              </w:rPr>
            </w:pPr>
            <w:r w:rsidRPr="007B218B">
              <w:rPr>
                <w:rFonts w:cs="Times New Roman"/>
                <w:bCs/>
                <w:sz w:val="18"/>
              </w:rPr>
              <w:t>68.3%</w:t>
            </w:r>
          </w:p>
          <w:p w14:paraId="335C9DF3" w14:textId="77777777" w:rsidR="00B32827" w:rsidRPr="007B218B" w:rsidRDefault="00B32827" w:rsidP="00115971">
            <w:pPr>
              <w:jc w:val="center"/>
              <w:rPr>
                <w:rFonts w:cs="Times New Roman"/>
                <w:bCs/>
                <w:sz w:val="18"/>
              </w:rPr>
            </w:pPr>
            <w:r w:rsidRPr="007B218B">
              <w:rPr>
                <w:rFonts w:cs="Times New Roman"/>
                <w:bCs/>
                <w:sz w:val="18"/>
              </w:rPr>
              <w:t>[67.9%; 68.6%]</w:t>
            </w:r>
          </w:p>
        </w:tc>
      </w:tr>
      <w:tr w:rsidR="00B32827" w14:paraId="79B49B2D" w14:textId="77777777" w:rsidTr="00C023AA">
        <w:trPr>
          <w:jc w:val="center"/>
        </w:trPr>
        <w:tc>
          <w:tcPr>
            <w:tcW w:w="1948" w:type="dxa"/>
            <w:vAlign w:val="center"/>
          </w:tcPr>
          <w:p w14:paraId="22089113" w14:textId="77777777" w:rsidR="00B32827" w:rsidRPr="007B218B" w:rsidRDefault="00B32827" w:rsidP="00115971">
            <w:pPr>
              <w:rPr>
                <w:rFonts w:cs="Times New Roman"/>
                <w:bCs/>
                <w:sz w:val="18"/>
              </w:rPr>
            </w:pPr>
            <w:r w:rsidRPr="007B218B">
              <w:rPr>
                <w:rFonts w:cs="Times New Roman"/>
                <w:bCs/>
                <w:sz w:val="18"/>
              </w:rPr>
              <w:t>Dynamic + Forecast</w:t>
            </w:r>
          </w:p>
        </w:tc>
        <w:tc>
          <w:tcPr>
            <w:tcW w:w="2155" w:type="dxa"/>
            <w:vAlign w:val="center"/>
          </w:tcPr>
          <w:p w14:paraId="3DB241C6" w14:textId="77777777" w:rsidR="00B32827" w:rsidRDefault="00B32827" w:rsidP="00115971">
            <w:pPr>
              <w:jc w:val="center"/>
              <w:rPr>
                <w:rFonts w:cs="Times New Roman"/>
                <w:bCs/>
                <w:sz w:val="18"/>
              </w:rPr>
            </w:pPr>
            <w:r w:rsidRPr="007B218B">
              <w:rPr>
                <w:rFonts w:cs="Times New Roman"/>
                <w:bCs/>
                <w:sz w:val="18"/>
              </w:rPr>
              <w:t>2,027,499</w:t>
            </w:r>
          </w:p>
          <w:p w14:paraId="7A92186D" w14:textId="77777777" w:rsidR="00B32827" w:rsidRPr="007B218B" w:rsidRDefault="00B32827" w:rsidP="00115971">
            <w:pPr>
              <w:jc w:val="center"/>
              <w:rPr>
                <w:rFonts w:cs="Times New Roman"/>
                <w:bCs/>
                <w:sz w:val="18"/>
              </w:rPr>
            </w:pPr>
            <w:r w:rsidRPr="007B218B">
              <w:rPr>
                <w:rFonts w:cs="Times New Roman"/>
                <w:bCs/>
                <w:sz w:val="18"/>
              </w:rPr>
              <w:t>[1,844,194; 2,228,878]</w:t>
            </w:r>
          </w:p>
        </w:tc>
        <w:tc>
          <w:tcPr>
            <w:tcW w:w="1739" w:type="dxa"/>
            <w:vAlign w:val="center"/>
          </w:tcPr>
          <w:p w14:paraId="51C00316" w14:textId="77777777" w:rsidR="00B32827" w:rsidRDefault="00B32827" w:rsidP="00115971">
            <w:pPr>
              <w:jc w:val="center"/>
              <w:rPr>
                <w:rFonts w:cs="Times New Roman"/>
                <w:bCs/>
                <w:sz w:val="18"/>
              </w:rPr>
            </w:pPr>
            <w:r w:rsidRPr="007B218B">
              <w:rPr>
                <w:rFonts w:cs="Times New Roman"/>
                <w:bCs/>
                <w:sz w:val="18"/>
              </w:rPr>
              <w:t>93.6%</w:t>
            </w:r>
          </w:p>
          <w:p w14:paraId="4E4335A3" w14:textId="77777777" w:rsidR="00B32827" w:rsidRPr="007B218B" w:rsidRDefault="00B32827" w:rsidP="00115971">
            <w:pPr>
              <w:jc w:val="center"/>
              <w:rPr>
                <w:rFonts w:cs="Times New Roman"/>
                <w:bCs/>
                <w:sz w:val="18"/>
              </w:rPr>
            </w:pPr>
            <w:r w:rsidRPr="007B218B">
              <w:rPr>
                <w:rFonts w:cs="Times New Roman"/>
                <w:bCs/>
                <w:sz w:val="18"/>
              </w:rPr>
              <w:t>[93.2%; 94.0%]</w:t>
            </w:r>
          </w:p>
        </w:tc>
        <w:tc>
          <w:tcPr>
            <w:tcW w:w="2084" w:type="dxa"/>
            <w:vAlign w:val="center"/>
          </w:tcPr>
          <w:p w14:paraId="036D9578" w14:textId="77777777" w:rsidR="00B32827" w:rsidRDefault="00B32827" w:rsidP="00115971">
            <w:pPr>
              <w:jc w:val="center"/>
              <w:rPr>
                <w:rFonts w:cs="Times New Roman"/>
                <w:bCs/>
                <w:sz w:val="18"/>
              </w:rPr>
            </w:pPr>
            <w:r w:rsidRPr="007B218B">
              <w:rPr>
                <w:rFonts w:cs="Times New Roman"/>
                <w:bCs/>
                <w:sz w:val="18"/>
              </w:rPr>
              <w:t>1,961,911</w:t>
            </w:r>
          </w:p>
          <w:p w14:paraId="1E0BDB9C" w14:textId="77777777" w:rsidR="00B32827" w:rsidRPr="007B218B" w:rsidRDefault="00B32827" w:rsidP="00115971">
            <w:pPr>
              <w:jc w:val="center"/>
              <w:rPr>
                <w:rFonts w:cs="Times New Roman"/>
                <w:bCs/>
                <w:sz w:val="18"/>
              </w:rPr>
            </w:pPr>
            <w:r w:rsidRPr="007B218B">
              <w:rPr>
                <w:rFonts w:cs="Times New Roman"/>
                <w:bCs/>
                <w:sz w:val="18"/>
              </w:rPr>
              <w:t>[1,825,802; 2,094,761]</w:t>
            </w:r>
          </w:p>
        </w:tc>
        <w:tc>
          <w:tcPr>
            <w:tcW w:w="1810" w:type="dxa"/>
            <w:vAlign w:val="center"/>
          </w:tcPr>
          <w:p w14:paraId="47F4C04B" w14:textId="77777777" w:rsidR="00B32827" w:rsidRDefault="00B32827" w:rsidP="00115971">
            <w:pPr>
              <w:jc w:val="center"/>
              <w:rPr>
                <w:rFonts w:cs="Times New Roman"/>
                <w:bCs/>
                <w:sz w:val="18"/>
              </w:rPr>
            </w:pPr>
            <w:r w:rsidRPr="007B218B">
              <w:rPr>
                <w:rFonts w:cs="Times New Roman"/>
                <w:bCs/>
                <w:sz w:val="18"/>
              </w:rPr>
              <w:t>96.7%</w:t>
            </w:r>
          </w:p>
          <w:p w14:paraId="1381E82C" w14:textId="77777777" w:rsidR="00B32827" w:rsidRPr="007B218B" w:rsidRDefault="00B32827" w:rsidP="00115971">
            <w:pPr>
              <w:jc w:val="center"/>
              <w:rPr>
                <w:rFonts w:cs="Times New Roman"/>
                <w:bCs/>
                <w:sz w:val="18"/>
              </w:rPr>
            </w:pPr>
            <w:r w:rsidRPr="007B218B">
              <w:rPr>
                <w:rFonts w:cs="Times New Roman"/>
                <w:bCs/>
                <w:sz w:val="18"/>
              </w:rPr>
              <w:t>[96.5%; 96.9%]</w:t>
            </w:r>
          </w:p>
        </w:tc>
      </w:tr>
      <w:tr w:rsidR="00B32827" w14:paraId="7496E67E" w14:textId="77777777" w:rsidTr="00C023AA">
        <w:trPr>
          <w:jc w:val="center"/>
        </w:trPr>
        <w:tc>
          <w:tcPr>
            <w:tcW w:w="1948" w:type="dxa"/>
            <w:vAlign w:val="center"/>
          </w:tcPr>
          <w:p w14:paraId="20B1FA39" w14:textId="77777777" w:rsidR="00B32827" w:rsidRPr="007B218B" w:rsidRDefault="00B32827" w:rsidP="00115971">
            <w:pPr>
              <w:rPr>
                <w:rFonts w:cs="Times New Roman"/>
                <w:bCs/>
                <w:sz w:val="18"/>
              </w:rPr>
            </w:pPr>
            <w:r w:rsidRPr="007B218B">
              <w:rPr>
                <w:rFonts w:cs="Times New Roman"/>
                <w:bCs/>
                <w:sz w:val="18"/>
              </w:rPr>
              <w:t>Base-stock (Uncertain)</w:t>
            </w:r>
          </w:p>
        </w:tc>
        <w:tc>
          <w:tcPr>
            <w:tcW w:w="2155" w:type="dxa"/>
            <w:vAlign w:val="center"/>
          </w:tcPr>
          <w:p w14:paraId="66D90D55" w14:textId="77777777" w:rsidR="00B32827" w:rsidRDefault="00B32827" w:rsidP="00115971">
            <w:pPr>
              <w:jc w:val="center"/>
              <w:rPr>
                <w:rFonts w:cs="Times New Roman"/>
                <w:bCs/>
                <w:sz w:val="18"/>
              </w:rPr>
            </w:pPr>
            <w:r w:rsidRPr="007B218B">
              <w:rPr>
                <w:rFonts w:cs="Times New Roman"/>
                <w:bCs/>
                <w:sz w:val="18"/>
              </w:rPr>
              <w:t>1,904,367</w:t>
            </w:r>
          </w:p>
          <w:p w14:paraId="2FE171A9" w14:textId="77777777" w:rsidR="00B32827" w:rsidRPr="007B218B" w:rsidRDefault="00B32827" w:rsidP="00115971">
            <w:pPr>
              <w:jc w:val="center"/>
              <w:rPr>
                <w:rFonts w:cs="Times New Roman"/>
                <w:bCs/>
                <w:sz w:val="18"/>
              </w:rPr>
            </w:pPr>
            <w:r w:rsidRPr="007B218B">
              <w:rPr>
                <w:rFonts w:cs="Times New Roman"/>
                <w:bCs/>
                <w:sz w:val="18"/>
              </w:rPr>
              <w:t>[1,740,334; 2,089,007]</w:t>
            </w:r>
          </w:p>
        </w:tc>
        <w:tc>
          <w:tcPr>
            <w:tcW w:w="1739" w:type="dxa"/>
            <w:vAlign w:val="center"/>
          </w:tcPr>
          <w:p w14:paraId="76D23CEE" w14:textId="77777777" w:rsidR="00B32827" w:rsidRDefault="00B32827" w:rsidP="00115971">
            <w:pPr>
              <w:jc w:val="center"/>
              <w:rPr>
                <w:rFonts w:cs="Times New Roman"/>
                <w:bCs/>
                <w:sz w:val="18"/>
              </w:rPr>
            </w:pPr>
            <w:r w:rsidRPr="007B218B">
              <w:rPr>
                <w:rFonts w:cs="Times New Roman"/>
                <w:bCs/>
                <w:sz w:val="18"/>
              </w:rPr>
              <w:t>94.0%</w:t>
            </w:r>
          </w:p>
          <w:p w14:paraId="7A785CCF" w14:textId="77777777" w:rsidR="00B32827" w:rsidRPr="007B218B" w:rsidRDefault="00B32827" w:rsidP="00115971">
            <w:pPr>
              <w:jc w:val="center"/>
              <w:rPr>
                <w:rFonts w:cs="Times New Roman"/>
                <w:bCs/>
                <w:sz w:val="18"/>
              </w:rPr>
            </w:pPr>
            <w:r w:rsidRPr="007B218B">
              <w:rPr>
                <w:rFonts w:cs="Times New Roman"/>
                <w:bCs/>
                <w:sz w:val="18"/>
              </w:rPr>
              <w:t>[93.6%; 94.3%]</w:t>
            </w:r>
          </w:p>
        </w:tc>
        <w:tc>
          <w:tcPr>
            <w:tcW w:w="2084" w:type="dxa"/>
            <w:vAlign w:val="center"/>
          </w:tcPr>
          <w:p w14:paraId="768D7632" w14:textId="77777777" w:rsidR="00B32827" w:rsidRDefault="00B32827" w:rsidP="00115971">
            <w:pPr>
              <w:jc w:val="center"/>
              <w:rPr>
                <w:rFonts w:cs="Times New Roman"/>
                <w:bCs/>
                <w:sz w:val="18"/>
              </w:rPr>
            </w:pPr>
            <w:r w:rsidRPr="007B218B">
              <w:rPr>
                <w:rFonts w:cs="Times New Roman"/>
                <w:bCs/>
                <w:sz w:val="18"/>
              </w:rPr>
              <w:t>1,932,887</w:t>
            </w:r>
          </w:p>
          <w:p w14:paraId="2BFC45E4" w14:textId="77777777" w:rsidR="00B32827" w:rsidRPr="007B218B" w:rsidRDefault="00B32827" w:rsidP="00115971">
            <w:pPr>
              <w:jc w:val="center"/>
              <w:rPr>
                <w:rFonts w:cs="Times New Roman"/>
                <w:bCs/>
                <w:sz w:val="18"/>
              </w:rPr>
            </w:pPr>
            <w:r w:rsidRPr="007B218B">
              <w:rPr>
                <w:rFonts w:cs="Times New Roman"/>
                <w:bCs/>
                <w:sz w:val="18"/>
              </w:rPr>
              <w:t>[1,791,865; 2,075,153]</w:t>
            </w:r>
          </w:p>
        </w:tc>
        <w:tc>
          <w:tcPr>
            <w:tcW w:w="1810" w:type="dxa"/>
            <w:vAlign w:val="center"/>
          </w:tcPr>
          <w:p w14:paraId="0811FAB2" w14:textId="77777777" w:rsidR="00B32827" w:rsidRDefault="00B32827" w:rsidP="00115971">
            <w:pPr>
              <w:jc w:val="center"/>
              <w:rPr>
                <w:rFonts w:cs="Times New Roman"/>
                <w:bCs/>
                <w:sz w:val="18"/>
              </w:rPr>
            </w:pPr>
            <w:r w:rsidRPr="007B218B">
              <w:rPr>
                <w:rFonts w:cs="Times New Roman"/>
                <w:bCs/>
                <w:sz w:val="18"/>
              </w:rPr>
              <w:t>96.9%</w:t>
            </w:r>
          </w:p>
          <w:p w14:paraId="34CB415A" w14:textId="77777777" w:rsidR="00B32827" w:rsidRPr="007B218B" w:rsidRDefault="00B32827" w:rsidP="00115971">
            <w:pPr>
              <w:jc w:val="center"/>
              <w:rPr>
                <w:rFonts w:cs="Times New Roman"/>
                <w:bCs/>
                <w:sz w:val="18"/>
              </w:rPr>
            </w:pPr>
            <w:r w:rsidRPr="007B218B">
              <w:rPr>
                <w:rFonts w:cs="Times New Roman"/>
                <w:bCs/>
                <w:sz w:val="18"/>
              </w:rPr>
              <w:t>[96.7%; 97.1%]</w:t>
            </w:r>
          </w:p>
        </w:tc>
      </w:tr>
      <w:tr w:rsidR="00B32827" w14:paraId="238FFCDE" w14:textId="77777777" w:rsidTr="00C023AA">
        <w:trPr>
          <w:jc w:val="center"/>
        </w:trPr>
        <w:tc>
          <w:tcPr>
            <w:tcW w:w="1948" w:type="dxa"/>
            <w:vAlign w:val="center"/>
          </w:tcPr>
          <w:p w14:paraId="5C1576F1" w14:textId="77777777" w:rsidR="00B32827" w:rsidRPr="007B218B" w:rsidRDefault="00B32827" w:rsidP="00115971">
            <w:pPr>
              <w:rPr>
                <w:rFonts w:cs="Times New Roman"/>
                <w:bCs/>
                <w:sz w:val="18"/>
              </w:rPr>
            </w:pPr>
            <w:r w:rsidRPr="007B218B">
              <w:rPr>
                <w:rFonts w:cs="Times New Roman"/>
                <w:bCs/>
                <w:sz w:val="18"/>
              </w:rPr>
              <w:t>Hybrid AI</w:t>
            </w:r>
          </w:p>
        </w:tc>
        <w:tc>
          <w:tcPr>
            <w:tcW w:w="2155" w:type="dxa"/>
            <w:vAlign w:val="center"/>
          </w:tcPr>
          <w:p w14:paraId="3E80EF77" w14:textId="77777777" w:rsidR="00B32827" w:rsidRDefault="00B32827" w:rsidP="00115971">
            <w:pPr>
              <w:jc w:val="center"/>
              <w:rPr>
                <w:rFonts w:cs="Times New Roman"/>
                <w:bCs/>
                <w:sz w:val="18"/>
              </w:rPr>
            </w:pPr>
            <w:r w:rsidRPr="007B218B">
              <w:rPr>
                <w:rFonts w:cs="Times New Roman"/>
                <w:bCs/>
                <w:sz w:val="18"/>
              </w:rPr>
              <w:t>2,460,174</w:t>
            </w:r>
          </w:p>
          <w:p w14:paraId="736F81FE" w14:textId="77777777" w:rsidR="00B32827" w:rsidRPr="007B218B" w:rsidRDefault="00B32827" w:rsidP="00115971">
            <w:pPr>
              <w:jc w:val="center"/>
              <w:rPr>
                <w:rFonts w:cs="Times New Roman"/>
                <w:bCs/>
                <w:sz w:val="18"/>
              </w:rPr>
            </w:pPr>
            <w:r w:rsidRPr="007B218B">
              <w:rPr>
                <w:rFonts w:cs="Times New Roman"/>
                <w:bCs/>
                <w:sz w:val="18"/>
              </w:rPr>
              <w:t>[2,218,107; 2,711,996]</w:t>
            </w:r>
          </w:p>
        </w:tc>
        <w:tc>
          <w:tcPr>
            <w:tcW w:w="1739" w:type="dxa"/>
            <w:vAlign w:val="center"/>
          </w:tcPr>
          <w:p w14:paraId="17DADE58" w14:textId="77777777" w:rsidR="00B32827" w:rsidRDefault="00B32827" w:rsidP="00115971">
            <w:pPr>
              <w:jc w:val="center"/>
              <w:rPr>
                <w:rFonts w:cs="Times New Roman"/>
                <w:bCs/>
                <w:sz w:val="18"/>
              </w:rPr>
            </w:pPr>
            <w:r w:rsidRPr="007B218B">
              <w:rPr>
                <w:rFonts w:cs="Times New Roman"/>
                <w:bCs/>
                <w:sz w:val="18"/>
              </w:rPr>
              <w:t>91.9%</w:t>
            </w:r>
          </w:p>
          <w:p w14:paraId="42908D31" w14:textId="77777777" w:rsidR="00B32827" w:rsidRPr="007B218B" w:rsidRDefault="00B32827" w:rsidP="00115971">
            <w:pPr>
              <w:jc w:val="center"/>
              <w:rPr>
                <w:rFonts w:cs="Times New Roman"/>
                <w:bCs/>
                <w:sz w:val="18"/>
              </w:rPr>
            </w:pPr>
            <w:r w:rsidRPr="007B218B">
              <w:rPr>
                <w:rFonts w:cs="Times New Roman"/>
                <w:bCs/>
                <w:sz w:val="18"/>
              </w:rPr>
              <w:t>[91.0%; 92.6%]</w:t>
            </w:r>
          </w:p>
        </w:tc>
        <w:tc>
          <w:tcPr>
            <w:tcW w:w="2084" w:type="dxa"/>
            <w:vAlign w:val="center"/>
          </w:tcPr>
          <w:p w14:paraId="3E85659F" w14:textId="77777777" w:rsidR="00B32827" w:rsidRDefault="00B32827" w:rsidP="00115971">
            <w:pPr>
              <w:jc w:val="center"/>
              <w:rPr>
                <w:rFonts w:cs="Times New Roman"/>
                <w:bCs/>
                <w:sz w:val="18"/>
              </w:rPr>
            </w:pPr>
            <w:r w:rsidRPr="007B218B">
              <w:rPr>
                <w:rFonts w:cs="Times New Roman"/>
                <w:bCs/>
                <w:sz w:val="18"/>
              </w:rPr>
              <w:t>2,317,754</w:t>
            </w:r>
          </w:p>
          <w:p w14:paraId="1E984FEB" w14:textId="77777777" w:rsidR="00B32827" w:rsidRPr="007B218B" w:rsidRDefault="00B32827" w:rsidP="00115971">
            <w:pPr>
              <w:jc w:val="center"/>
              <w:rPr>
                <w:rFonts w:cs="Times New Roman"/>
                <w:bCs/>
                <w:sz w:val="18"/>
              </w:rPr>
            </w:pPr>
            <w:r w:rsidRPr="007B218B">
              <w:rPr>
                <w:rFonts w:cs="Times New Roman"/>
                <w:bCs/>
                <w:sz w:val="18"/>
              </w:rPr>
              <w:t>[2,138,756; 2,486,459]</w:t>
            </w:r>
          </w:p>
        </w:tc>
        <w:tc>
          <w:tcPr>
            <w:tcW w:w="1810" w:type="dxa"/>
            <w:vAlign w:val="center"/>
          </w:tcPr>
          <w:p w14:paraId="543EA4F7" w14:textId="77777777" w:rsidR="00B32827" w:rsidRDefault="00B32827" w:rsidP="00115971">
            <w:pPr>
              <w:jc w:val="center"/>
              <w:rPr>
                <w:rFonts w:cs="Times New Roman"/>
                <w:bCs/>
                <w:sz w:val="18"/>
              </w:rPr>
            </w:pPr>
            <w:r w:rsidRPr="007B218B">
              <w:rPr>
                <w:rFonts w:cs="Times New Roman"/>
                <w:bCs/>
                <w:sz w:val="18"/>
              </w:rPr>
              <w:t>96.2%</w:t>
            </w:r>
          </w:p>
          <w:p w14:paraId="024B7339" w14:textId="77777777" w:rsidR="00B32827" w:rsidRPr="007B218B" w:rsidRDefault="00B32827" w:rsidP="00115971">
            <w:pPr>
              <w:jc w:val="center"/>
              <w:rPr>
                <w:rFonts w:cs="Times New Roman"/>
                <w:bCs/>
                <w:sz w:val="18"/>
              </w:rPr>
            </w:pPr>
            <w:r w:rsidRPr="007B218B">
              <w:rPr>
                <w:rFonts w:cs="Times New Roman"/>
                <w:bCs/>
                <w:sz w:val="18"/>
              </w:rPr>
              <w:t>[95.9%; 96.5%]</w:t>
            </w:r>
          </w:p>
        </w:tc>
      </w:tr>
      <w:tr w:rsidR="00CC5897" w:rsidRPr="00CC5897" w14:paraId="7BAD62B5" w14:textId="77777777" w:rsidTr="00274BD9">
        <w:trPr>
          <w:jc w:val="center"/>
        </w:trPr>
        <w:tc>
          <w:tcPr>
            <w:tcW w:w="9736" w:type="dxa"/>
            <w:gridSpan w:val="5"/>
            <w:vAlign w:val="center"/>
          </w:tcPr>
          <w:p w14:paraId="2A258007" w14:textId="2E72E31F" w:rsidR="00C023AA" w:rsidRPr="00CC5897" w:rsidRDefault="00C023AA" w:rsidP="00C023AA">
            <w:pPr>
              <w:rPr>
                <w:rFonts w:cs="Times New Roman"/>
                <w:bCs/>
                <w:color w:val="FFC000"/>
                <w:sz w:val="18"/>
              </w:rPr>
            </w:pPr>
            <w:r w:rsidRPr="00CC5897">
              <w:rPr>
                <w:rFonts w:cs="Times New Roman"/>
                <w:iCs/>
                <w:color w:val="FFC000"/>
                <w:szCs w:val="20"/>
              </w:rPr>
              <w:t xml:space="preserve">Note: </w:t>
            </w:r>
            <w:r w:rsidR="00CC5897" w:rsidRPr="00CC5897">
              <w:rPr>
                <w:rFonts w:cs="Times New Roman"/>
                <w:iCs/>
                <w:color w:val="FFC000"/>
                <w:szCs w:val="20"/>
              </w:rPr>
              <w:t>Cost and service metrics are computed only over the evaluation window, from day 29 through day T. Warm-up days 1 to 28 are excluded from all reported summaries.</w:t>
            </w:r>
          </w:p>
        </w:tc>
      </w:tr>
    </w:tbl>
    <w:p w14:paraId="0E457EEB" w14:textId="456BCE63" w:rsidR="006B14D8" w:rsidRPr="00130595" w:rsidRDefault="006B14D8" w:rsidP="00B32827">
      <w:pPr>
        <w:pStyle w:val="text-base"/>
        <w:spacing w:before="0" w:after="0"/>
        <w:jc w:val="both"/>
        <w:rPr>
          <w:color w:val="000000" w:themeColor="text1"/>
          <w:lang w:val="en-US"/>
        </w:rPr>
      </w:pPr>
      <w:r w:rsidRPr="00211F52">
        <w:rPr>
          <w:lang w:val="en-US"/>
        </w:rPr>
        <w:t>The evaluated hybrid policy outperforms tuned classical controls under stable demand, remains close to them under high volatility, but breaks down under supply disruption and loses to tuned baselines under seasonal surge. These results do not support system-wide replacement of classical inventory policies in the present form.</w:t>
      </w:r>
    </w:p>
    <w:p w14:paraId="1B22BF50" w14:textId="77777777" w:rsidR="009A2D53" w:rsidRPr="00130595" w:rsidRDefault="00000000" w:rsidP="00130595">
      <w:pPr>
        <w:pStyle w:val="text-base"/>
        <w:spacing w:before="0" w:after="0"/>
        <w:jc w:val="both"/>
        <w:rPr>
          <w:color w:val="000000" w:themeColor="text1"/>
          <w:lang w:val="en-US"/>
        </w:rPr>
      </w:pPr>
      <w:r w:rsidRPr="00211F52">
        <w:rPr>
          <w:lang w:val="en-US"/>
        </w:rPr>
        <w:lastRenderedPageBreak/>
        <w:t>Table 7 reports conservative lower bounds on breach frequency derived from mean fill rates in the primary paired grid. To complement that aggregate bound with empirical tail behavior, Table 8 reports replication-level service-risk and cost-tail metrics from the targeted multi-seed sensitivity analysis.</w:t>
      </w:r>
    </w:p>
    <w:p w14:paraId="1F120D8C" w14:textId="77777777" w:rsidR="009A2D53" w:rsidRDefault="00000000">
      <w:pPr>
        <w:pStyle w:val="Corpodetexto"/>
      </w:pPr>
      <w:r>
        <w:rPr>
          <w:b/>
        </w:rPr>
        <w:t>Table 7. Conservative lower bounds on fill-rate breach frequency (service floor = 0.90).</w:t>
      </w:r>
    </w:p>
    <w:tbl>
      <w:tblPr>
        <w:tblStyle w:val="Tabelacomgrade"/>
        <w:tblW w:w="0" w:type="auto"/>
        <w:jc w:val="center"/>
        <w:tblLook w:val="04A0" w:firstRow="1" w:lastRow="0" w:firstColumn="1" w:lastColumn="0" w:noHBand="0" w:noVBand="1"/>
      </w:tblPr>
      <w:tblGrid>
        <w:gridCol w:w="2735"/>
        <w:gridCol w:w="3168"/>
        <w:gridCol w:w="1728"/>
        <w:gridCol w:w="1728"/>
      </w:tblGrid>
      <w:tr w:rsidR="009A2D53" w14:paraId="19487B40" w14:textId="77777777" w:rsidTr="00CC5897">
        <w:trPr>
          <w:tblHeader/>
          <w:jc w:val="center"/>
        </w:trPr>
        <w:tc>
          <w:tcPr>
            <w:tcW w:w="2735" w:type="dxa"/>
            <w:shd w:val="clear" w:color="auto" w:fill="EAEFF7"/>
            <w:tcMar>
              <w:top w:w="80" w:type="dxa"/>
              <w:left w:w="90" w:type="dxa"/>
              <w:bottom w:w="80" w:type="dxa"/>
              <w:right w:w="90" w:type="dxa"/>
            </w:tcMar>
            <w:vAlign w:val="center"/>
          </w:tcPr>
          <w:p w14:paraId="129E7127" w14:textId="77777777" w:rsidR="009A2D53" w:rsidRDefault="00000000" w:rsidP="00836931">
            <w:pPr>
              <w:pStyle w:val="Corpodetexto"/>
              <w:spacing w:before="0"/>
              <w:ind w:left="0"/>
              <w:jc w:val="center"/>
            </w:pPr>
            <w:r>
              <w:rPr>
                <w:b/>
                <w:sz w:val="18"/>
              </w:rPr>
              <w:t>Scenario</w:t>
            </w:r>
          </w:p>
        </w:tc>
        <w:tc>
          <w:tcPr>
            <w:tcW w:w="3168" w:type="dxa"/>
            <w:shd w:val="clear" w:color="auto" w:fill="EAEFF7"/>
            <w:tcMar>
              <w:top w:w="80" w:type="dxa"/>
              <w:left w:w="90" w:type="dxa"/>
              <w:bottom w:w="80" w:type="dxa"/>
              <w:right w:w="90" w:type="dxa"/>
            </w:tcMar>
            <w:vAlign w:val="center"/>
          </w:tcPr>
          <w:p w14:paraId="6367AEF8" w14:textId="77777777" w:rsidR="009A2D53" w:rsidRDefault="00000000" w:rsidP="00836931">
            <w:pPr>
              <w:pStyle w:val="Corpodetexto"/>
              <w:spacing w:before="0"/>
              <w:ind w:left="0"/>
              <w:jc w:val="center"/>
            </w:pPr>
            <w:r>
              <w:rPr>
                <w:b/>
                <w:sz w:val="18"/>
              </w:rPr>
              <w:t>Policy</w:t>
            </w:r>
          </w:p>
        </w:tc>
        <w:tc>
          <w:tcPr>
            <w:tcW w:w="1728" w:type="dxa"/>
            <w:shd w:val="clear" w:color="auto" w:fill="EAEFF7"/>
            <w:tcMar>
              <w:top w:w="80" w:type="dxa"/>
              <w:left w:w="90" w:type="dxa"/>
              <w:bottom w:w="80" w:type="dxa"/>
              <w:right w:w="90" w:type="dxa"/>
            </w:tcMar>
            <w:vAlign w:val="center"/>
          </w:tcPr>
          <w:p w14:paraId="1BB05D14" w14:textId="77777777" w:rsidR="009A2D53" w:rsidRDefault="00000000" w:rsidP="00836931">
            <w:pPr>
              <w:pStyle w:val="Corpodetexto"/>
              <w:spacing w:before="0"/>
              <w:ind w:left="-37"/>
              <w:jc w:val="center"/>
            </w:pPr>
            <w:r>
              <w:rPr>
                <w:b/>
                <w:sz w:val="18"/>
              </w:rPr>
              <w:t>LB breach (90d)</w:t>
            </w:r>
          </w:p>
        </w:tc>
        <w:tc>
          <w:tcPr>
            <w:tcW w:w="1728" w:type="dxa"/>
            <w:shd w:val="clear" w:color="auto" w:fill="EAEFF7"/>
            <w:tcMar>
              <w:top w:w="80" w:type="dxa"/>
              <w:left w:w="90" w:type="dxa"/>
              <w:bottom w:w="80" w:type="dxa"/>
              <w:right w:w="90" w:type="dxa"/>
            </w:tcMar>
            <w:vAlign w:val="center"/>
          </w:tcPr>
          <w:p w14:paraId="57EF7AD7" w14:textId="77777777" w:rsidR="009A2D53" w:rsidRDefault="00000000" w:rsidP="00836931">
            <w:pPr>
              <w:pStyle w:val="Corpodetexto"/>
              <w:spacing w:before="0"/>
              <w:ind w:left="-65"/>
              <w:jc w:val="center"/>
            </w:pPr>
            <w:r>
              <w:rPr>
                <w:b/>
                <w:sz w:val="18"/>
              </w:rPr>
              <w:t>LB breach (180d)</w:t>
            </w:r>
          </w:p>
        </w:tc>
      </w:tr>
      <w:tr w:rsidR="00836931" w14:paraId="437D7BF2" w14:textId="77777777" w:rsidTr="00CC5897">
        <w:trPr>
          <w:jc w:val="center"/>
        </w:trPr>
        <w:tc>
          <w:tcPr>
            <w:tcW w:w="2735" w:type="dxa"/>
            <w:vMerge w:val="restart"/>
            <w:tcMar>
              <w:top w:w="80" w:type="dxa"/>
              <w:left w:w="90" w:type="dxa"/>
              <w:bottom w:w="80" w:type="dxa"/>
              <w:right w:w="90" w:type="dxa"/>
            </w:tcMar>
            <w:vAlign w:val="center"/>
          </w:tcPr>
          <w:p w14:paraId="0CAD045E" w14:textId="77777777" w:rsidR="00836931" w:rsidRDefault="00836931" w:rsidP="00914269">
            <w:pPr>
              <w:pStyle w:val="Corpodetexto"/>
              <w:spacing w:before="0"/>
            </w:pPr>
            <w:r>
              <w:rPr>
                <w:sz w:val="18"/>
              </w:rPr>
              <w:t>Stable</w:t>
            </w:r>
          </w:p>
        </w:tc>
        <w:tc>
          <w:tcPr>
            <w:tcW w:w="3168" w:type="dxa"/>
            <w:tcMar>
              <w:top w:w="80" w:type="dxa"/>
              <w:left w:w="90" w:type="dxa"/>
              <w:bottom w:w="80" w:type="dxa"/>
              <w:right w:w="90" w:type="dxa"/>
            </w:tcMar>
            <w:vAlign w:val="center"/>
          </w:tcPr>
          <w:p w14:paraId="648D53E0" w14:textId="77777777" w:rsidR="00836931" w:rsidRDefault="00836931" w:rsidP="00914269">
            <w:pPr>
              <w:pStyle w:val="Corpodetexto"/>
              <w:spacing w:before="0"/>
              <w:jc w:val="center"/>
            </w:pPr>
            <w:r>
              <w:rPr>
                <w:sz w:val="18"/>
              </w:rPr>
              <w:t>Static</w:t>
            </w:r>
          </w:p>
        </w:tc>
        <w:tc>
          <w:tcPr>
            <w:tcW w:w="1728" w:type="dxa"/>
            <w:tcMar>
              <w:top w:w="80" w:type="dxa"/>
              <w:left w:w="90" w:type="dxa"/>
              <w:bottom w:w="80" w:type="dxa"/>
              <w:right w:w="90" w:type="dxa"/>
            </w:tcMar>
            <w:vAlign w:val="center"/>
          </w:tcPr>
          <w:p w14:paraId="1CD7AE64" w14:textId="77777777" w:rsidR="00836931" w:rsidRDefault="00836931" w:rsidP="00914269">
            <w:pPr>
              <w:pStyle w:val="Corpodetexto"/>
              <w:spacing w:before="0"/>
              <w:jc w:val="center"/>
            </w:pPr>
            <w:r>
              <w:rPr>
                <w:sz w:val="18"/>
              </w:rPr>
              <w:t>43.7%</w:t>
            </w:r>
          </w:p>
        </w:tc>
        <w:tc>
          <w:tcPr>
            <w:tcW w:w="1728" w:type="dxa"/>
            <w:tcMar>
              <w:top w:w="80" w:type="dxa"/>
              <w:left w:w="90" w:type="dxa"/>
              <w:bottom w:w="80" w:type="dxa"/>
              <w:right w:w="90" w:type="dxa"/>
            </w:tcMar>
            <w:vAlign w:val="center"/>
          </w:tcPr>
          <w:p w14:paraId="1949E907" w14:textId="77777777" w:rsidR="00836931" w:rsidRDefault="00836931" w:rsidP="00914269">
            <w:pPr>
              <w:pStyle w:val="Corpodetexto"/>
              <w:spacing w:before="0"/>
              <w:jc w:val="center"/>
            </w:pPr>
            <w:r>
              <w:rPr>
                <w:sz w:val="18"/>
              </w:rPr>
              <w:t>43.6%</w:t>
            </w:r>
          </w:p>
        </w:tc>
      </w:tr>
      <w:tr w:rsidR="00836931" w14:paraId="67442001" w14:textId="77777777" w:rsidTr="00CC5897">
        <w:trPr>
          <w:jc w:val="center"/>
        </w:trPr>
        <w:tc>
          <w:tcPr>
            <w:tcW w:w="2735" w:type="dxa"/>
            <w:vMerge/>
            <w:tcMar>
              <w:top w:w="80" w:type="dxa"/>
              <w:left w:w="90" w:type="dxa"/>
              <w:bottom w:w="80" w:type="dxa"/>
              <w:right w:w="90" w:type="dxa"/>
            </w:tcMar>
            <w:vAlign w:val="center"/>
          </w:tcPr>
          <w:p w14:paraId="4008DAEA" w14:textId="236C7DFF" w:rsidR="00836931" w:rsidRDefault="00836931" w:rsidP="00914269">
            <w:pPr>
              <w:pStyle w:val="Corpodetexto"/>
              <w:spacing w:before="0"/>
            </w:pPr>
          </w:p>
        </w:tc>
        <w:tc>
          <w:tcPr>
            <w:tcW w:w="3168" w:type="dxa"/>
            <w:tcMar>
              <w:top w:w="80" w:type="dxa"/>
              <w:left w:w="90" w:type="dxa"/>
              <w:bottom w:w="80" w:type="dxa"/>
              <w:right w:w="90" w:type="dxa"/>
            </w:tcMar>
            <w:vAlign w:val="center"/>
          </w:tcPr>
          <w:p w14:paraId="2EC32158" w14:textId="77777777" w:rsidR="00836931" w:rsidRDefault="00836931" w:rsidP="00914269">
            <w:pPr>
              <w:pStyle w:val="Corpodetexto"/>
              <w:spacing w:before="0"/>
              <w:jc w:val="center"/>
            </w:pPr>
            <w:r>
              <w:rPr>
                <w:sz w:val="18"/>
              </w:rPr>
              <w:t>Dynamic</w:t>
            </w:r>
          </w:p>
        </w:tc>
        <w:tc>
          <w:tcPr>
            <w:tcW w:w="1728" w:type="dxa"/>
            <w:tcMar>
              <w:top w:w="80" w:type="dxa"/>
              <w:left w:w="90" w:type="dxa"/>
              <w:bottom w:w="80" w:type="dxa"/>
              <w:right w:w="90" w:type="dxa"/>
            </w:tcMar>
            <w:vAlign w:val="center"/>
          </w:tcPr>
          <w:p w14:paraId="0EE2FABF" w14:textId="77777777" w:rsidR="00836931" w:rsidRDefault="00836931" w:rsidP="00914269">
            <w:pPr>
              <w:pStyle w:val="Corpodetexto"/>
              <w:spacing w:before="0"/>
              <w:jc w:val="center"/>
            </w:pPr>
            <w:r>
              <w:rPr>
                <w:sz w:val="18"/>
              </w:rPr>
              <w:t>26.9%</w:t>
            </w:r>
          </w:p>
        </w:tc>
        <w:tc>
          <w:tcPr>
            <w:tcW w:w="1728" w:type="dxa"/>
            <w:tcMar>
              <w:top w:w="80" w:type="dxa"/>
              <w:left w:w="90" w:type="dxa"/>
              <w:bottom w:w="80" w:type="dxa"/>
              <w:right w:w="90" w:type="dxa"/>
            </w:tcMar>
            <w:vAlign w:val="center"/>
          </w:tcPr>
          <w:p w14:paraId="34BA39B2" w14:textId="77777777" w:rsidR="00836931" w:rsidRDefault="00836931" w:rsidP="00914269">
            <w:pPr>
              <w:pStyle w:val="Corpodetexto"/>
              <w:spacing w:before="0"/>
              <w:jc w:val="center"/>
            </w:pPr>
            <w:r>
              <w:rPr>
                <w:sz w:val="18"/>
              </w:rPr>
              <w:t>26.2%</w:t>
            </w:r>
          </w:p>
        </w:tc>
      </w:tr>
      <w:tr w:rsidR="00836931" w14:paraId="7B4DDCC3" w14:textId="77777777" w:rsidTr="00CC5897">
        <w:trPr>
          <w:jc w:val="center"/>
        </w:trPr>
        <w:tc>
          <w:tcPr>
            <w:tcW w:w="2735" w:type="dxa"/>
            <w:vMerge/>
            <w:tcMar>
              <w:top w:w="80" w:type="dxa"/>
              <w:left w:w="90" w:type="dxa"/>
              <w:bottom w:w="80" w:type="dxa"/>
              <w:right w:w="90" w:type="dxa"/>
            </w:tcMar>
            <w:vAlign w:val="center"/>
          </w:tcPr>
          <w:p w14:paraId="3B8CA500" w14:textId="142A567D" w:rsidR="00836931" w:rsidRDefault="00836931" w:rsidP="00914269">
            <w:pPr>
              <w:pStyle w:val="Corpodetexto"/>
              <w:spacing w:before="0"/>
            </w:pPr>
          </w:p>
        </w:tc>
        <w:tc>
          <w:tcPr>
            <w:tcW w:w="3168" w:type="dxa"/>
            <w:tcMar>
              <w:top w:w="80" w:type="dxa"/>
              <w:left w:w="90" w:type="dxa"/>
              <w:bottom w:w="80" w:type="dxa"/>
              <w:right w:w="90" w:type="dxa"/>
            </w:tcMar>
            <w:vAlign w:val="center"/>
          </w:tcPr>
          <w:p w14:paraId="1DA2B44A" w14:textId="77777777" w:rsidR="00836931" w:rsidRDefault="00836931" w:rsidP="00914269">
            <w:pPr>
              <w:pStyle w:val="Corpodetexto"/>
              <w:spacing w:before="0"/>
              <w:jc w:val="center"/>
            </w:pPr>
            <w:r>
              <w:rPr>
                <w:sz w:val="18"/>
              </w:rPr>
              <w:t>Dynamic + Forecast</w:t>
            </w:r>
          </w:p>
        </w:tc>
        <w:tc>
          <w:tcPr>
            <w:tcW w:w="1728" w:type="dxa"/>
            <w:tcMar>
              <w:top w:w="80" w:type="dxa"/>
              <w:left w:w="90" w:type="dxa"/>
              <w:bottom w:w="80" w:type="dxa"/>
              <w:right w:w="90" w:type="dxa"/>
            </w:tcMar>
            <w:vAlign w:val="center"/>
          </w:tcPr>
          <w:p w14:paraId="05EB32B5" w14:textId="77777777" w:rsidR="00836931" w:rsidRDefault="00836931" w:rsidP="00914269">
            <w:pPr>
              <w:pStyle w:val="Corpodetexto"/>
              <w:spacing w:before="0"/>
              <w:jc w:val="center"/>
            </w:pPr>
            <w:r>
              <w:rPr>
                <w:sz w:val="18"/>
              </w:rPr>
              <w:t>0.0%</w:t>
            </w:r>
          </w:p>
        </w:tc>
        <w:tc>
          <w:tcPr>
            <w:tcW w:w="1728" w:type="dxa"/>
            <w:tcMar>
              <w:top w:w="80" w:type="dxa"/>
              <w:left w:w="90" w:type="dxa"/>
              <w:bottom w:w="80" w:type="dxa"/>
              <w:right w:w="90" w:type="dxa"/>
            </w:tcMar>
            <w:vAlign w:val="center"/>
          </w:tcPr>
          <w:p w14:paraId="2B050998" w14:textId="77777777" w:rsidR="00836931" w:rsidRDefault="00836931" w:rsidP="00914269">
            <w:pPr>
              <w:pStyle w:val="Corpodetexto"/>
              <w:spacing w:before="0"/>
              <w:jc w:val="center"/>
            </w:pPr>
            <w:r>
              <w:rPr>
                <w:sz w:val="18"/>
              </w:rPr>
              <w:t>0.0%</w:t>
            </w:r>
          </w:p>
        </w:tc>
      </w:tr>
      <w:tr w:rsidR="00836931" w14:paraId="49F596CA" w14:textId="77777777" w:rsidTr="00CC5897">
        <w:trPr>
          <w:jc w:val="center"/>
        </w:trPr>
        <w:tc>
          <w:tcPr>
            <w:tcW w:w="2735" w:type="dxa"/>
            <w:vMerge/>
            <w:tcMar>
              <w:top w:w="80" w:type="dxa"/>
              <w:left w:w="90" w:type="dxa"/>
              <w:bottom w:w="80" w:type="dxa"/>
              <w:right w:w="90" w:type="dxa"/>
            </w:tcMar>
            <w:vAlign w:val="center"/>
          </w:tcPr>
          <w:p w14:paraId="751B2F28" w14:textId="3744AB63" w:rsidR="00836931" w:rsidRDefault="00836931" w:rsidP="00914269">
            <w:pPr>
              <w:pStyle w:val="Corpodetexto"/>
              <w:spacing w:before="0"/>
            </w:pPr>
          </w:p>
        </w:tc>
        <w:tc>
          <w:tcPr>
            <w:tcW w:w="3168" w:type="dxa"/>
            <w:tcMar>
              <w:top w:w="80" w:type="dxa"/>
              <w:left w:w="90" w:type="dxa"/>
              <w:bottom w:w="80" w:type="dxa"/>
              <w:right w:w="90" w:type="dxa"/>
            </w:tcMar>
            <w:vAlign w:val="center"/>
          </w:tcPr>
          <w:p w14:paraId="2EECF75C" w14:textId="77777777" w:rsidR="00836931" w:rsidRDefault="00836931" w:rsidP="00914269">
            <w:pPr>
              <w:pStyle w:val="Corpodetexto"/>
              <w:spacing w:before="0"/>
              <w:jc w:val="center"/>
            </w:pPr>
            <w:r>
              <w:rPr>
                <w:sz w:val="18"/>
              </w:rPr>
              <w:t>Base-stock (Uncertain)</w:t>
            </w:r>
          </w:p>
        </w:tc>
        <w:tc>
          <w:tcPr>
            <w:tcW w:w="1728" w:type="dxa"/>
            <w:tcMar>
              <w:top w:w="80" w:type="dxa"/>
              <w:left w:w="90" w:type="dxa"/>
              <w:bottom w:w="80" w:type="dxa"/>
              <w:right w:w="90" w:type="dxa"/>
            </w:tcMar>
            <w:vAlign w:val="center"/>
          </w:tcPr>
          <w:p w14:paraId="53DA5891" w14:textId="77777777" w:rsidR="00836931" w:rsidRDefault="00836931" w:rsidP="00914269">
            <w:pPr>
              <w:pStyle w:val="Corpodetexto"/>
              <w:spacing w:before="0"/>
              <w:jc w:val="center"/>
            </w:pPr>
            <w:r>
              <w:rPr>
                <w:sz w:val="18"/>
              </w:rPr>
              <w:t>0.0%</w:t>
            </w:r>
          </w:p>
        </w:tc>
        <w:tc>
          <w:tcPr>
            <w:tcW w:w="1728" w:type="dxa"/>
            <w:tcMar>
              <w:top w:w="80" w:type="dxa"/>
              <w:left w:w="90" w:type="dxa"/>
              <w:bottom w:w="80" w:type="dxa"/>
              <w:right w:w="90" w:type="dxa"/>
            </w:tcMar>
            <w:vAlign w:val="center"/>
          </w:tcPr>
          <w:p w14:paraId="7A848BD6" w14:textId="77777777" w:rsidR="00836931" w:rsidRDefault="00836931" w:rsidP="00914269">
            <w:pPr>
              <w:pStyle w:val="Corpodetexto"/>
              <w:spacing w:before="0"/>
              <w:jc w:val="center"/>
            </w:pPr>
            <w:r>
              <w:rPr>
                <w:sz w:val="18"/>
              </w:rPr>
              <w:t>0.0%</w:t>
            </w:r>
          </w:p>
        </w:tc>
      </w:tr>
      <w:tr w:rsidR="00836931" w14:paraId="386A171E" w14:textId="77777777" w:rsidTr="00CC5897">
        <w:trPr>
          <w:jc w:val="center"/>
        </w:trPr>
        <w:tc>
          <w:tcPr>
            <w:tcW w:w="2735" w:type="dxa"/>
            <w:vMerge/>
            <w:tcMar>
              <w:top w:w="80" w:type="dxa"/>
              <w:left w:w="90" w:type="dxa"/>
              <w:bottom w:w="80" w:type="dxa"/>
              <w:right w:w="90" w:type="dxa"/>
            </w:tcMar>
            <w:vAlign w:val="center"/>
          </w:tcPr>
          <w:p w14:paraId="6DA69B92" w14:textId="606FD4B9" w:rsidR="00836931" w:rsidRDefault="00836931" w:rsidP="00914269">
            <w:pPr>
              <w:pStyle w:val="Corpodetexto"/>
              <w:spacing w:before="0"/>
            </w:pPr>
          </w:p>
        </w:tc>
        <w:tc>
          <w:tcPr>
            <w:tcW w:w="3168" w:type="dxa"/>
            <w:tcMar>
              <w:top w:w="80" w:type="dxa"/>
              <w:left w:w="90" w:type="dxa"/>
              <w:bottom w:w="80" w:type="dxa"/>
              <w:right w:w="90" w:type="dxa"/>
            </w:tcMar>
            <w:vAlign w:val="center"/>
          </w:tcPr>
          <w:p w14:paraId="2BAB283A" w14:textId="77777777" w:rsidR="00836931" w:rsidRDefault="00836931" w:rsidP="00914269">
            <w:pPr>
              <w:pStyle w:val="Corpodetexto"/>
              <w:spacing w:before="0"/>
              <w:jc w:val="center"/>
            </w:pPr>
            <w:r>
              <w:rPr>
                <w:sz w:val="18"/>
              </w:rPr>
              <w:t>Hybrid AI</w:t>
            </w:r>
          </w:p>
        </w:tc>
        <w:tc>
          <w:tcPr>
            <w:tcW w:w="1728" w:type="dxa"/>
            <w:tcMar>
              <w:top w:w="80" w:type="dxa"/>
              <w:left w:w="90" w:type="dxa"/>
              <w:bottom w:w="80" w:type="dxa"/>
              <w:right w:w="90" w:type="dxa"/>
            </w:tcMar>
            <w:vAlign w:val="center"/>
          </w:tcPr>
          <w:p w14:paraId="6032FA08" w14:textId="77777777" w:rsidR="00836931" w:rsidRDefault="00836931" w:rsidP="00914269">
            <w:pPr>
              <w:pStyle w:val="Corpodetexto"/>
              <w:spacing w:before="0"/>
              <w:jc w:val="center"/>
            </w:pPr>
            <w:r>
              <w:rPr>
                <w:sz w:val="18"/>
              </w:rPr>
              <w:t>0.0%</w:t>
            </w:r>
          </w:p>
        </w:tc>
        <w:tc>
          <w:tcPr>
            <w:tcW w:w="1728" w:type="dxa"/>
            <w:tcMar>
              <w:top w:w="80" w:type="dxa"/>
              <w:left w:w="90" w:type="dxa"/>
              <w:bottom w:w="80" w:type="dxa"/>
              <w:right w:w="90" w:type="dxa"/>
            </w:tcMar>
            <w:vAlign w:val="center"/>
          </w:tcPr>
          <w:p w14:paraId="1EAEF141" w14:textId="77777777" w:rsidR="00836931" w:rsidRDefault="00836931" w:rsidP="00914269">
            <w:pPr>
              <w:pStyle w:val="Corpodetexto"/>
              <w:spacing w:before="0"/>
              <w:jc w:val="center"/>
            </w:pPr>
            <w:r>
              <w:rPr>
                <w:sz w:val="18"/>
              </w:rPr>
              <w:t>0.0%</w:t>
            </w:r>
          </w:p>
        </w:tc>
      </w:tr>
      <w:tr w:rsidR="00836931" w14:paraId="6E225F0C" w14:textId="77777777" w:rsidTr="00CC5897">
        <w:trPr>
          <w:jc w:val="center"/>
        </w:trPr>
        <w:tc>
          <w:tcPr>
            <w:tcW w:w="2735" w:type="dxa"/>
            <w:vMerge w:val="restart"/>
            <w:tcMar>
              <w:top w:w="80" w:type="dxa"/>
              <w:left w:w="90" w:type="dxa"/>
              <w:bottom w:w="80" w:type="dxa"/>
              <w:right w:w="90" w:type="dxa"/>
            </w:tcMar>
            <w:vAlign w:val="center"/>
          </w:tcPr>
          <w:p w14:paraId="59059ED5" w14:textId="77777777" w:rsidR="00836931" w:rsidRDefault="00836931" w:rsidP="00914269">
            <w:pPr>
              <w:pStyle w:val="Corpodetexto"/>
              <w:spacing w:before="0"/>
            </w:pPr>
            <w:r>
              <w:rPr>
                <w:sz w:val="18"/>
              </w:rPr>
              <w:t>High Volatility</w:t>
            </w:r>
          </w:p>
        </w:tc>
        <w:tc>
          <w:tcPr>
            <w:tcW w:w="3168" w:type="dxa"/>
            <w:tcMar>
              <w:top w:w="80" w:type="dxa"/>
              <w:left w:w="90" w:type="dxa"/>
              <w:bottom w:w="80" w:type="dxa"/>
              <w:right w:w="90" w:type="dxa"/>
            </w:tcMar>
            <w:vAlign w:val="center"/>
          </w:tcPr>
          <w:p w14:paraId="47AB2F6A" w14:textId="77777777" w:rsidR="00836931" w:rsidRDefault="00836931" w:rsidP="00914269">
            <w:pPr>
              <w:pStyle w:val="Corpodetexto"/>
              <w:spacing w:before="0"/>
              <w:jc w:val="center"/>
            </w:pPr>
            <w:r>
              <w:rPr>
                <w:sz w:val="18"/>
              </w:rPr>
              <w:t>Static</w:t>
            </w:r>
          </w:p>
        </w:tc>
        <w:tc>
          <w:tcPr>
            <w:tcW w:w="1728" w:type="dxa"/>
            <w:tcMar>
              <w:top w:w="80" w:type="dxa"/>
              <w:left w:w="90" w:type="dxa"/>
              <w:bottom w:w="80" w:type="dxa"/>
              <w:right w:w="90" w:type="dxa"/>
            </w:tcMar>
            <w:vAlign w:val="center"/>
          </w:tcPr>
          <w:p w14:paraId="0D46CDC7" w14:textId="77777777" w:rsidR="00836931" w:rsidRDefault="00836931" w:rsidP="00914269">
            <w:pPr>
              <w:pStyle w:val="Corpodetexto"/>
              <w:spacing w:before="0"/>
              <w:jc w:val="center"/>
            </w:pPr>
            <w:r>
              <w:rPr>
                <w:sz w:val="18"/>
              </w:rPr>
              <w:t>45.6%</w:t>
            </w:r>
          </w:p>
        </w:tc>
        <w:tc>
          <w:tcPr>
            <w:tcW w:w="1728" w:type="dxa"/>
            <w:tcMar>
              <w:top w:w="80" w:type="dxa"/>
              <w:left w:w="90" w:type="dxa"/>
              <w:bottom w:w="80" w:type="dxa"/>
              <w:right w:w="90" w:type="dxa"/>
            </w:tcMar>
            <w:vAlign w:val="center"/>
          </w:tcPr>
          <w:p w14:paraId="7050FDB8" w14:textId="77777777" w:rsidR="00836931" w:rsidRDefault="00836931" w:rsidP="00914269">
            <w:pPr>
              <w:pStyle w:val="Corpodetexto"/>
              <w:spacing w:before="0"/>
              <w:jc w:val="center"/>
            </w:pPr>
            <w:r>
              <w:rPr>
                <w:sz w:val="18"/>
              </w:rPr>
              <w:t>45.7%</w:t>
            </w:r>
          </w:p>
        </w:tc>
      </w:tr>
      <w:tr w:rsidR="00836931" w14:paraId="133EC787" w14:textId="77777777" w:rsidTr="00CC5897">
        <w:trPr>
          <w:jc w:val="center"/>
        </w:trPr>
        <w:tc>
          <w:tcPr>
            <w:tcW w:w="2735" w:type="dxa"/>
            <w:vMerge/>
            <w:tcMar>
              <w:top w:w="80" w:type="dxa"/>
              <w:left w:w="90" w:type="dxa"/>
              <w:bottom w:w="80" w:type="dxa"/>
              <w:right w:w="90" w:type="dxa"/>
            </w:tcMar>
            <w:vAlign w:val="center"/>
          </w:tcPr>
          <w:p w14:paraId="37A53C15" w14:textId="50F6E5E4" w:rsidR="00836931" w:rsidRDefault="00836931" w:rsidP="00914269">
            <w:pPr>
              <w:pStyle w:val="Corpodetexto"/>
              <w:spacing w:before="0"/>
            </w:pPr>
          </w:p>
        </w:tc>
        <w:tc>
          <w:tcPr>
            <w:tcW w:w="3168" w:type="dxa"/>
            <w:tcMar>
              <w:top w:w="80" w:type="dxa"/>
              <w:left w:w="90" w:type="dxa"/>
              <w:bottom w:w="80" w:type="dxa"/>
              <w:right w:w="90" w:type="dxa"/>
            </w:tcMar>
            <w:vAlign w:val="center"/>
          </w:tcPr>
          <w:p w14:paraId="58FEBAAF" w14:textId="77777777" w:rsidR="00836931" w:rsidRDefault="00836931" w:rsidP="00914269">
            <w:pPr>
              <w:pStyle w:val="Corpodetexto"/>
              <w:spacing w:before="0"/>
              <w:jc w:val="center"/>
            </w:pPr>
            <w:r>
              <w:rPr>
                <w:sz w:val="18"/>
              </w:rPr>
              <w:t>Dynamic</w:t>
            </w:r>
          </w:p>
        </w:tc>
        <w:tc>
          <w:tcPr>
            <w:tcW w:w="1728" w:type="dxa"/>
            <w:tcMar>
              <w:top w:w="80" w:type="dxa"/>
              <w:left w:w="90" w:type="dxa"/>
              <w:bottom w:w="80" w:type="dxa"/>
              <w:right w:w="90" w:type="dxa"/>
            </w:tcMar>
            <w:vAlign w:val="center"/>
          </w:tcPr>
          <w:p w14:paraId="3F4CA93C" w14:textId="77777777" w:rsidR="00836931" w:rsidRDefault="00836931" w:rsidP="00914269">
            <w:pPr>
              <w:pStyle w:val="Corpodetexto"/>
              <w:spacing w:before="0"/>
              <w:jc w:val="center"/>
            </w:pPr>
            <w:r>
              <w:rPr>
                <w:sz w:val="18"/>
              </w:rPr>
              <w:t>23.9%</w:t>
            </w:r>
          </w:p>
        </w:tc>
        <w:tc>
          <w:tcPr>
            <w:tcW w:w="1728" w:type="dxa"/>
            <w:tcMar>
              <w:top w:w="80" w:type="dxa"/>
              <w:left w:w="90" w:type="dxa"/>
              <w:bottom w:w="80" w:type="dxa"/>
              <w:right w:w="90" w:type="dxa"/>
            </w:tcMar>
            <w:vAlign w:val="center"/>
          </w:tcPr>
          <w:p w14:paraId="7B053E95" w14:textId="77777777" w:rsidR="00836931" w:rsidRDefault="00836931" w:rsidP="00914269">
            <w:pPr>
              <w:pStyle w:val="Corpodetexto"/>
              <w:spacing w:before="0"/>
              <w:jc w:val="center"/>
            </w:pPr>
            <w:r>
              <w:rPr>
                <w:sz w:val="18"/>
              </w:rPr>
              <w:t>22.4%</w:t>
            </w:r>
          </w:p>
        </w:tc>
      </w:tr>
      <w:tr w:rsidR="00836931" w14:paraId="5564E82E" w14:textId="77777777" w:rsidTr="00CC5897">
        <w:trPr>
          <w:jc w:val="center"/>
        </w:trPr>
        <w:tc>
          <w:tcPr>
            <w:tcW w:w="2735" w:type="dxa"/>
            <w:vMerge/>
            <w:tcMar>
              <w:top w:w="80" w:type="dxa"/>
              <w:left w:w="90" w:type="dxa"/>
              <w:bottom w:w="80" w:type="dxa"/>
              <w:right w:w="90" w:type="dxa"/>
            </w:tcMar>
            <w:vAlign w:val="center"/>
          </w:tcPr>
          <w:p w14:paraId="6A794102" w14:textId="2ADE47CD" w:rsidR="00836931" w:rsidRDefault="00836931" w:rsidP="00914269">
            <w:pPr>
              <w:pStyle w:val="Corpodetexto"/>
              <w:spacing w:before="0"/>
            </w:pPr>
          </w:p>
        </w:tc>
        <w:tc>
          <w:tcPr>
            <w:tcW w:w="3168" w:type="dxa"/>
            <w:tcMar>
              <w:top w:w="80" w:type="dxa"/>
              <w:left w:w="90" w:type="dxa"/>
              <w:bottom w:w="80" w:type="dxa"/>
              <w:right w:w="90" w:type="dxa"/>
            </w:tcMar>
            <w:vAlign w:val="center"/>
          </w:tcPr>
          <w:p w14:paraId="48BFE80E" w14:textId="77777777" w:rsidR="00836931" w:rsidRDefault="00836931" w:rsidP="00914269">
            <w:pPr>
              <w:pStyle w:val="Corpodetexto"/>
              <w:spacing w:before="0"/>
              <w:jc w:val="center"/>
            </w:pPr>
            <w:r>
              <w:rPr>
                <w:sz w:val="18"/>
              </w:rPr>
              <w:t>Dynamic + Forecast</w:t>
            </w:r>
          </w:p>
        </w:tc>
        <w:tc>
          <w:tcPr>
            <w:tcW w:w="1728" w:type="dxa"/>
            <w:tcMar>
              <w:top w:w="80" w:type="dxa"/>
              <w:left w:w="90" w:type="dxa"/>
              <w:bottom w:w="80" w:type="dxa"/>
              <w:right w:w="90" w:type="dxa"/>
            </w:tcMar>
            <w:vAlign w:val="center"/>
          </w:tcPr>
          <w:p w14:paraId="0536445F" w14:textId="77777777" w:rsidR="00836931" w:rsidRDefault="00836931" w:rsidP="00914269">
            <w:pPr>
              <w:pStyle w:val="Corpodetexto"/>
              <w:spacing w:before="0"/>
              <w:jc w:val="center"/>
            </w:pPr>
            <w:r>
              <w:rPr>
                <w:sz w:val="18"/>
              </w:rPr>
              <w:t>0.0%</w:t>
            </w:r>
          </w:p>
        </w:tc>
        <w:tc>
          <w:tcPr>
            <w:tcW w:w="1728" w:type="dxa"/>
            <w:tcMar>
              <w:top w:w="80" w:type="dxa"/>
              <w:left w:w="90" w:type="dxa"/>
              <w:bottom w:w="80" w:type="dxa"/>
              <w:right w:w="90" w:type="dxa"/>
            </w:tcMar>
            <w:vAlign w:val="center"/>
          </w:tcPr>
          <w:p w14:paraId="0DE9977A" w14:textId="77777777" w:rsidR="00836931" w:rsidRDefault="00836931" w:rsidP="00914269">
            <w:pPr>
              <w:pStyle w:val="Corpodetexto"/>
              <w:spacing w:before="0"/>
              <w:jc w:val="center"/>
            </w:pPr>
            <w:r>
              <w:rPr>
                <w:sz w:val="18"/>
              </w:rPr>
              <w:t>0.0%</w:t>
            </w:r>
          </w:p>
        </w:tc>
      </w:tr>
      <w:tr w:rsidR="00836931" w14:paraId="60C95929" w14:textId="77777777" w:rsidTr="00CC5897">
        <w:trPr>
          <w:jc w:val="center"/>
        </w:trPr>
        <w:tc>
          <w:tcPr>
            <w:tcW w:w="2735" w:type="dxa"/>
            <w:vMerge/>
            <w:tcMar>
              <w:top w:w="80" w:type="dxa"/>
              <w:left w:w="90" w:type="dxa"/>
              <w:bottom w:w="80" w:type="dxa"/>
              <w:right w:w="90" w:type="dxa"/>
            </w:tcMar>
            <w:vAlign w:val="center"/>
          </w:tcPr>
          <w:p w14:paraId="1B2C03C8" w14:textId="2C75537F" w:rsidR="00836931" w:rsidRDefault="00836931" w:rsidP="00914269">
            <w:pPr>
              <w:pStyle w:val="Corpodetexto"/>
              <w:spacing w:before="0"/>
            </w:pPr>
          </w:p>
        </w:tc>
        <w:tc>
          <w:tcPr>
            <w:tcW w:w="3168" w:type="dxa"/>
            <w:tcMar>
              <w:top w:w="80" w:type="dxa"/>
              <w:left w:w="90" w:type="dxa"/>
              <w:bottom w:w="80" w:type="dxa"/>
              <w:right w:w="90" w:type="dxa"/>
            </w:tcMar>
            <w:vAlign w:val="center"/>
          </w:tcPr>
          <w:p w14:paraId="0299C5AF" w14:textId="77777777" w:rsidR="00836931" w:rsidRDefault="00836931" w:rsidP="00914269">
            <w:pPr>
              <w:pStyle w:val="Corpodetexto"/>
              <w:spacing w:before="0"/>
              <w:jc w:val="center"/>
            </w:pPr>
            <w:r>
              <w:rPr>
                <w:sz w:val="18"/>
              </w:rPr>
              <w:t>Base-stock (Uncertain)</w:t>
            </w:r>
          </w:p>
        </w:tc>
        <w:tc>
          <w:tcPr>
            <w:tcW w:w="1728" w:type="dxa"/>
            <w:tcMar>
              <w:top w:w="80" w:type="dxa"/>
              <w:left w:w="90" w:type="dxa"/>
              <w:bottom w:w="80" w:type="dxa"/>
              <w:right w:w="90" w:type="dxa"/>
            </w:tcMar>
            <w:vAlign w:val="center"/>
          </w:tcPr>
          <w:p w14:paraId="60417CA0" w14:textId="77777777" w:rsidR="00836931" w:rsidRDefault="00836931" w:rsidP="00914269">
            <w:pPr>
              <w:pStyle w:val="Corpodetexto"/>
              <w:spacing w:before="0"/>
              <w:jc w:val="center"/>
            </w:pPr>
            <w:r>
              <w:rPr>
                <w:sz w:val="18"/>
              </w:rPr>
              <w:t>0.0%</w:t>
            </w:r>
          </w:p>
        </w:tc>
        <w:tc>
          <w:tcPr>
            <w:tcW w:w="1728" w:type="dxa"/>
            <w:tcMar>
              <w:top w:w="80" w:type="dxa"/>
              <w:left w:w="90" w:type="dxa"/>
              <w:bottom w:w="80" w:type="dxa"/>
              <w:right w:w="90" w:type="dxa"/>
            </w:tcMar>
            <w:vAlign w:val="center"/>
          </w:tcPr>
          <w:p w14:paraId="4B56ECDB" w14:textId="77777777" w:rsidR="00836931" w:rsidRDefault="00836931" w:rsidP="00914269">
            <w:pPr>
              <w:pStyle w:val="Corpodetexto"/>
              <w:spacing w:before="0"/>
              <w:jc w:val="center"/>
            </w:pPr>
            <w:r>
              <w:rPr>
                <w:sz w:val="18"/>
              </w:rPr>
              <w:t>0.0%</w:t>
            </w:r>
          </w:p>
        </w:tc>
      </w:tr>
      <w:tr w:rsidR="00836931" w14:paraId="512DEE36" w14:textId="77777777" w:rsidTr="00CC5897">
        <w:trPr>
          <w:jc w:val="center"/>
        </w:trPr>
        <w:tc>
          <w:tcPr>
            <w:tcW w:w="2735" w:type="dxa"/>
            <w:vMerge/>
            <w:tcMar>
              <w:top w:w="80" w:type="dxa"/>
              <w:left w:w="90" w:type="dxa"/>
              <w:bottom w:w="80" w:type="dxa"/>
              <w:right w:w="90" w:type="dxa"/>
            </w:tcMar>
            <w:vAlign w:val="center"/>
          </w:tcPr>
          <w:p w14:paraId="276E5E4D" w14:textId="2C1108AD" w:rsidR="00836931" w:rsidRDefault="00836931" w:rsidP="00914269">
            <w:pPr>
              <w:pStyle w:val="Corpodetexto"/>
              <w:spacing w:before="0"/>
            </w:pPr>
          </w:p>
        </w:tc>
        <w:tc>
          <w:tcPr>
            <w:tcW w:w="3168" w:type="dxa"/>
            <w:tcMar>
              <w:top w:w="80" w:type="dxa"/>
              <w:left w:w="90" w:type="dxa"/>
              <w:bottom w:w="80" w:type="dxa"/>
              <w:right w:w="90" w:type="dxa"/>
            </w:tcMar>
            <w:vAlign w:val="center"/>
          </w:tcPr>
          <w:p w14:paraId="502472BC" w14:textId="77777777" w:rsidR="00836931" w:rsidRDefault="00836931" w:rsidP="00914269">
            <w:pPr>
              <w:pStyle w:val="Corpodetexto"/>
              <w:spacing w:before="0"/>
              <w:jc w:val="center"/>
            </w:pPr>
            <w:r>
              <w:rPr>
                <w:sz w:val="18"/>
              </w:rPr>
              <w:t>Hybrid AI</w:t>
            </w:r>
          </w:p>
        </w:tc>
        <w:tc>
          <w:tcPr>
            <w:tcW w:w="1728" w:type="dxa"/>
            <w:tcMar>
              <w:top w:w="80" w:type="dxa"/>
              <w:left w:w="90" w:type="dxa"/>
              <w:bottom w:w="80" w:type="dxa"/>
              <w:right w:w="90" w:type="dxa"/>
            </w:tcMar>
            <w:vAlign w:val="center"/>
          </w:tcPr>
          <w:p w14:paraId="21526A12" w14:textId="77777777" w:rsidR="00836931" w:rsidRDefault="00836931" w:rsidP="00914269">
            <w:pPr>
              <w:pStyle w:val="Corpodetexto"/>
              <w:spacing w:before="0"/>
              <w:jc w:val="center"/>
            </w:pPr>
            <w:r>
              <w:rPr>
                <w:sz w:val="18"/>
              </w:rPr>
              <w:t>0.0%</w:t>
            </w:r>
          </w:p>
        </w:tc>
        <w:tc>
          <w:tcPr>
            <w:tcW w:w="1728" w:type="dxa"/>
            <w:tcMar>
              <w:top w:w="80" w:type="dxa"/>
              <w:left w:w="90" w:type="dxa"/>
              <w:bottom w:w="80" w:type="dxa"/>
              <w:right w:w="90" w:type="dxa"/>
            </w:tcMar>
            <w:vAlign w:val="center"/>
          </w:tcPr>
          <w:p w14:paraId="71BBEADC" w14:textId="77777777" w:rsidR="00836931" w:rsidRDefault="00836931" w:rsidP="00914269">
            <w:pPr>
              <w:pStyle w:val="Corpodetexto"/>
              <w:spacing w:before="0"/>
              <w:jc w:val="center"/>
            </w:pPr>
            <w:r>
              <w:rPr>
                <w:sz w:val="18"/>
              </w:rPr>
              <w:t>0.0%</w:t>
            </w:r>
          </w:p>
        </w:tc>
      </w:tr>
      <w:tr w:rsidR="00836931" w14:paraId="72D87681" w14:textId="77777777" w:rsidTr="00CC5897">
        <w:trPr>
          <w:jc w:val="center"/>
        </w:trPr>
        <w:tc>
          <w:tcPr>
            <w:tcW w:w="2735" w:type="dxa"/>
            <w:vMerge w:val="restart"/>
            <w:tcMar>
              <w:top w:w="80" w:type="dxa"/>
              <w:left w:w="90" w:type="dxa"/>
              <w:bottom w:w="80" w:type="dxa"/>
              <w:right w:w="90" w:type="dxa"/>
            </w:tcMar>
            <w:vAlign w:val="center"/>
          </w:tcPr>
          <w:p w14:paraId="6A1863DB" w14:textId="77777777" w:rsidR="00836931" w:rsidRDefault="00836931" w:rsidP="00914269">
            <w:pPr>
              <w:pStyle w:val="Corpodetexto"/>
              <w:spacing w:before="0"/>
            </w:pPr>
            <w:r>
              <w:rPr>
                <w:sz w:val="18"/>
              </w:rPr>
              <w:t>Seasonal Surge</w:t>
            </w:r>
          </w:p>
        </w:tc>
        <w:tc>
          <w:tcPr>
            <w:tcW w:w="3168" w:type="dxa"/>
            <w:tcMar>
              <w:top w:w="80" w:type="dxa"/>
              <w:left w:w="90" w:type="dxa"/>
              <w:bottom w:w="80" w:type="dxa"/>
              <w:right w:w="90" w:type="dxa"/>
            </w:tcMar>
            <w:vAlign w:val="center"/>
          </w:tcPr>
          <w:p w14:paraId="44BBCB62" w14:textId="77777777" w:rsidR="00836931" w:rsidRDefault="00836931" w:rsidP="00914269">
            <w:pPr>
              <w:pStyle w:val="Corpodetexto"/>
              <w:spacing w:before="0"/>
              <w:jc w:val="center"/>
            </w:pPr>
            <w:r>
              <w:rPr>
                <w:sz w:val="18"/>
              </w:rPr>
              <w:t>Static</w:t>
            </w:r>
          </w:p>
        </w:tc>
        <w:tc>
          <w:tcPr>
            <w:tcW w:w="1728" w:type="dxa"/>
            <w:tcMar>
              <w:top w:w="80" w:type="dxa"/>
              <w:left w:w="90" w:type="dxa"/>
              <w:bottom w:w="80" w:type="dxa"/>
              <w:right w:w="90" w:type="dxa"/>
            </w:tcMar>
            <w:vAlign w:val="center"/>
          </w:tcPr>
          <w:p w14:paraId="73764DFC" w14:textId="77777777" w:rsidR="00836931" w:rsidRDefault="00836931" w:rsidP="00914269">
            <w:pPr>
              <w:pStyle w:val="Corpodetexto"/>
              <w:spacing w:before="0"/>
              <w:jc w:val="center"/>
            </w:pPr>
            <w:r>
              <w:rPr>
                <w:sz w:val="18"/>
              </w:rPr>
              <w:t>46.3%</w:t>
            </w:r>
          </w:p>
        </w:tc>
        <w:tc>
          <w:tcPr>
            <w:tcW w:w="1728" w:type="dxa"/>
            <w:tcMar>
              <w:top w:w="80" w:type="dxa"/>
              <w:left w:w="90" w:type="dxa"/>
              <w:bottom w:w="80" w:type="dxa"/>
              <w:right w:w="90" w:type="dxa"/>
            </w:tcMar>
            <w:vAlign w:val="center"/>
          </w:tcPr>
          <w:p w14:paraId="1C9A9F28" w14:textId="77777777" w:rsidR="00836931" w:rsidRDefault="00836931" w:rsidP="00914269">
            <w:pPr>
              <w:pStyle w:val="Corpodetexto"/>
              <w:spacing w:before="0"/>
              <w:jc w:val="center"/>
            </w:pPr>
            <w:r>
              <w:rPr>
                <w:sz w:val="18"/>
              </w:rPr>
              <w:t>44.9%</w:t>
            </w:r>
          </w:p>
        </w:tc>
      </w:tr>
      <w:tr w:rsidR="00836931" w14:paraId="4BE6046E" w14:textId="77777777" w:rsidTr="00CC5897">
        <w:trPr>
          <w:jc w:val="center"/>
        </w:trPr>
        <w:tc>
          <w:tcPr>
            <w:tcW w:w="2735" w:type="dxa"/>
            <w:vMerge/>
            <w:tcMar>
              <w:top w:w="80" w:type="dxa"/>
              <w:left w:w="90" w:type="dxa"/>
              <w:bottom w:w="80" w:type="dxa"/>
              <w:right w:w="90" w:type="dxa"/>
            </w:tcMar>
            <w:vAlign w:val="center"/>
          </w:tcPr>
          <w:p w14:paraId="75471CCF" w14:textId="0892F4D9" w:rsidR="00836931" w:rsidRDefault="00836931" w:rsidP="00914269">
            <w:pPr>
              <w:pStyle w:val="Corpodetexto"/>
              <w:spacing w:before="0"/>
            </w:pPr>
          </w:p>
        </w:tc>
        <w:tc>
          <w:tcPr>
            <w:tcW w:w="3168" w:type="dxa"/>
            <w:tcMar>
              <w:top w:w="80" w:type="dxa"/>
              <w:left w:w="90" w:type="dxa"/>
              <w:bottom w:w="80" w:type="dxa"/>
              <w:right w:w="90" w:type="dxa"/>
            </w:tcMar>
            <w:vAlign w:val="center"/>
          </w:tcPr>
          <w:p w14:paraId="44292B68" w14:textId="77777777" w:rsidR="00836931" w:rsidRDefault="00836931" w:rsidP="00914269">
            <w:pPr>
              <w:pStyle w:val="Corpodetexto"/>
              <w:spacing w:before="0"/>
              <w:jc w:val="center"/>
            </w:pPr>
            <w:r>
              <w:rPr>
                <w:sz w:val="18"/>
              </w:rPr>
              <w:t>Dynamic</w:t>
            </w:r>
          </w:p>
        </w:tc>
        <w:tc>
          <w:tcPr>
            <w:tcW w:w="1728" w:type="dxa"/>
            <w:tcMar>
              <w:top w:w="80" w:type="dxa"/>
              <w:left w:w="90" w:type="dxa"/>
              <w:bottom w:w="80" w:type="dxa"/>
              <w:right w:w="90" w:type="dxa"/>
            </w:tcMar>
            <w:vAlign w:val="center"/>
          </w:tcPr>
          <w:p w14:paraId="7A731882" w14:textId="77777777" w:rsidR="00836931" w:rsidRDefault="00836931" w:rsidP="00914269">
            <w:pPr>
              <w:pStyle w:val="Corpodetexto"/>
              <w:spacing w:before="0"/>
              <w:jc w:val="center"/>
            </w:pPr>
            <w:r>
              <w:rPr>
                <w:sz w:val="18"/>
              </w:rPr>
              <w:t>26.3%</w:t>
            </w:r>
          </w:p>
        </w:tc>
        <w:tc>
          <w:tcPr>
            <w:tcW w:w="1728" w:type="dxa"/>
            <w:tcMar>
              <w:top w:w="80" w:type="dxa"/>
              <w:left w:w="90" w:type="dxa"/>
              <w:bottom w:w="80" w:type="dxa"/>
              <w:right w:w="90" w:type="dxa"/>
            </w:tcMar>
            <w:vAlign w:val="center"/>
          </w:tcPr>
          <w:p w14:paraId="2C802A5D" w14:textId="77777777" w:rsidR="00836931" w:rsidRDefault="00836931" w:rsidP="00914269">
            <w:pPr>
              <w:pStyle w:val="Corpodetexto"/>
              <w:spacing w:before="0"/>
              <w:jc w:val="center"/>
            </w:pPr>
            <w:r>
              <w:rPr>
                <w:sz w:val="18"/>
              </w:rPr>
              <w:t>24.1%</w:t>
            </w:r>
          </w:p>
        </w:tc>
      </w:tr>
      <w:tr w:rsidR="00836931" w14:paraId="7245211C" w14:textId="77777777" w:rsidTr="00CC5897">
        <w:trPr>
          <w:jc w:val="center"/>
        </w:trPr>
        <w:tc>
          <w:tcPr>
            <w:tcW w:w="2735" w:type="dxa"/>
            <w:vMerge/>
            <w:tcMar>
              <w:top w:w="80" w:type="dxa"/>
              <w:left w:w="90" w:type="dxa"/>
              <w:bottom w:w="80" w:type="dxa"/>
              <w:right w:w="90" w:type="dxa"/>
            </w:tcMar>
            <w:vAlign w:val="center"/>
          </w:tcPr>
          <w:p w14:paraId="5244D736" w14:textId="08C7E35B" w:rsidR="00836931" w:rsidRDefault="00836931" w:rsidP="00914269">
            <w:pPr>
              <w:pStyle w:val="Corpodetexto"/>
              <w:spacing w:before="0"/>
            </w:pPr>
          </w:p>
        </w:tc>
        <w:tc>
          <w:tcPr>
            <w:tcW w:w="3168" w:type="dxa"/>
            <w:tcMar>
              <w:top w:w="80" w:type="dxa"/>
              <w:left w:w="90" w:type="dxa"/>
              <w:bottom w:w="80" w:type="dxa"/>
              <w:right w:w="90" w:type="dxa"/>
            </w:tcMar>
            <w:vAlign w:val="center"/>
          </w:tcPr>
          <w:p w14:paraId="360117FF" w14:textId="77777777" w:rsidR="00836931" w:rsidRDefault="00836931" w:rsidP="00914269">
            <w:pPr>
              <w:pStyle w:val="Corpodetexto"/>
              <w:spacing w:before="0"/>
              <w:jc w:val="center"/>
            </w:pPr>
            <w:r>
              <w:rPr>
                <w:sz w:val="18"/>
              </w:rPr>
              <w:t>Dynamic + Forecast</w:t>
            </w:r>
          </w:p>
        </w:tc>
        <w:tc>
          <w:tcPr>
            <w:tcW w:w="1728" w:type="dxa"/>
            <w:tcMar>
              <w:top w:w="80" w:type="dxa"/>
              <w:left w:w="90" w:type="dxa"/>
              <w:bottom w:w="80" w:type="dxa"/>
              <w:right w:w="90" w:type="dxa"/>
            </w:tcMar>
            <w:vAlign w:val="center"/>
          </w:tcPr>
          <w:p w14:paraId="63026242" w14:textId="77777777" w:rsidR="00836931" w:rsidRDefault="00836931" w:rsidP="00914269">
            <w:pPr>
              <w:pStyle w:val="Corpodetexto"/>
              <w:spacing w:before="0"/>
              <w:jc w:val="center"/>
            </w:pPr>
            <w:r>
              <w:rPr>
                <w:sz w:val="18"/>
              </w:rPr>
              <w:t>0.0%</w:t>
            </w:r>
          </w:p>
        </w:tc>
        <w:tc>
          <w:tcPr>
            <w:tcW w:w="1728" w:type="dxa"/>
            <w:tcMar>
              <w:top w:w="80" w:type="dxa"/>
              <w:left w:w="90" w:type="dxa"/>
              <w:bottom w:w="80" w:type="dxa"/>
              <w:right w:w="90" w:type="dxa"/>
            </w:tcMar>
            <w:vAlign w:val="center"/>
          </w:tcPr>
          <w:p w14:paraId="6D8068E6" w14:textId="77777777" w:rsidR="00836931" w:rsidRDefault="00836931" w:rsidP="00914269">
            <w:pPr>
              <w:pStyle w:val="Corpodetexto"/>
              <w:spacing w:before="0"/>
              <w:jc w:val="center"/>
            </w:pPr>
            <w:r>
              <w:rPr>
                <w:sz w:val="18"/>
              </w:rPr>
              <w:t>0.0%</w:t>
            </w:r>
          </w:p>
        </w:tc>
      </w:tr>
      <w:tr w:rsidR="00836931" w14:paraId="7F538DCF" w14:textId="77777777" w:rsidTr="00CC5897">
        <w:trPr>
          <w:jc w:val="center"/>
        </w:trPr>
        <w:tc>
          <w:tcPr>
            <w:tcW w:w="2735" w:type="dxa"/>
            <w:vMerge/>
            <w:tcMar>
              <w:top w:w="80" w:type="dxa"/>
              <w:left w:w="90" w:type="dxa"/>
              <w:bottom w:w="80" w:type="dxa"/>
              <w:right w:w="90" w:type="dxa"/>
            </w:tcMar>
            <w:vAlign w:val="center"/>
          </w:tcPr>
          <w:p w14:paraId="61141C31" w14:textId="7769C836" w:rsidR="00836931" w:rsidRDefault="00836931" w:rsidP="00914269">
            <w:pPr>
              <w:pStyle w:val="Corpodetexto"/>
              <w:spacing w:before="0"/>
            </w:pPr>
          </w:p>
        </w:tc>
        <w:tc>
          <w:tcPr>
            <w:tcW w:w="3168" w:type="dxa"/>
            <w:tcMar>
              <w:top w:w="80" w:type="dxa"/>
              <w:left w:w="90" w:type="dxa"/>
              <w:bottom w:w="80" w:type="dxa"/>
              <w:right w:w="90" w:type="dxa"/>
            </w:tcMar>
            <w:vAlign w:val="center"/>
          </w:tcPr>
          <w:p w14:paraId="5B8A68BA" w14:textId="77777777" w:rsidR="00836931" w:rsidRDefault="00836931" w:rsidP="00914269">
            <w:pPr>
              <w:pStyle w:val="Corpodetexto"/>
              <w:spacing w:before="0"/>
              <w:jc w:val="center"/>
            </w:pPr>
            <w:r>
              <w:rPr>
                <w:sz w:val="18"/>
              </w:rPr>
              <w:t>Base-stock (Uncertain)</w:t>
            </w:r>
          </w:p>
        </w:tc>
        <w:tc>
          <w:tcPr>
            <w:tcW w:w="1728" w:type="dxa"/>
            <w:tcMar>
              <w:top w:w="80" w:type="dxa"/>
              <w:left w:w="90" w:type="dxa"/>
              <w:bottom w:w="80" w:type="dxa"/>
              <w:right w:w="90" w:type="dxa"/>
            </w:tcMar>
            <w:vAlign w:val="center"/>
          </w:tcPr>
          <w:p w14:paraId="67E09B1C" w14:textId="77777777" w:rsidR="00836931" w:rsidRDefault="00836931" w:rsidP="00914269">
            <w:pPr>
              <w:pStyle w:val="Corpodetexto"/>
              <w:spacing w:before="0"/>
              <w:jc w:val="center"/>
            </w:pPr>
            <w:r>
              <w:rPr>
                <w:sz w:val="18"/>
              </w:rPr>
              <w:t>0.0%</w:t>
            </w:r>
          </w:p>
        </w:tc>
        <w:tc>
          <w:tcPr>
            <w:tcW w:w="1728" w:type="dxa"/>
            <w:tcMar>
              <w:top w:w="80" w:type="dxa"/>
              <w:left w:w="90" w:type="dxa"/>
              <w:bottom w:w="80" w:type="dxa"/>
              <w:right w:w="90" w:type="dxa"/>
            </w:tcMar>
            <w:vAlign w:val="center"/>
          </w:tcPr>
          <w:p w14:paraId="2EAB5E75" w14:textId="77777777" w:rsidR="00836931" w:rsidRDefault="00836931" w:rsidP="00914269">
            <w:pPr>
              <w:pStyle w:val="Corpodetexto"/>
              <w:spacing w:before="0"/>
              <w:jc w:val="center"/>
            </w:pPr>
            <w:r>
              <w:rPr>
                <w:sz w:val="18"/>
              </w:rPr>
              <w:t>0.0%</w:t>
            </w:r>
          </w:p>
        </w:tc>
      </w:tr>
      <w:tr w:rsidR="00836931" w14:paraId="421732D9" w14:textId="77777777" w:rsidTr="00CC5897">
        <w:trPr>
          <w:jc w:val="center"/>
        </w:trPr>
        <w:tc>
          <w:tcPr>
            <w:tcW w:w="2735" w:type="dxa"/>
            <w:vMerge/>
            <w:tcMar>
              <w:top w:w="80" w:type="dxa"/>
              <w:left w:w="90" w:type="dxa"/>
              <w:bottom w:w="80" w:type="dxa"/>
              <w:right w:w="90" w:type="dxa"/>
            </w:tcMar>
            <w:vAlign w:val="center"/>
          </w:tcPr>
          <w:p w14:paraId="43744033" w14:textId="3032BBA0" w:rsidR="00836931" w:rsidRDefault="00836931" w:rsidP="00914269">
            <w:pPr>
              <w:pStyle w:val="Corpodetexto"/>
              <w:spacing w:before="0"/>
            </w:pPr>
          </w:p>
        </w:tc>
        <w:tc>
          <w:tcPr>
            <w:tcW w:w="3168" w:type="dxa"/>
            <w:tcMar>
              <w:top w:w="80" w:type="dxa"/>
              <w:left w:w="90" w:type="dxa"/>
              <w:bottom w:w="80" w:type="dxa"/>
              <w:right w:w="90" w:type="dxa"/>
            </w:tcMar>
            <w:vAlign w:val="center"/>
          </w:tcPr>
          <w:p w14:paraId="5DCFC40F" w14:textId="77777777" w:rsidR="00836931" w:rsidRDefault="00836931" w:rsidP="00914269">
            <w:pPr>
              <w:pStyle w:val="Corpodetexto"/>
              <w:spacing w:before="0"/>
              <w:jc w:val="center"/>
            </w:pPr>
            <w:r>
              <w:rPr>
                <w:sz w:val="18"/>
              </w:rPr>
              <w:t>Hybrid AI</w:t>
            </w:r>
          </w:p>
        </w:tc>
        <w:tc>
          <w:tcPr>
            <w:tcW w:w="1728" w:type="dxa"/>
            <w:tcMar>
              <w:top w:w="80" w:type="dxa"/>
              <w:left w:w="90" w:type="dxa"/>
              <w:bottom w:w="80" w:type="dxa"/>
              <w:right w:w="90" w:type="dxa"/>
            </w:tcMar>
            <w:vAlign w:val="center"/>
          </w:tcPr>
          <w:p w14:paraId="06A163FF" w14:textId="77777777" w:rsidR="00836931" w:rsidRDefault="00836931" w:rsidP="00914269">
            <w:pPr>
              <w:pStyle w:val="Corpodetexto"/>
              <w:spacing w:before="0"/>
              <w:jc w:val="center"/>
            </w:pPr>
            <w:r>
              <w:rPr>
                <w:sz w:val="18"/>
              </w:rPr>
              <w:t>0.0%</w:t>
            </w:r>
          </w:p>
        </w:tc>
        <w:tc>
          <w:tcPr>
            <w:tcW w:w="1728" w:type="dxa"/>
            <w:tcMar>
              <w:top w:w="80" w:type="dxa"/>
              <w:left w:w="90" w:type="dxa"/>
              <w:bottom w:w="80" w:type="dxa"/>
              <w:right w:w="90" w:type="dxa"/>
            </w:tcMar>
            <w:vAlign w:val="center"/>
          </w:tcPr>
          <w:p w14:paraId="7885DA5E" w14:textId="77777777" w:rsidR="00836931" w:rsidRDefault="00836931" w:rsidP="00914269">
            <w:pPr>
              <w:pStyle w:val="Corpodetexto"/>
              <w:spacing w:before="0"/>
              <w:jc w:val="center"/>
            </w:pPr>
            <w:r>
              <w:rPr>
                <w:sz w:val="18"/>
              </w:rPr>
              <w:t>0.0%</w:t>
            </w:r>
          </w:p>
        </w:tc>
      </w:tr>
      <w:tr w:rsidR="00836931" w14:paraId="0293062E" w14:textId="77777777" w:rsidTr="00CC5897">
        <w:trPr>
          <w:jc w:val="center"/>
        </w:trPr>
        <w:tc>
          <w:tcPr>
            <w:tcW w:w="2735" w:type="dxa"/>
            <w:vMerge w:val="restart"/>
            <w:tcMar>
              <w:top w:w="80" w:type="dxa"/>
              <w:left w:w="90" w:type="dxa"/>
              <w:bottom w:w="80" w:type="dxa"/>
              <w:right w:w="90" w:type="dxa"/>
            </w:tcMar>
            <w:vAlign w:val="center"/>
          </w:tcPr>
          <w:p w14:paraId="0F067B7D" w14:textId="77777777" w:rsidR="00836931" w:rsidRDefault="00836931" w:rsidP="00914269">
            <w:pPr>
              <w:pStyle w:val="Corpodetexto"/>
              <w:spacing w:before="0"/>
            </w:pPr>
            <w:r>
              <w:rPr>
                <w:sz w:val="18"/>
              </w:rPr>
              <w:t>Supply Disruption</w:t>
            </w:r>
          </w:p>
        </w:tc>
        <w:tc>
          <w:tcPr>
            <w:tcW w:w="3168" w:type="dxa"/>
            <w:tcMar>
              <w:top w:w="80" w:type="dxa"/>
              <w:left w:w="90" w:type="dxa"/>
              <w:bottom w:w="80" w:type="dxa"/>
              <w:right w:w="90" w:type="dxa"/>
            </w:tcMar>
            <w:vAlign w:val="center"/>
          </w:tcPr>
          <w:p w14:paraId="06BC16EC" w14:textId="77777777" w:rsidR="00836931" w:rsidRDefault="00836931" w:rsidP="00914269">
            <w:pPr>
              <w:pStyle w:val="Corpodetexto"/>
              <w:spacing w:before="0"/>
              <w:jc w:val="center"/>
            </w:pPr>
            <w:r>
              <w:rPr>
                <w:sz w:val="18"/>
              </w:rPr>
              <w:t>Static</w:t>
            </w:r>
          </w:p>
        </w:tc>
        <w:tc>
          <w:tcPr>
            <w:tcW w:w="1728" w:type="dxa"/>
            <w:tcMar>
              <w:top w:w="80" w:type="dxa"/>
              <w:left w:w="90" w:type="dxa"/>
              <w:bottom w:w="80" w:type="dxa"/>
              <w:right w:w="90" w:type="dxa"/>
            </w:tcMar>
            <w:vAlign w:val="center"/>
          </w:tcPr>
          <w:p w14:paraId="78C80B29" w14:textId="77777777" w:rsidR="00836931" w:rsidRDefault="00836931" w:rsidP="00914269">
            <w:pPr>
              <w:pStyle w:val="Corpodetexto"/>
              <w:spacing w:before="0"/>
              <w:jc w:val="center"/>
            </w:pPr>
            <w:r>
              <w:rPr>
                <w:sz w:val="18"/>
              </w:rPr>
              <w:t>52.4%</w:t>
            </w:r>
          </w:p>
        </w:tc>
        <w:tc>
          <w:tcPr>
            <w:tcW w:w="1728" w:type="dxa"/>
            <w:tcMar>
              <w:top w:w="80" w:type="dxa"/>
              <w:left w:w="90" w:type="dxa"/>
              <w:bottom w:w="80" w:type="dxa"/>
              <w:right w:w="90" w:type="dxa"/>
            </w:tcMar>
            <w:vAlign w:val="center"/>
          </w:tcPr>
          <w:p w14:paraId="2D612346" w14:textId="77777777" w:rsidR="00836931" w:rsidRDefault="00836931" w:rsidP="00914269">
            <w:pPr>
              <w:pStyle w:val="Corpodetexto"/>
              <w:spacing w:before="0"/>
              <w:jc w:val="center"/>
            </w:pPr>
            <w:r>
              <w:rPr>
                <w:sz w:val="18"/>
              </w:rPr>
              <w:t>51.3%</w:t>
            </w:r>
          </w:p>
        </w:tc>
      </w:tr>
      <w:tr w:rsidR="00836931" w14:paraId="292D996C" w14:textId="77777777" w:rsidTr="00CC5897">
        <w:trPr>
          <w:jc w:val="center"/>
        </w:trPr>
        <w:tc>
          <w:tcPr>
            <w:tcW w:w="2735" w:type="dxa"/>
            <w:vMerge/>
            <w:tcMar>
              <w:top w:w="80" w:type="dxa"/>
              <w:left w:w="90" w:type="dxa"/>
              <w:bottom w:w="80" w:type="dxa"/>
              <w:right w:w="90" w:type="dxa"/>
            </w:tcMar>
            <w:vAlign w:val="center"/>
          </w:tcPr>
          <w:p w14:paraId="5D60CCB4" w14:textId="769BB942" w:rsidR="00836931" w:rsidRDefault="00836931" w:rsidP="00914269">
            <w:pPr>
              <w:pStyle w:val="Corpodetexto"/>
              <w:spacing w:before="0"/>
            </w:pPr>
          </w:p>
        </w:tc>
        <w:tc>
          <w:tcPr>
            <w:tcW w:w="3168" w:type="dxa"/>
            <w:tcMar>
              <w:top w:w="80" w:type="dxa"/>
              <w:left w:w="90" w:type="dxa"/>
              <w:bottom w:w="80" w:type="dxa"/>
              <w:right w:w="90" w:type="dxa"/>
            </w:tcMar>
            <w:vAlign w:val="center"/>
          </w:tcPr>
          <w:p w14:paraId="659A05DC" w14:textId="77777777" w:rsidR="00836931" w:rsidRDefault="00836931" w:rsidP="00914269">
            <w:pPr>
              <w:pStyle w:val="Corpodetexto"/>
              <w:spacing w:before="0"/>
              <w:jc w:val="center"/>
            </w:pPr>
            <w:r>
              <w:rPr>
                <w:sz w:val="18"/>
              </w:rPr>
              <w:t>Dynamic</w:t>
            </w:r>
          </w:p>
        </w:tc>
        <w:tc>
          <w:tcPr>
            <w:tcW w:w="1728" w:type="dxa"/>
            <w:tcMar>
              <w:top w:w="80" w:type="dxa"/>
              <w:left w:w="90" w:type="dxa"/>
              <w:bottom w:w="80" w:type="dxa"/>
              <w:right w:w="90" w:type="dxa"/>
            </w:tcMar>
            <w:vAlign w:val="center"/>
          </w:tcPr>
          <w:p w14:paraId="60DFAC0D" w14:textId="77777777" w:rsidR="00836931" w:rsidRDefault="00836931" w:rsidP="00914269">
            <w:pPr>
              <w:pStyle w:val="Corpodetexto"/>
              <w:spacing w:before="0"/>
              <w:jc w:val="center"/>
            </w:pPr>
            <w:r>
              <w:rPr>
                <w:sz w:val="18"/>
              </w:rPr>
              <w:t>47.6%</w:t>
            </w:r>
          </w:p>
        </w:tc>
        <w:tc>
          <w:tcPr>
            <w:tcW w:w="1728" w:type="dxa"/>
            <w:tcMar>
              <w:top w:w="80" w:type="dxa"/>
              <w:left w:w="90" w:type="dxa"/>
              <w:bottom w:w="80" w:type="dxa"/>
              <w:right w:w="90" w:type="dxa"/>
            </w:tcMar>
            <w:vAlign w:val="center"/>
          </w:tcPr>
          <w:p w14:paraId="7FD85479" w14:textId="77777777" w:rsidR="00836931" w:rsidRDefault="00836931" w:rsidP="00914269">
            <w:pPr>
              <w:pStyle w:val="Corpodetexto"/>
              <w:spacing w:before="0"/>
              <w:jc w:val="center"/>
            </w:pPr>
            <w:r>
              <w:rPr>
                <w:sz w:val="18"/>
              </w:rPr>
              <w:t>45.2%</w:t>
            </w:r>
          </w:p>
        </w:tc>
      </w:tr>
      <w:tr w:rsidR="00836931" w14:paraId="4E3B4E63" w14:textId="77777777" w:rsidTr="00CC5897">
        <w:trPr>
          <w:jc w:val="center"/>
        </w:trPr>
        <w:tc>
          <w:tcPr>
            <w:tcW w:w="2735" w:type="dxa"/>
            <w:vMerge/>
            <w:tcMar>
              <w:top w:w="80" w:type="dxa"/>
              <w:left w:w="90" w:type="dxa"/>
              <w:bottom w:w="80" w:type="dxa"/>
              <w:right w:w="90" w:type="dxa"/>
            </w:tcMar>
            <w:vAlign w:val="center"/>
          </w:tcPr>
          <w:p w14:paraId="55639AA0" w14:textId="4F1F0BFE" w:rsidR="00836931" w:rsidRDefault="00836931" w:rsidP="00914269">
            <w:pPr>
              <w:pStyle w:val="Corpodetexto"/>
              <w:spacing w:before="0"/>
            </w:pPr>
          </w:p>
        </w:tc>
        <w:tc>
          <w:tcPr>
            <w:tcW w:w="3168" w:type="dxa"/>
            <w:tcMar>
              <w:top w:w="80" w:type="dxa"/>
              <w:left w:w="90" w:type="dxa"/>
              <w:bottom w:w="80" w:type="dxa"/>
              <w:right w:w="90" w:type="dxa"/>
            </w:tcMar>
            <w:vAlign w:val="center"/>
          </w:tcPr>
          <w:p w14:paraId="692FD685" w14:textId="77777777" w:rsidR="00836931" w:rsidRDefault="00836931" w:rsidP="00914269">
            <w:pPr>
              <w:pStyle w:val="Corpodetexto"/>
              <w:spacing w:before="0"/>
              <w:jc w:val="center"/>
            </w:pPr>
            <w:r>
              <w:rPr>
                <w:sz w:val="18"/>
              </w:rPr>
              <w:t>Dynamic + Forecast</w:t>
            </w:r>
          </w:p>
        </w:tc>
        <w:tc>
          <w:tcPr>
            <w:tcW w:w="1728" w:type="dxa"/>
            <w:tcMar>
              <w:top w:w="80" w:type="dxa"/>
              <w:left w:w="90" w:type="dxa"/>
              <w:bottom w:w="80" w:type="dxa"/>
              <w:right w:w="90" w:type="dxa"/>
            </w:tcMar>
            <w:vAlign w:val="center"/>
          </w:tcPr>
          <w:p w14:paraId="6B45A9D2" w14:textId="77777777" w:rsidR="00836931" w:rsidRDefault="00836931" w:rsidP="00914269">
            <w:pPr>
              <w:pStyle w:val="Corpodetexto"/>
              <w:spacing w:before="0"/>
              <w:jc w:val="center"/>
            </w:pPr>
            <w:r>
              <w:rPr>
                <w:sz w:val="18"/>
              </w:rPr>
              <w:t>43.2%</w:t>
            </w:r>
          </w:p>
        </w:tc>
        <w:tc>
          <w:tcPr>
            <w:tcW w:w="1728" w:type="dxa"/>
            <w:tcMar>
              <w:top w:w="80" w:type="dxa"/>
              <w:left w:w="90" w:type="dxa"/>
              <w:bottom w:w="80" w:type="dxa"/>
              <w:right w:w="90" w:type="dxa"/>
            </w:tcMar>
            <w:vAlign w:val="center"/>
          </w:tcPr>
          <w:p w14:paraId="6A90C0A4" w14:textId="77777777" w:rsidR="00836931" w:rsidRDefault="00836931" w:rsidP="00914269">
            <w:pPr>
              <w:pStyle w:val="Corpodetexto"/>
              <w:spacing w:before="0"/>
              <w:jc w:val="center"/>
            </w:pPr>
            <w:r>
              <w:rPr>
                <w:sz w:val="18"/>
              </w:rPr>
              <w:t>16.1%</w:t>
            </w:r>
          </w:p>
        </w:tc>
      </w:tr>
      <w:tr w:rsidR="00836931" w14:paraId="38FC93E6" w14:textId="77777777" w:rsidTr="00CC5897">
        <w:trPr>
          <w:jc w:val="center"/>
        </w:trPr>
        <w:tc>
          <w:tcPr>
            <w:tcW w:w="2735" w:type="dxa"/>
            <w:vMerge/>
            <w:tcMar>
              <w:top w:w="80" w:type="dxa"/>
              <w:left w:w="90" w:type="dxa"/>
              <w:bottom w:w="80" w:type="dxa"/>
              <w:right w:w="90" w:type="dxa"/>
            </w:tcMar>
            <w:vAlign w:val="center"/>
          </w:tcPr>
          <w:p w14:paraId="543AFAA3" w14:textId="751BE237" w:rsidR="00836931" w:rsidRDefault="00836931" w:rsidP="00914269">
            <w:pPr>
              <w:pStyle w:val="Corpodetexto"/>
              <w:spacing w:before="0"/>
            </w:pPr>
          </w:p>
        </w:tc>
        <w:tc>
          <w:tcPr>
            <w:tcW w:w="3168" w:type="dxa"/>
            <w:tcBorders>
              <w:bottom w:val="single" w:sz="4" w:space="0" w:color="auto"/>
            </w:tcBorders>
            <w:tcMar>
              <w:top w:w="80" w:type="dxa"/>
              <w:left w:w="90" w:type="dxa"/>
              <w:bottom w:w="80" w:type="dxa"/>
              <w:right w:w="90" w:type="dxa"/>
            </w:tcMar>
            <w:vAlign w:val="center"/>
          </w:tcPr>
          <w:p w14:paraId="75AE34C6" w14:textId="77777777" w:rsidR="00836931" w:rsidRDefault="00836931" w:rsidP="00914269">
            <w:pPr>
              <w:pStyle w:val="Corpodetexto"/>
              <w:spacing w:before="0"/>
              <w:jc w:val="center"/>
            </w:pPr>
            <w:r>
              <w:rPr>
                <w:sz w:val="18"/>
              </w:rPr>
              <w:t>Base-stock (Uncertain)</w:t>
            </w:r>
          </w:p>
        </w:tc>
        <w:tc>
          <w:tcPr>
            <w:tcW w:w="1728" w:type="dxa"/>
            <w:tcBorders>
              <w:bottom w:val="single" w:sz="4" w:space="0" w:color="auto"/>
            </w:tcBorders>
            <w:tcMar>
              <w:top w:w="80" w:type="dxa"/>
              <w:left w:w="90" w:type="dxa"/>
              <w:bottom w:w="80" w:type="dxa"/>
              <w:right w:w="90" w:type="dxa"/>
            </w:tcMar>
            <w:vAlign w:val="center"/>
          </w:tcPr>
          <w:p w14:paraId="372B8FE8" w14:textId="77777777" w:rsidR="00836931" w:rsidRDefault="00836931" w:rsidP="00914269">
            <w:pPr>
              <w:pStyle w:val="Corpodetexto"/>
              <w:spacing w:before="0"/>
              <w:jc w:val="center"/>
            </w:pPr>
            <w:r>
              <w:rPr>
                <w:sz w:val="18"/>
              </w:rPr>
              <w:t>43.3%</w:t>
            </w:r>
          </w:p>
        </w:tc>
        <w:tc>
          <w:tcPr>
            <w:tcW w:w="1728" w:type="dxa"/>
            <w:tcBorders>
              <w:bottom w:val="single" w:sz="4" w:space="0" w:color="auto"/>
            </w:tcBorders>
            <w:tcMar>
              <w:top w:w="80" w:type="dxa"/>
              <w:left w:w="90" w:type="dxa"/>
              <w:bottom w:w="80" w:type="dxa"/>
              <w:right w:w="90" w:type="dxa"/>
            </w:tcMar>
            <w:vAlign w:val="center"/>
          </w:tcPr>
          <w:p w14:paraId="1D3C9A6A" w14:textId="77777777" w:rsidR="00836931" w:rsidRDefault="00836931" w:rsidP="00914269">
            <w:pPr>
              <w:pStyle w:val="Corpodetexto"/>
              <w:spacing w:before="0"/>
              <w:jc w:val="center"/>
            </w:pPr>
            <w:r>
              <w:rPr>
                <w:sz w:val="18"/>
              </w:rPr>
              <w:t>16.3%</w:t>
            </w:r>
          </w:p>
        </w:tc>
      </w:tr>
      <w:tr w:rsidR="00836931" w14:paraId="73CE776C" w14:textId="77777777" w:rsidTr="00CC5897">
        <w:trPr>
          <w:jc w:val="center"/>
        </w:trPr>
        <w:tc>
          <w:tcPr>
            <w:tcW w:w="2735" w:type="dxa"/>
            <w:vMerge/>
            <w:tcBorders>
              <w:bottom w:val="single" w:sz="4" w:space="0" w:color="auto"/>
            </w:tcBorders>
            <w:tcMar>
              <w:top w:w="80" w:type="dxa"/>
              <w:left w:w="90" w:type="dxa"/>
              <w:bottom w:w="80" w:type="dxa"/>
              <w:right w:w="90" w:type="dxa"/>
            </w:tcMar>
            <w:vAlign w:val="center"/>
          </w:tcPr>
          <w:p w14:paraId="4CC2ABA8" w14:textId="49C25B1B" w:rsidR="00836931" w:rsidRDefault="00836931" w:rsidP="00914269">
            <w:pPr>
              <w:pStyle w:val="Corpodetexto"/>
              <w:spacing w:before="0"/>
            </w:pPr>
          </w:p>
        </w:tc>
        <w:tc>
          <w:tcPr>
            <w:tcW w:w="3168" w:type="dxa"/>
            <w:tcBorders>
              <w:bottom w:val="single" w:sz="4" w:space="0" w:color="auto"/>
            </w:tcBorders>
            <w:tcMar>
              <w:top w:w="80" w:type="dxa"/>
              <w:left w:w="90" w:type="dxa"/>
              <w:bottom w:w="80" w:type="dxa"/>
              <w:right w:w="90" w:type="dxa"/>
            </w:tcMar>
            <w:vAlign w:val="center"/>
          </w:tcPr>
          <w:p w14:paraId="63402259" w14:textId="77777777" w:rsidR="00836931" w:rsidRDefault="00836931" w:rsidP="00914269">
            <w:pPr>
              <w:pStyle w:val="Corpodetexto"/>
              <w:spacing w:before="0"/>
              <w:jc w:val="center"/>
            </w:pPr>
            <w:r>
              <w:rPr>
                <w:sz w:val="18"/>
              </w:rPr>
              <w:t>Hybrid AI</w:t>
            </w:r>
          </w:p>
        </w:tc>
        <w:tc>
          <w:tcPr>
            <w:tcW w:w="1728" w:type="dxa"/>
            <w:tcBorders>
              <w:bottom w:val="single" w:sz="4" w:space="0" w:color="auto"/>
            </w:tcBorders>
            <w:tcMar>
              <w:top w:w="80" w:type="dxa"/>
              <w:left w:w="90" w:type="dxa"/>
              <w:bottom w:w="80" w:type="dxa"/>
              <w:right w:w="90" w:type="dxa"/>
            </w:tcMar>
            <w:vAlign w:val="center"/>
          </w:tcPr>
          <w:p w14:paraId="2E7293C3" w14:textId="77777777" w:rsidR="00836931" w:rsidRDefault="00836931" w:rsidP="00914269">
            <w:pPr>
              <w:pStyle w:val="Corpodetexto"/>
              <w:spacing w:before="0"/>
              <w:jc w:val="center"/>
            </w:pPr>
            <w:r>
              <w:rPr>
                <w:sz w:val="18"/>
              </w:rPr>
              <w:t>98.1%</w:t>
            </w:r>
          </w:p>
        </w:tc>
        <w:tc>
          <w:tcPr>
            <w:tcW w:w="1728" w:type="dxa"/>
            <w:tcBorders>
              <w:bottom w:val="single" w:sz="4" w:space="0" w:color="auto"/>
            </w:tcBorders>
            <w:tcMar>
              <w:top w:w="80" w:type="dxa"/>
              <w:left w:w="90" w:type="dxa"/>
              <w:bottom w:w="80" w:type="dxa"/>
              <w:right w:w="90" w:type="dxa"/>
            </w:tcMar>
            <w:vAlign w:val="center"/>
          </w:tcPr>
          <w:p w14:paraId="7C9B7B19" w14:textId="77777777" w:rsidR="00836931" w:rsidRDefault="00836931" w:rsidP="00914269">
            <w:pPr>
              <w:pStyle w:val="Corpodetexto"/>
              <w:spacing w:before="0"/>
              <w:jc w:val="center"/>
            </w:pPr>
            <w:r>
              <w:rPr>
                <w:sz w:val="18"/>
              </w:rPr>
              <w:t>99.0%</w:t>
            </w:r>
          </w:p>
        </w:tc>
      </w:tr>
      <w:tr w:rsidR="006E5A11" w:rsidRPr="006E5A11" w14:paraId="6D5D5FCB" w14:textId="77777777" w:rsidTr="00CC5897">
        <w:trPr>
          <w:trHeight w:val="421"/>
          <w:jc w:val="center"/>
        </w:trPr>
        <w:tc>
          <w:tcPr>
            <w:tcW w:w="9359" w:type="dxa"/>
            <w:gridSpan w:val="4"/>
            <w:tcBorders>
              <w:top w:val="single" w:sz="4" w:space="0" w:color="auto"/>
              <w:left w:val="nil"/>
              <w:bottom w:val="nil"/>
              <w:right w:val="nil"/>
            </w:tcBorders>
            <w:tcMar>
              <w:top w:w="80" w:type="dxa"/>
              <w:left w:w="90" w:type="dxa"/>
              <w:bottom w:w="80" w:type="dxa"/>
              <w:right w:w="90" w:type="dxa"/>
            </w:tcMar>
            <w:vAlign w:val="center"/>
          </w:tcPr>
          <w:p w14:paraId="52C8687D" w14:textId="77777777" w:rsidR="006E5A11" w:rsidRPr="006E5A11" w:rsidRDefault="006E5A11" w:rsidP="00CC5897">
            <w:pPr>
              <w:pStyle w:val="Corpodetexto"/>
              <w:spacing w:before="0"/>
              <w:ind w:left="0"/>
              <w:jc w:val="both"/>
              <w:rPr>
                <w:sz w:val="18"/>
                <w:szCs w:val="18"/>
              </w:rPr>
            </w:pPr>
            <w:r w:rsidRPr="006E5A11">
              <w:rPr>
                <w:sz w:val="18"/>
                <w:szCs w:val="18"/>
              </w:rPr>
              <w:t>Note: Table 7 reports guaranteed lower bounds derived from mean fill rates, whereas Table 8 reports empirical breach probabilities and distributional tail metrics computed from raw replications.</w:t>
            </w:r>
          </w:p>
        </w:tc>
      </w:tr>
    </w:tbl>
    <w:p w14:paraId="3230ED87" w14:textId="77777777" w:rsidR="009A2D53" w:rsidRDefault="00000000" w:rsidP="006E5A11">
      <w:pPr>
        <w:pStyle w:val="Corpodetexto"/>
        <w:spacing w:before="240"/>
        <w:ind w:left="266"/>
      </w:pPr>
      <w:r>
        <w:rPr>
          <w:b/>
        </w:rPr>
        <w:t>Table 8. Empirical tail-risk and cost-tail metrics (multi-seed sensitivity).</w:t>
      </w:r>
    </w:p>
    <w:tbl>
      <w:tblPr>
        <w:tblStyle w:val="Tabelacomgrade"/>
        <w:tblW w:w="0" w:type="auto"/>
        <w:jc w:val="center"/>
        <w:tblLook w:val="04A0" w:firstRow="1" w:lastRow="0" w:firstColumn="1" w:lastColumn="0" w:noHBand="0" w:noVBand="1"/>
      </w:tblPr>
      <w:tblGrid>
        <w:gridCol w:w="1838"/>
        <w:gridCol w:w="1134"/>
        <w:gridCol w:w="2312"/>
        <w:gridCol w:w="1390"/>
        <w:gridCol w:w="1285"/>
        <w:gridCol w:w="1777"/>
      </w:tblGrid>
      <w:tr w:rsidR="009A2D53" w14:paraId="6409CEAC" w14:textId="77777777" w:rsidTr="00C023AA">
        <w:trPr>
          <w:tblHeader/>
          <w:jc w:val="center"/>
        </w:trPr>
        <w:tc>
          <w:tcPr>
            <w:tcW w:w="1838" w:type="dxa"/>
            <w:shd w:val="clear" w:color="auto" w:fill="EAEFF7"/>
            <w:tcMar>
              <w:top w:w="80" w:type="dxa"/>
              <w:left w:w="90" w:type="dxa"/>
              <w:bottom w:w="80" w:type="dxa"/>
              <w:right w:w="90" w:type="dxa"/>
            </w:tcMar>
            <w:vAlign w:val="center"/>
          </w:tcPr>
          <w:p w14:paraId="1A151469" w14:textId="77777777" w:rsidR="009A2D53" w:rsidRDefault="00000000" w:rsidP="00C023AA">
            <w:pPr>
              <w:pStyle w:val="Corpodetexto"/>
              <w:spacing w:before="0"/>
              <w:ind w:left="0"/>
              <w:jc w:val="center"/>
            </w:pPr>
            <w:r>
              <w:rPr>
                <w:b/>
                <w:sz w:val="19"/>
              </w:rPr>
              <w:t>Scenario</w:t>
            </w:r>
          </w:p>
        </w:tc>
        <w:tc>
          <w:tcPr>
            <w:tcW w:w="1134" w:type="dxa"/>
            <w:shd w:val="clear" w:color="auto" w:fill="EAEFF7"/>
            <w:tcMar>
              <w:top w:w="80" w:type="dxa"/>
              <w:left w:w="90" w:type="dxa"/>
              <w:bottom w:w="80" w:type="dxa"/>
              <w:right w:w="90" w:type="dxa"/>
            </w:tcMar>
            <w:vAlign w:val="center"/>
          </w:tcPr>
          <w:p w14:paraId="35BCB4BF" w14:textId="77777777" w:rsidR="009A2D53" w:rsidRDefault="00000000" w:rsidP="00C023AA">
            <w:pPr>
              <w:pStyle w:val="Corpodetexto"/>
              <w:spacing w:before="0"/>
              <w:ind w:left="0"/>
              <w:jc w:val="center"/>
            </w:pPr>
            <w:r>
              <w:rPr>
                <w:b/>
                <w:sz w:val="19"/>
              </w:rPr>
              <w:t>Horizon</w:t>
            </w:r>
          </w:p>
        </w:tc>
        <w:tc>
          <w:tcPr>
            <w:tcW w:w="2312" w:type="dxa"/>
            <w:shd w:val="clear" w:color="auto" w:fill="EAEFF7"/>
            <w:tcMar>
              <w:top w:w="80" w:type="dxa"/>
              <w:left w:w="90" w:type="dxa"/>
              <w:bottom w:w="80" w:type="dxa"/>
              <w:right w:w="90" w:type="dxa"/>
            </w:tcMar>
            <w:vAlign w:val="center"/>
          </w:tcPr>
          <w:p w14:paraId="236ECA7F" w14:textId="77777777" w:rsidR="009A2D53" w:rsidRDefault="00000000" w:rsidP="00C023AA">
            <w:pPr>
              <w:pStyle w:val="Corpodetexto"/>
              <w:spacing w:before="0"/>
              <w:ind w:left="0"/>
              <w:jc w:val="center"/>
            </w:pPr>
            <w:r>
              <w:rPr>
                <w:b/>
                <w:sz w:val="19"/>
              </w:rPr>
              <w:t>Policy</w:t>
            </w:r>
          </w:p>
        </w:tc>
        <w:tc>
          <w:tcPr>
            <w:tcW w:w="1390" w:type="dxa"/>
            <w:shd w:val="clear" w:color="auto" w:fill="EAEFF7"/>
            <w:tcMar>
              <w:top w:w="80" w:type="dxa"/>
              <w:left w:w="90" w:type="dxa"/>
              <w:bottom w:w="80" w:type="dxa"/>
              <w:right w:w="90" w:type="dxa"/>
            </w:tcMar>
            <w:vAlign w:val="center"/>
          </w:tcPr>
          <w:p w14:paraId="6C5B2C12" w14:textId="77777777" w:rsidR="009A2D53" w:rsidRDefault="00000000" w:rsidP="00C023AA">
            <w:pPr>
              <w:pStyle w:val="Corpodetexto"/>
              <w:spacing w:before="0"/>
              <w:ind w:left="0"/>
              <w:jc w:val="center"/>
            </w:pPr>
            <w:proofErr w:type="gramStart"/>
            <w:r>
              <w:rPr>
                <w:b/>
                <w:sz w:val="19"/>
              </w:rPr>
              <w:t>P(</w:t>
            </w:r>
            <w:proofErr w:type="gramEnd"/>
            <w:r>
              <w:rPr>
                <w:b/>
                <w:sz w:val="19"/>
              </w:rPr>
              <w:t>fill &lt; 0.90)</w:t>
            </w:r>
          </w:p>
        </w:tc>
        <w:tc>
          <w:tcPr>
            <w:tcW w:w="1285" w:type="dxa"/>
            <w:shd w:val="clear" w:color="auto" w:fill="EAEFF7"/>
            <w:tcMar>
              <w:top w:w="80" w:type="dxa"/>
              <w:left w:w="90" w:type="dxa"/>
              <w:bottom w:w="80" w:type="dxa"/>
              <w:right w:w="90" w:type="dxa"/>
            </w:tcMar>
            <w:vAlign w:val="center"/>
          </w:tcPr>
          <w:p w14:paraId="00B6A8C0" w14:textId="77777777" w:rsidR="009A2D53" w:rsidRDefault="00000000" w:rsidP="00C023AA">
            <w:pPr>
              <w:pStyle w:val="Corpodetexto"/>
              <w:spacing w:before="0"/>
              <w:ind w:left="0"/>
              <w:jc w:val="center"/>
            </w:pPr>
            <w:r>
              <w:rPr>
                <w:b/>
                <w:sz w:val="19"/>
              </w:rPr>
              <w:t>p05(fill)</w:t>
            </w:r>
          </w:p>
        </w:tc>
        <w:tc>
          <w:tcPr>
            <w:tcW w:w="1777" w:type="dxa"/>
            <w:shd w:val="clear" w:color="auto" w:fill="EAEFF7"/>
            <w:tcMar>
              <w:top w:w="80" w:type="dxa"/>
              <w:left w:w="90" w:type="dxa"/>
              <w:bottom w:w="80" w:type="dxa"/>
              <w:right w:w="90" w:type="dxa"/>
            </w:tcMar>
            <w:vAlign w:val="center"/>
          </w:tcPr>
          <w:p w14:paraId="7A748B1D" w14:textId="77777777" w:rsidR="009A2D53" w:rsidRDefault="00000000" w:rsidP="00C023AA">
            <w:pPr>
              <w:pStyle w:val="Corpodetexto"/>
              <w:spacing w:before="0"/>
              <w:ind w:left="0"/>
              <w:jc w:val="center"/>
            </w:pPr>
            <w:r>
              <w:rPr>
                <w:b/>
                <w:sz w:val="19"/>
              </w:rPr>
              <w:t>p95(total cost)</w:t>
            </w:r>
          </w:p>
        </w:tc>
      </w:tr>
      <w:tr w:rsidR="003C5CB9" w14:paraId="4BE50F00" w14:textId="77777777" w:rsidTr="00C023AA">
        <w:trPr>
          <w:jc w:val="center"/>
        </w:trPr>
        <w:tc>
          <w:tcPr>
            <w:tcW w:w="1838" w:type="dxa"/>
            <w:vMerge w:val="restart"/>
            <w:tcMar>
              <w:top w:w="80" w:type="dxa"/>
              <w:left w:w="90" w:type="dxa"/>
              <w:bottom w:w="80" w:type="dxa"/>
              <w:right w:w="90" w:type="dxa"/>
            </w:tcMar>
            <w:vAlign w:val="center"/>
          </w:tcPr>
          <w:p w14:paraId="674A7A84" w14:textId="77777777" w:rsidR="003C5CB9" w:rsidRPr="006E5A11" w:rsidRDefault="003C5CB9" w:rsidP="00C023AA">
            <w:pPr>
              <w:pStyle w:val="Corpodetexto"/>
              <w:spacing w:before="0"/>
              <w:ind w:left="0"/>
              <w:rPr>
                <w:sz w:val="18"/>
                <w:szCs w:val="18"/>
              </w:rPr>
            </w:pPr>
            <w:r w:rsidRPr="006E5A11">
              <w:rPr>
                <w:sz w:val="18"/>
                <w:szCs w:val="18"/>
              </w:rPr>
              <w:t>Stable</w:t>
            </w:r>
          </w:p>
        </w:tc>
        <w:tc>
          <w:tcPr>
            <w:tcW w:w="1134" w:type="dxa"/>
            <w:tcMar>
              <w:top w:w="80" w:type="dxa"/>
              <w:left w:w="90" w:type="dxa"/>
              <w:bottom w:w="80" w:type="dxa"/>
              <w:right w:w="90" w:type="dxa"/>
            </w:tcMar>
            <w:vAlign w:val="center"/>
          </w:tcPr>
          <w:p w14:paraId="2F4B1895" w14:textId="77777777" w:rsidR="003C5CB9" w:rsidRPr="006E5A11" w:rsidRDefault="003C5CB9" w:rsidP="00C023AA">
            <w:pPr>
              <w:pStyle w:val="Corpodetexto"/>
              <w:spacing w:before="0"/>
              <w:ind w:left="0"/>
              <w:jc w:val="center"/>
              <w:rPr>
                <w:sz w:val="18"/>
                <w:szCs w:val="18"/>
              </w:rPr>
            </w:pPr>
            <w:r w:rsidRPr="006E5A11">
              <w:rPr>
                <w:sz w:val="18"/>
                <w:szCs w:val="18"/>
              </w:rPr>
              <w:t>90</w:t>
            </w:r>
          </w:p>
        </w:tc>
        <w:tc>
          <w:tcPr>
            <w:tcW w:w="2312" w:type="dxa"/>
            <w:tcMar>
              <w:top w:w="80" w:type="dxa"/>
              <w:left w:w="90" w:type="dxa"/>
              <w:bottom w:w="80" w:type="dxa"/>
              <w:right w:w="90" w:type="dxa"/>
            </w:tcMar>
            <w:vAlign w:val="center"/>
          </w:tcPr>
          <w:p w14:paraId="6EFAE4EB" w14:textId="77777777" w:rsidR="003C5CB9" w:rsidRPr="006E5A11" w:rsidRDefault="003C5CB9" w:rsidP="00C023AA">
            <w:pPr>
              <w:pStyle w:val="Corpodetexto"/>
              <w:spacing w:before="0"/>
              <w:ind w:left="0"/>
              <w:rPr>
                <w:sz w:val="18"/>
                <w:szCs w:val="18"/>
              </w:rPr>
            </w:pPr>
            <w:r w:rsidRPr="006E5A11">
              <w:rPr>
                <w:sz w:val="18"/>
                <w:szCs w:val="18"/>
              </w:rPr>
              <w:t>Hybrid AI</w:t>
            </w:r>
          </w:p>
        </w:tc>
        <w:tc>
          <w:tcPr>
            <w:tcW w:w="1390" w:type="dxa"/>
            <w:tcMar>
              <w:top w:w="80" w:type="dxa"/>
              <w:left w:w="90" w:type="dxa"/>
              <w:bottom w:w="80" w:type="dxa"/>
              <w:right w:w="90" w:type="dxa"/>
            </w:tcMar>
            <w:vAlign w:val="center"/>
          </w:tcPr>
          <w:p w14:paraId="2A2CEE94" w14:textId="77777777" w:rsidR="003C5CB9" w:rsidRPr="006E5A11" w:rsidRDefault="003C5CB9" w:rsidP="00C023AA">
            <w:pPr>
              <w:pStyle w:val="Corpodetexto"/>
              <w:spacing w:before="0"/>
              <w:ind w:left="0"/>
              <w:jc w:val="center"/>
              <w:rPr>
                <w:sz w:val="18"/>
                <w:szCs w:val="18"/>
              </w:rPr>
            </w:pPr>
            <w:r w:rsidRPr="006E5A11">
              <w:rPr>
                <w:sz w:val="18"/>
                <w:szCs w:val="18"/>
              </w:rPr>
              <w:t>0.0067</w:t>
            </w:r>
          </w:p>
        </w:tc>
        <w:tc>
          <w:tcPr>
            <w:tcW w:w="1285" w:type="dxa"/>
            <w:tcMar>
              <w:top w:w="80" w:type="dxa"/>
              <w:left w:w="90" w:type="dxa"/>
              <w:bottom w:w="80" w:type="dxa"/>
              <w:right w:w="90" w:type="dxa"/>
            </w:tcMar>
            <w:vAlign w:val="center"/>
          </w:tcPr>
          <w:p w14:paraId="18C96A20" w14:textId="77777777" w:rsidR="003C5CB9" w:rsidRPr="006E5A11" w:rsidRDefault="003C5CB9" w:rsidP="00C023AA">
            <w:pPr>
              <w:pStyle w:val="Corpodetexto"/>
              <w:spacing w:before="0"/>
              <w:ind w:left="0"/>
              <w:jc w:val="center"/>
              <w:rPr>
                <w:sz w:val="18"/>
                <w:szCs w:val="18"/>
              </w:rPr>
            </w:pPr>
            <w:r w:rsidRPr="006E5A11">
              <w:rPr>
                <w:sz w:val="18"/>
                <w:szCs w:val="18"/>
              </w:rPr>
              <w:t>0.9388</w:t>
            </w:r>
          </w:p>
        </w:tc>
        <w:tc>
          <w:tcPr>
            <w:tcW w:w="1777" w:type="dxa"/>
            <w:tcMar>
              <w:top w:w="80" w:type="dxa"/>
              <w:left w:w="90" w:type="dxa"/>
              <w:bottom w:w="80" w:type="dxa"/>
              <w:right w:w="90" w:type="dxa"/>
            </w:tcMar>
            <w:vAlign w:val="center"/>
          </w:tcPr>
          <w:p w14:paraId="01F9169C" w14:textId="77777777" w:rsidR="003C5CB9" w:rsidRPr="006E5A11" w:rsidRDefault="003C5CB9" w:rsidP="00C023AA">
            <w:pPr>
              <w:pStyle w:val="Corpodetexto"/>
              <w:spacing w:before="0"/>
              <w:ind w:left="0"/>
              <w:jc w:val="center"/>
              <w:rPr>
                <w:sz w:val="18"/>
                <w:szCs w:val="18"/>
              </w:rPr>
            </w:pPr>
            <w:r w:rsidRPr="006E5A11">
              <w:rPr>
                <w:sz w:val="18"/>
                <w:szCs w:val="18"/>
              </w:rPr>
              <w:t>1,866,503</w:t>
            </w:r>
          </w:p>
        </w:tc>
      </w:tr>
      <w:tr w:rsidR="003C5CB9" w14:paraId="6F644207" w14:textId="77777777" w:rsidTr="00C023AA">
        <w:trPr>
          <w:jc w:val="center"/>
        </w:trPr>
        <w:tc>
          <w:tcPr>
            <w:tcW w:w="1838" w:type="dxa"/>
            <w:vMerge/>
            <w:tcMar>
              <w:top w:w="80" w:type="dxa"/>
              <w:left w:w="90" w:type="dxa"/>
              <w:bottom w:w="80" w:type="dxa"/>
              <w:right w:w="90" w:type="dxa"/>
            </w:tcMar>
            <w:vAlign w:val="center"/>
          </w:tcPr>
          <w:p w14:paraId="2D7D52E9" w14:textId="7539305F" w:rsidR="003C5CB9" w:rsidRPr="006E5A11" w:rsidRDefault="003C5CB9" w:rsidP="00C023AA">
            <w:pPr>
              <w:pStyle w:val="Corpodetexto"/>
              <w:spacing w:before="0"/>
              <w:ind w:left="0"/>
              <w:rPr>
                <w:sz w:val="18"/>
                <w:szCs w:val="18"/>
              </w:rPr>
            </w:pPr>
          </w:p>
        </w:tc>
        <w:tc>
          <w:tcPr>
            <w:tcW w:w="1134" w:type="dxa"/>
            <w:tcMar>
              <w:top w:w="80" w:type="dxa"/>
              <w:left w:w="90" w:type="dxa"/>
              <w:bottom w:w="80" w:type="dxa"/>
              <w:right w:w="90" w:type="dxa"/>
            </w:tcMar>
            <w:vAlign w:val="center"/>
          </w:tcPr>
          <w:p w14:paraId="3BE2924E" w14:textId="77777777" w:rsidR="003C5CB9" w:rsidRPr="006E5A11" w:rsidRDefault="003C5CB9" w:rsidP="00C023AA">
            <w:pPr>
              <w:pStyle w:val="Corpodetexto"/>
              <w:spacing w:before="0"/>
              <w:ind w:left="0"/>
              <w:jc w:val="center"/>
              <w:rPr>
                <w:sz w:val="18"/>
                <w:szCs w:val="18"/>
              </w:rPr>
            </w:pPr>
            <w:r w:rsidRPr="006E5A11">
              <w:rPr>
                <w:sz w:val="18"/>
                <w:szCs w:val="18"/>
              </w:rPr>
              <w:t>90</w:t>
            </w:r>
          </w:p>
        </w:tc>
        <w:tc>
          <w:tcPr>
            <w:tcW w:w="2312" w:type="dxa"/>
            <w:tcMar>
              <w:top w:w="80" w:type="dxa"/>
              <w:left w:w="90" w:type="dxa"/>
              <w:bottom w:w="80" w:type="dxa"/>
              <w:right w:w="90" w:type="dxa"/>
            </w:tcMar>
            <w:vAlign w:val="center"/>
          </w:tcPr>
          <w:p w14:paraId="7E13961F" w14:textId="77777777" w:rsidR="003C5CB9" w:rsidRDefault="003C5CB9" w:rsidP="00C023AA">
            <w:r>
              <w:t>Base-stock (Uncertain)</w:t>
            </w:r>
          </w:p>
        </w:tc>
        <w:tc>
          <w:tcPr>
            <w:tcW w:w="1390" w:type="dxa"/>
            <w:tcMar>
              <w:top w:w="80" w:type="dxa"/>
              <w:left w:w="90" w:type="dxa"/>
              <w:bottom w:w="80" w:type="dxa"/>
              <w:right w:w="90" w:type="dxa"/>
            </w:tcMar>
            <w:vAlign w:val="center"/>
          </w:tcPr>
          <w:p w14:paraId="507310A8" w14:textId="77777777" w:rsidR="003C5CB9" w:rsidRPr="006E5A11" w:rsidRDefault="003C5CB9" w:rsidP="00C023AA">
            <w:pPr>
              <w:pStyle w:val="Corpodetexto"/>
              <w:spacing w:before="0"/>
              <w:ind w:left="0"/>
              <w:jc w:val="center"/>
              <w:rPr>
                <w:sz w:val="18"/>
                <w:szCs w:val="18"/>
              </w:rPr>
            </w:pPr>
            <w:r w:rsidRPr="006E5A11">
              <w:rPr>
                <w:sz w:val="18"/>
                <w:szCs w:val="18"/>
              </w:rPr>
              <w:t>0.0000</w:t>
            </w:r>
          </w:p>
        </w:tc>
        <w:tc>
          <w:tcPr>
            <w:tcW w:w="1285" w:type="dxa"/>
            <w:tcMar>
              <w:top w:w="80" w:type="dxa"/>
              <w:left w:w="90" w:type="dxa"/>
              <w:bottom w:w="80" w:type="dxa"/>
              <w:right w:w="90" w:type="dxa"/>
            </w:tcMar>
            <w:vAlign w:val="center"/>
          </w:tcPr>
          <w:p w14:paraId="6952DE5C" w14:textId="77777777" w:rsidR="003C5CB9" w:rsidRPr="006E5A11" w:rsidRDefault="003C5CB9" w:rsidP="00C023AA">
            <w:pPr>
              <w:pStyle w:val="Corpodetexto"/>
              <w:spacing w:before="0"/>
              <w:ind w:left="0"/>
              <w:jc w:val="center"/>
              <w:rPr>
                <w:sz w:val="18"/>
                <w:szCs w:val="18"/>
              </w:rPr>
            </w:pPr>
            <w:r w:rsidRPr="006E5A11">
              <w:rPr>
                <w:sz w:val="18"/>
                <w:szCs w:val="18"/>
              </w:rPr>
              <w:t>0.9408</w:t>
            </w:r>
          </w:p>
        </w:tc>
        <w:tc>
          <w:tcPr>
            <w:tcW w:w="1777" w:type="dxa"/>
            <w:tcMar>
              <w:top w:w="80" w:type="dxa"/>
              <w:left w:w="90" w:type="dxa"/>
              <w:bottom w:w="80" w:type="dxa"/>
              <w:right w:w="90" w:type="dxa"/>
            </w:tcMar>
            <w:vAlign w:val="center"/>
          </w:tcPr>
          <w:p w14:paraId="2B296DC1" w14:textId="77777777" w:rsidR="003C5CB9" w:rsidRPr="006E5A11" w:rsidRDefault="003C5CB9" w:rsidP="00C023AA">
            <w:pPr>
              <w:pStyle w:val="Corpodetexto"/>
              <w:spacing w:before="0"/>
              <w:ind w:left="0"/>
              <w:jc w:val="center"/>
              <w:rPr>
                <w:sz w:val="18"/>
                <w:szCs w:val="18"/>
              </w:rPr>
            </w:pPr>
            <w:r w:rsidRPr="006E5A11">
              <w:rPr>
                <w:sz w:val="18"/>
                <w:szCs w:val="18"/>
              </w:rPr>
              <w:t>1,848,240</w:t>
            </w:r>
          </w:p>
        </w:tc>
      </w:tr>
      <w:tr w:rsidR="003C5CB9" w14:paraId="5D775E79" w14:textId="77777777" w:rsidTr="00C023AA">
        <w:trPr>
          <w:jc w:val="center"/>
        </w:trPr>
        <w:tc>
          <w:tcPr>
            <w:tcW w:w="1838" w:type="dxa"/>
            <w:vMerge/>
            <w:tcMar>
              <w:top w:w="80" w:type="dxa"/>
              <w:left w:w="90" w:type="dxa"/>
              <w:bottom w:w="80" w:type="dxa"/>
              <w:right w:w="90" w:type="dxa"/>
            </w:tcMar>
            <w:vAlign w:val="center"/>
          </w:tcPr>
          <w:p w14:paraId="7445FA3B" w14:textId="2E01A42C" w:rsidR="003C5CB9" w:rsidRPr="006E5A11" w:rsidRDefault="003C5CB9" w:rsidP="00C023AA">
            <w:pPr>
              <w:pStyle w:val="Corpodetexto"/>
              <w:spacing w:before="0"/>
              <w:ind w:left="0"/>
              <w:rPr>
                <w:sz w:val="18"/>
                <w:szCs w:val="18"/>
              </w:rPr>
            </w:pPr>
          </w:p>
        </w:tc>
        <w:tc>
          <w:tcPr>
            <w:tcW w:w="1134" w:type="dxa"/>
            <w:tcMar>
              <w:top w:w="80" w:type="dxa"/>
              <w:left w:w="90" w:type="dxa"/>
              <w:bottom w:w="80" w:type="dxa"/>
              <w:right w:w="90" w:type="dxa"/>
            </w:tcMar>
            <w:vAlign w:val="center"/>
          </w:tcPr>
          <w:p w14:paraId="3B9D94A8" w14:textId="77777777" w:rsidR="003C5CB9" w:rsidRPr="006E5A11" w:rsidRDefault="003C5CB9" w:rsidP="00C023AA">
            <w:pPr>
              <w:pStyle w:val="Corpodetexto"/>
              <w:spacing w:before="0"/>
              <w:ind w:left="0"/>
              <w:jc w:val="center"/>
              <w:rPr>
                <w:sz w:val="18"/>
                <w:szCs w:val="18"/>
              </w:rPr>
            </w:pPr>
            <w:r w:rsidRPr="006E5A11">
              <w:rPr>
                <w:sz w:val="18"/>
                <w:szCs w:val="18"/>
              </w:rPr>
              <w:t>90</w:t>
            </w:r>
          </w:p>
        </w:tc>
        <w:tc>
          <w:tcPr>
            <w:tcW w:w="2312" w:type="dxa"/>
            <w:tcMar>
              <w:top w:w="80" w:type="dxa"/>
              <w:left w:w="90" w:type="dxa"/>
              <w:bottom w:w="80" w:type="dxa"/>
              <w:right w:w="90" w:type="dxa"/>
            </w:tcMar>
            <w:vAlign w:val="center"/>
          </w:tcPr>
          <w:p w14:paraId="275CC82D" w14:textId="77777777" w:rsidR="003C5CB9" w:rsidRDefault="003C5CB9" w:rsidP="00C023AA">
            <w:r>
              <w:t>Dynamic + Forecast</w:t>
            </w:r>
          </w:p>
        </w:tc>
        <w:tc>
          <w:tcPr>
            <w:tcW w:w="1390" w:type="dxa"/>
            <w:tcMar>
              <w:top w:w="80" w:type="dxa"/>
              <w:left w:w="90" w:type="dxa"/>
              <w:bottom w:w="80" w:type="dxa"/>
              <w:right w:w="90" w:type="dxa"/>
            </w:tcMar>
            <w:vAlign w:val="center"/>
          </w:tcPr>
          <w:p w14:paraId="2D782357" w14:textId="77777777" w:rsidR="003C5CB9" w:rsidRPr="006E5A11" w:rsidRDefault="003C5CB9" w:rsidP="00C023AA">
            <w:pPr>
              <w:pStyle w:val="Corpodetexto"/>
              <w:spacing w:before="0"/>
              <w:ind w:left="0"/>
              <w:jc w:val="center"/>
              <w:rPr>
                <w:sz w:val="18"/>
                <w:szCs w:val="18"/>
              </w:rPr>
            </w:pPr>
            <w:r w:rsidRPr="006E5A11">
              <w:rPr>
                <w:sz w:val="18"/>
                <w:szCs w:val="18"/>
              </w:rPr>
              <w:t>0.0000</w:t>
            </w:r>
          </w:p>
        </w:tc>
        <w:tc>
          <w:tcPr>
            <w:tcW w:w="1285" w:type="dxa"/>
            <w:tcMar>
              <w:top w:w="80" w:type="dxa"/>
              <w:left w:w="90" w:type="dxa"/>
              <w:bottom w:w="80" w:type="dxa"/>
              <w:right w:w="90" w:type="dxa"/>
            </w:tcMar>
            <w:vAlign w:val="center"/>
          </w:tcPr>
          <w:p w14:paraId="74F094E6" w14:textId="77777777" w:rsidR="003C5CB9" w:rsidRPr="006E5A11" w:rsidRDefault="003C5CB9" w:rsidP="00C023AA">
            <w:pPr>
              <w:pStyle w:val="Corpodetexto"/>
              <w:spacing w:before="0"/>
              <w:ind w:left="0"/>
              <w:jc w:val="center"/>
              <w:rPr>
                <w:sz w:val="18"/>
                <w:szCs w:val="18"/>
              </w:rPr>
            </w:pPr>
            <w:r w:rsidRPr="006E5A11">
              <w:rPr>
                <w:sz w:val="18"/>
                <w:szCs w:val="18"/>
              </w:rPr>
              <w:t>0.9390</w:t>
            </w:r>
          </w:p>
        </w:tc>
        <w:tc>
          <w:tcPr>
            <w:tcW w:w="1777" w:type="dxa"/>
            <w:tcMar>
              <w:top w:w="80" w:type="dxa"/>
              <w:left w:w="90" w:type="dxa"/>
              <w:bottom w:w="80" w:type="dxa"/>
              <w:right w:w="90" w:type="dxa"/>
            </w:tcMar>
            <w:vAlign w:val="center"/>
          </w:tcPr>
          <w:p w14:paraId="4C8D22A8" w14:textId="77777777" w:rsidR="003C5CB9" w:rsidRPr="006E5A11" w:rsidRDefault="003C5CB9" w:rsidP="00C023AA">
            <w:pPr>
              <w:pStyle w:val="Corpodetexto"/>
              <w:spacing w:before="0"/>
              <w:ind w:left="0"/>
              <w:jc w:val="center"/>
              <w:rPr>
                <w:sz w:val="18"/>
                <w:szCs w:val="18"/>
              </w:rPr>
            </w:pPr>
            <w:r w:rsidRPr="006E5A11">
              <w:rPr>
                <w:sz w:val="18"/>
                <w:szCs w:val="18"/>
              </w:rPr>
              <w:t>1,720,999</w:t>
            </w:r>
          </w:p>
        </w:tc>
      </w:tr>
      <w:tr w:rsidR="003C5CB9" w14:paraId="202A533D" w14:textId="77777777" w:rsidTr="00C023AA">
        <w:trPr>
          <w:jc w:val="center"/>
        </w:trPr>
        <w:tc>
          <w:tcPr>
            <w:tcW w:w="1838" w:type="dxa"/>
            <w:vMerge/>
            <w:tcMar>
              <w:top w:w="80" w:type="dxa"/>
              <w:left w:w="90" w:type="dxa"/>
              <w:bottom w:w="80" w:type="dxa"/>
              <w:right w:w="90" w:type="dxa"/>
            </w:tcMar>
            <w:vAlign w:val="center"/>
          </w:tcPr>
          <w:p w14:paraId="477020D2" w14:textId="100408F9" w:rsidR="003C5CB9" w:rsidRPr="006E5A11" w:rsidRDefault="003C5CB9" w:rsidP="00C023AA">
            <w:pPr>
              <w:pStyle w:val="Corpodetexto"/>
              <w:spacing w:before="0"/>
              <w:ind w:left="0"/>
              <w:rPr>
                <w:sz w:val="18"/>
                <w:szCs w:val="18"/>
              </w:rPr>
            </w:pPr>
          </w:p>
        </w:tc>
        <w:tc>
          <w:tcPr>
            <w:tcW w:w="1134" w:type="dxa"/>
            <w:tcMar>
              <w:top w:w="80" w:type="dxa"/>
              <w:left w:w="90" w:type="dxa"/>
              <w:bottom w:w="80" w:type="dxa"/>
              <w:right w:w="90" w:type="dxa"/>
            </w:tcMar>
            <w:vAlign w:val="center"/>
          </w:tcPr>
          <w:p w14:paraId="33A80277" w14:textId="77777777" w:rsidR="003C5CB9" w:rsidRPr="006E5A11" w:rsidRDefault="003C5CB9" w:rsidP="00C023AA">
            <w:pPr>
              <w:pStyle w:val="Corpodetexto"/>
              <w:spacing w:before="0"/>
              <w:ind w:left="0"/>
              <w:jc w:val="center"/>
              <w:rPr>
                <w:sz w:val="18"/>
                <w:szCs w:val="18"/>
              </w:rPr>
            </w:pPr>
            <w:r w:rsidRPr="006E5A11">
              <w:rPr>
                <w:sz w:val="18"/>
                <w:szCs w:val="18"/>
              </w:rPr>
              <w:t>180</w:t>
            </w:r>
          </w:p>
        </w:tc>
        <w:tc>
          <w:tcPr>
            <w:tcW w:w="2312" w:type="dxa"/>
            <w:tcMar>
              <w:top w:w="80" w:type="dxa"/>
              <w:left w:w="90" w:type="dxa"/>
              <w:bottom w:w="80" w:type="dxa"/>
              <w:right w:w="90" w:type="dxa"/>
            </w:tcMar>
            <w:vAlign w:val="center"/>
          </w:tcPr>
          <w:p w14:paraId="4F735177" w14:textId="77777777" w:rsidR="003C5CB9" w:rsidRPr="006E5A11" w:rsidRDefault="003C5CB9" w:rsidP="00C023AA">
            <w:pPr>
              <w:pStyle w:val="Corpodetexto"/>
              <w:spacing w:before="0"/>
              <w:ind w:left="0"/>
              <w:rPr>
                <w:sz w:val="18"/>
                <w:szCs w:val="18"/>
              </w:rPr>
            </w:pPr>
            <w:r w:rsidRPr="006E5A11">
              <w:rPr>
                <w:sz w:val="18"/>
                <w:szCs w:val="18"/>
              </w:rPr>
              <w:t>Hybrid AI</w:t>
            </w:r>
          </w:p>
        </w:tc>
        <w:tc>
          <w:tcPr>
            <w:tcW w:w="1390" w:type="dxa"/>
            <w:tcMar>
              <w:top w:w="80" w:type="dxa"/>
              <w:left w:w="90" w:type="dxa"/>
              <w:bottom w:w="80" w:type="dxa"/>
              <w:right w:w="90" w:type="dxa"/>
            </w:tcMar>
            <w:vAlign w:val="center"/>
          </w:tcPr>
          <w:p w14:paraId="160931F4" w14:textId="77777777" w:rsidR="003C5CB9" w:rsidRPr="006E5A11" w:rsidRDefault="003C5CB9" w:rsidP="00C023AA">
            <w:pPr>
              <w:pStyle w:val="Corpodetexto"/>
              <w:spacing w:before="0"/>
              <w:ind w:left="0"/>
              <w:jc w:val="center"/>
              <w:rPr>
                <w:sz w:val="18"/>
                <w:szCs w:val="18"/>
              </w:rPr>
            </w:pPr>
            <w:r w:rsidRPr="006E5A11">
              <w:rPr>
                <w:sz w:val="18"/>
                <w:szCs w:val="18"/>
              </w:rPr>
              <w:t>0.0067</w:t>
            </w:r>
          </w:p>
        </w:tc>
        <w:tc>
          <w:tcPr>
            <w:tcW w:w="1285" w:type="dxa"/>
            <w:tcMar>
              <w:top w:w="80" w:type="dxa"/>
              <w:left w:w="90" w:type="dxa"/>
              <w:bottom w:w="80" w:type="dxa"/>
              <w:right w:w="90" w:type="dxa"/>
            </w:tcMar>
            <w:vAlign w:val="center"/>
          </w:tcPr>
          <w:p w14:paraId="79CE0A72" w14:textId="77777777" w:rsidR="003C5CB9" w:rsidRPr="006E5A11" w:rsidRDefault="003C5CB9" w:rsidP="00C023AA">
            <w:pPr>
              <w:pStyle w:val="Corpodetexto"/>
              <w:spacing w:before="0"/>
              <w:ind w:left="0"/>
              <w:jc w:val="center"/>
              <w:rPr>
                <w:sz w:val="18"/>
                <w:szCs w:val="18"/>
              </w:rPr>
            </w:pPr>
            <w:r w:rsidRPr="006E5A11">
              <w:rPr>
                <w:sz w:val="18"/>
                <w:szCs w:val="18"/>
              </w:rPr>
              <w:t>0.9662</w:t>
            </w:r>
          </w:p>
        </w:tc>
        <w:tc>
          <w:tcPr>
            <w:tcW w:w="1777" w:type="dxa"/>
            <w:tcMar>
              <w:top w:w="80" w:type="dxa"/>
              <w:left w:w="90" w:type="dxa"/>
              <w:bottom w:w="80" w:type="dxa"/>
              <w:right w:w="90" w:type="dxa"/>
            </w:tcMar>
            <w:vAlign w:val="center"/>
          </w:tcPr>
          <w:p w14:paraId="7073A914" w14:textId="77777777" w:rsidR="003C5CB9" w:rsidRPr="006E5A11" w:rsidRDefault="003C5CB9" w:rsidP="00C023AA">
            <w:pPr>
              <w:pStyle w:val="Corpodetexto"/>
              <w:spacing w:before="0"/>
              <w:ind w:left="0"/>
              <w:jc w:val="center"/>
              <w:rPr>
                <w:sz w:val="18"/>
                <w:szCs w:val="18"/>
              </w:rPr>
            </w:pPr>
            <w:r w:rsidRPr="006E5A11">
              <w:rPr>
                <w:sz w:val="18"/>
                <w:szCs w:val="18"/>
              </w:rPr>
              <w:t>1,803,731</w:t>
            </w:r>
          </w:p>
        </w:tc>
      </w:tr>
      <w:tr w:rsidR="003C5CB9" w14:paraId="6DF7AADF" w14:textId="77777777" w:rsidTr="00C023AA">
        <w:trPr>
          <w:jc w:val="center"/>
        </w:trPr>
        <w:tc>
          <w:tcPr>
            <w:tcW w:w="1838" w:type="dxa"/>
            <w:vMerge/>
            <w:tcMar>
              <w:top w:w="80" w:type="dxa"/>
              <w:left w:w="90" w:type="dxa"/>
              <w:bottom w:w="80" w:type="dxa"/>
              <w:right w:w="90" w:type="dxa"/>
            </w:tcMar>
            <w:vAlign w:val="center"/>
          </w:tcPr>
          <w:p w14:paraId="12C7FF17" w14:textId="05D8FBE5" w:rsidR="003C5CB9" w:rsidRPr="006E5A11" w:rsidRDefault="003C5CB9" w:rsidP="00C023AA">
            <w:pPr>
              <w:pStyle w:val="Corpodetexto"/>
              <w:spacing w:before="0"/>
              <w:ind w:left="0"/>
              <w:rPr>
                <w:sz w:val="18"/>
                <w:szCs w:val="18"/>
              </w:rPr>
            </w:pPr>
          </w:p>
        </w:tc>
        <w:tc>
          <w:tcPr>
            <w:tcW w:w="1134" w:type="dxa"/>
            <w:tcMar>
              <w:top w:w="80" w:type="dxa"/>
              <w:left w:w="90" w:type="dxa"/>
              <w:bottom w:w="80" w:type="dxa"/>
              <w:right w:w="90" w:type="dxa"/>
            </w:tcMar>
            <w:vAlign w:val="center"/>
          </w:tcPr>
          <w:p w14:paraId="1D91C41D" w14:textId="77777777" w:rsidR="003C5CB9" w:rsidRPr="006E5A11" w:rsidRDefault="003C5CB9" w:rsidP="00C023AA">
            <w:pPr>
              <w:pStyle w:val="Corpodetexto"/>
              <w:spacing w:before="0"/>
              <w:ind w:left="0"/>
              <w:jc w:val="center"/>
              <w:rPr>
                <w:sz w:val="18"/>
                <w:szCs w:val="18"/>
              </w:rPr>
            </w:pPr>
            <w:r w:rsidRPr="006E5A11">
              <w:rPr>
                <w:sz w:val="18"/>
                <w:szCs w:val="18"/>
              </w:rPr>
              <w:t>180</w:t>
            </w:r>
          </w:p>
        </w:tc>
        <w:tc>
          <w:tcPr>
            <w:tcW w:w="2312" w:type="dxa"/>
            <w:tcMar>
              <w:top w:w="80" w:type="dxa"/>
              <w:left w:w="90" w:type="dxa"/>
              <w:bottom w:w="80" w:type="dxa"/>
              <w:right w:w="90" w:type="dxa"/>
            </w:tcMar>
            <w:vAlign w:val="center"/>
          </w:tcPr>
          <w:p w14:paraId="7C1D4D32" w14:textId="77777777" w:rsidR="003C5CB9" w:rsidRDefault="003C5CB9" w:rsidP="00C023AA">
            <w:r>
              <w:t>Base-stock (Uncertain)</w:t>
            </w:r>
          </w:p>
        </w:tc>
        <w:tc>
          <w:tcPr>
            <w:tcW w:w="1390" w:type="dxa"/>
            <w:tcMar>
              <w:top w:w="80" w:type="dxa"/>
              <w:left w:w="90" w:type="dxa"/>
              <w:bottom w:w="80" w:type="dxa"/>
              <w:right w:w="90" w:type="dxa"/>
            </w:tcMar>
            <w:vAlign w:val="center"/>
          </w:tcPr>
          <w:p w14:paraId="0B276E01" w14:textId="77777777" w:rsidR="003C5CB9" w:rsidRPr="006E5A11" w:rsidRDefault="003C5CB9" w:rsidP="00C023AA">
            <w:pPr>
              <w:pStyle w:val="Corpodetexto"/>
              <w:spacing w:before="0"/>
              <w:ind w:left="0"/>
              <w:jc w:val="center"/>
              <w:rPr>
                <w:sz w:val="18"/>
                <w:szCs w:val="18"/>
              </w:rPr>
            </w:pPr>
            <w:r w:rsidRPr="006E5A11">
              <w:rPr>
                <w:sz w:val="18"/>
                <w:szCs w:val="18"/>
              </w:rPr>
              <w:t>0.0000</w:t>
            </w:r>
          </w:p>
        </w:tc>
        <w:tc>
          <w:tcPr>
            <w:tcW w:w="1285" w:type="dxa"/>
            <w:tcMar>
              <w:top w:w="80" w:type="dxa"/>
              <w:left w:w="90" w:type="dxa"/>
              <w:bottom w:w="80" w:type="dxa"/>
              <w:right w:w="90" w:type="dxa"/>
            </w:tcMar>
            <w:vAlign w:val="center"/>
          </w:tcPr>
          <w:p w14:paraId="02B3D324" w14:textId="77777777" w:rsidR="003C5CB9" w:rsidRPr="006E5A11" w:rsidRDefault="003C5CB9" w:rsidP="00C023AA">
            <w:pPr>
              <w:pStyle w:val="Corpodetexto"/>
              <w:spacing w:before="0"/>
              <w:ind w:left="0"/>
              <w:jc w:val="center"/>
              <w:rPr>
                <w:sz w:val="18"/>
                <w:szCs w:val="18"/>
              </w:rPr>
            </w:pPr>
            <w:r w:rsidRPr="006E5A11">
              <w:rPr>
                <w:sz w:val="18"/>
                <w:szCs w:val="18"/>
              </w:rPr>
              <w:t>0.9595</w:t>
            </w:r>
          </w:p>
        </w:tc>
        <w:tc>
          <w:tcPr>
            <w:tcW w:w="1777" w:type="dxa"/>
            <w:tcMar>
              <w:top w:w="80" w:type="dxa"/>
              <w:left w:w="90" w:type="dxa"/>
              <w:bottom w:w="80" w:type="dxa"/>
              <w:right w:w="90" w:type="dxa"/>
            </w:tcMar>
            <w:vAlign w:val="center"/>
          </w:tcPr>
          <w:p w14:paraId="47B7B716" w14:textId="77777777" w:rsidR="003C5CB9" w:rsidRPr="006E5A11" w:rsidRDefault="003C5CB9" w:rsidP="00C023AA">
            <w:pPr>
              <w:pStyle w:val="Corpodetexto"/>
              <w:spacing w:before="0"/>
              <w:ind w:left="0"/>
              <w:jc w:val="center"/>
              <w:rPr>
                <w:sz w:val="18"/>
                <w:szCs w:val="18"/>
              </w:rPr>
            </w:pPr>
            <w:r w:rsidRPr="006E5A11">
              <w:rPr>
                <w:sz w:val="18"/>
                <w:szCs w:val="18"/>
              </w:rPr>
              <w:t>2,050,602</w:t>
            </w:r>
          </w:p>
        </w:tc>
      </w:tr>
      <w:tr w:rsidR="003C5CB9" w14:paraId="6C25B9CA" w14:textId="77777777" w:rsidTr="00C023AA">
        <w:trPr>
          <w:jc w:val="center"/>
        </w:trPr>
        <w:tc>
          <w:tcPr>
            <w:tcW w:w="1838" w:type="dxa"/>
            <w:vMerge/>
            <w:tcMar>
              <w:top w:w="80" w:type="dxa"/>
              <w:left w:w="90" w:type="dxa"/>
              <w:bottom w:w="80" w:type="dxa"/>
              <w:right w:w="90" w:type="dxa"/>
            </w:tcMar>
            <w:vAlign w:val="center"/>
          </w:tcPr>
          <w:p w14:paraId="516322B9" w14:textId="704445F2" w:rsidR="003C5CB9" w:rsidRPr="006E5A11" w:rsidRDefault="003C5CB9" w:rsidP="00C023AA">
            <w:pPr>
              <w:pStyle w:val="Corpodetexto"/>
              <w:spacing w:before="0"/>
              <w:ind w:left="0"/>
              <w:rPr>
                <w:sz w:val="18"/>
                <w:szCs w:val="18"/>
              </w:rPr>
            </w:pPr>
          </w:p>
        </w:tc>
        <w:tc>
          <w:tcPr>
            <w:tcW w:w="1134" w:type="dxa"/>
            <w:tcMar>
              <w:top w:w="80" w:type="dxa"/>
              <w:left w:w="90" w:type="dxa"/>
              <w:bottom w:w="80" w:type="dxa"/>
              <w:right w:w="90" w:type="dxa"/>
            </w:tcMar>
            <w:vAlign w:val="center"/>
          </w:tcPr>
          <w:p w14:paraId="6337FAD5" w14:textId="77777777" w:rsidR="003C5CB9" w:rsidRPr="006E5A11" w:rsidRDefault="003C5CB9" w:rsidP="00C023AA">
            <w:pPr>
              <w:pStyle w:val="Corpodetexto"/>
              <w:spacing w:before="0"/>
              <w:ind w:left="0"/>
              <w:jc w:val="center"/>
              <w:rPr>
                <w:sz w:val="18"/>
                <w:szCs w:val="18"/>
              </w:rPr>
            </w:pPr>
            <w:r w:rsidRPr="006E5A11">
              <w:rPr>
                <w:sz w:val="18"/>
                <w:szCs w:val="18"/>
              </w:rPr>
              <w:t>180</w:t>
            </w:r>
          </w:p>
        </w:tc>
        <w:tc>
          <w:tcPr>
            <w:tcW w:w="2312" w:type="dxa"/>
            <w:tcMar>
              <w:top w:w="80" w:type="dxa"/>
              <w:left w:w="90" w:type="dxa"/>
              <w:bottom w:w="80" w:type="dxa"/>
              <w:right w:w="90" w:type="dxa"/>
            </w:tcMar>
            <w:vAlign w:val="center"/>
          </w:tcPr>
          <w:p w14:paraId="759E9F3B" w14:textId="77777777" w:rsidR="003C5CB9" w:rsidRDefault="003C5CB9" w:rsidP="00C023AA">
            <w:r>
              <w:t>Dynamic + Forecast</w:t>
            </w:r>
          </w:p>
        </w:tc>
        <w:tc>
          <w:tcPr>
            <w:tcW w:w="1390" w:type="dxa"/>
            <w:tcMar>
              <w:top w:w="80" w:type="dxa"/>
              <w:left w:w="90" w:type="dxa"/>
              <w:bottom w:w="80" w:type="dxa"/>
              <w:right w:w="90" w:type="dxa"/>
            </w:tcMar>
            <w:vAlign w:val="center"/>
          </w:tcPr>
          <w:p w14:paraId="614FA32D" w14:textId="77777777" w:rsidR="003C5CB9" w:rsidRPr="006E5A11" w:rsidRDefault="003C5CB9" w:rsidP="00C023AA">
            <w:pPr>
              <w:pStyle w:val="Corpodetexto"/>
              <w:spacing w:before="0"/>
              <w:ind w:left="0"/>
              <w:jc w:val="center"/>
              <w:rPr>
                <w:sz w:val="18"/>
                <w:szCs w:val="18"/>
              </w:rPr>
            </w:pPr>
            <w:r w:rsidRPr="006E5A11">
              <w:rPr>
                <w:sz w:val="18"/>
                <w:szCs w:val="18"/>
              </w:rPr>
              <w:t>0.0000</w:t>
            </w:r>
          </w:p>
        </w:tc>
        <w:tc>
          <w:tcPr>
            <w:tcW w:w="1285" w:type="dxa"/>
            <w:tcMar>
              <w:top w:w="80" w:type="dxa"/>
              <w:left w:w="90" w:type="dxa"/>
              <w:bottom w:w="80" w:type="dxa"/>
              <w:right w:w="90" w:type="dxa"/>
            </w:tcMar>
            <w:vAlign w:val="center"/>
          </w:tcPr>
          <w:p w14:paraId="4733E238" w14:textId="77777777" w:rsidR="003C5CB9" w:rsidRPr="006E5A11" w:rsidRDefault="003C5CB9" w:rsidP="00C023AA">
            <w:pPr>
              <w:pStyle w:val="Corpodetexto"/>
              <w:spacing w:before="0"/>
              <w:ind w:left="0"/>
              <w:jc w:val="center"/>
              <w:rPr>
                <w:sz w:val="18"/>
                <w:szCs w:val="18"/>
              </w:rPr>
            </w:pPr>
            <w:r w:rsidRPr="006E5A11">
              <w:rPr>
                <w:sz w:val="18"/>
                <w:szCs w:val="18"/>
              </w:rPr>
              <w:t>0.9599</w:t>
            </w:r>
          </w:p>
        </w:tc>
        <w:tc>
          <w:tcPr>
            <w:tcW w:w="1777" w:type="dxa"/>
            <w:tcMar>
              <w:top w:w="80" w:type="dxa"/>
              <w:left w:w="90" w:type="dxa"/>
              <w:bottom w:w="80" w:type="dxa"/>
              <w:right w:w="90" w:type="dxa"/>
            </w:tcMar>
            <w:vAlign w:val="center"/>
          </w:tcPr>
          <w:p w14:paraId="2C7A5543" w14:textId="77777777" w:rsidR="003C5CB9" w:rsidRPr="006E5A11" w:rsidRDefault="003C5CB9" w:rsidP="00C023AA">
            <w:pPr>
              <w:pStyle w:val="Corpodetexto"/>
              <w:spacing w:before="0"/>
              <w:ind w:left="0"/>
              <w:jc w:val="center"/>
              <w:rPr>
                <w:sz w:val="18"/>
                <w:szCs w:val="18"/>
              </w:rPr>
            </w:pPr>
            <w:r w:rsidRPr="006E5A11">
              <w:rPr>
                <w:sz w:val="18"/>
                <w:szCs w:val="18"/>
              </w:rPr>
              <w:t>1,954,280</w:t>
            </w:r>
          </w:p>
        </w:tc>
      </w:tr>
      <w:tr w:rsidR="003C5CB9" w14:paraId="5C013D0C" w14:textId="77777777" w:rsidTr="00C023AA">
        <w:trPr>
          <w:jc w:val="center"/>
        </w:trPr>
        <w:tc>
          <w:tcPr>
            <w:tcW w:w="1838" w:type="dxa"/>
            <w:vMerge w:val="restart"/>
            <w:tcMar>
              <w:top w:w="80" w:type="dxa"/>
              <w:left w:w="90" w:type="dxa"/>
              <w:bottom w:w="80" w:type="dxa"/>
              <w:right w:w="90" w:type="dxa"/>
            </w:tcMar>
            <w:vAlign w:val="center"/>
          </w:tcPr>
          <w:p w14:paraId="7E555B09" w14:textId="77777777" w:rsidR="003C5CB9" w:rsidRPr="006E5A11" w:rsidRDefault="003C5CB9" w:rsidP="00C023AA">
            <w:pPr>
              <w:pStyle w:val="Corpodetexto"/>
              <w:spacing w:before="0"/>
              <w:ind w:left="0"/>
              <w:rPr>
                <w:sz w:val="18"/>
                <w:szCs w:val="18"/>
              </w:rPr>
            </w:pPr>
            <w:r w:rsidRPr="006E5A11">
              <w:rPr>
                <w:sz w:val="18"/>
                <w:szCs w:val="18"/>
              </w:rPr>
              <w:t>Supply Disruption</w:t>
            </w:r>
          </w:p>
        </w:tc>
        <w:tc>
          <w:tcPr>
            <w:tcW w:w="1134" w:type="dxa"/>
            <w:tcMar>
              <w:top w:w="80" w:type="dxa"/>
              <w:left w:w="90" w:type="dxa"/>
              <w:bottom w:w="80" w:type="dxa"/>
              <w:right w:w="90" w:type="dxa"/>
            </w:tcMar>
            <w:vAlign w:val="center"/>
          </w:tcPr>
          <w:p w14:paraId="2B9274C3" w14:textId="77777777" w:rsidR="003C5CB9" w:rsidRPr="006E5A11" w:rsidRDefault="003C5CB9" w:rsidP="00C023AA">
            <w:pPr>
              <w:pStyle w:val="Corpodetexto"/>
              <w:spacing w:before="0"/>
              <w:ind w:left="0"/>
              <w:jc w:val="center"/>
              <w:rPr>
                <w:sz w:val="18"/>
                <w:szCs w:val="18"/>
              </w:rPr>
            </w:pPr>
            <w:r w:rsidRPr="006E5A11">
              <w:rPr>
                <w:sz w:val="18"/>
                <w:szCs w:val="18"/>
              </w:rPr>
              <w:t>90</w:t>
            </w:r>
          </w:p>
        </w:tc>
        <w:tc>
          <w:tcPr>
            <w:tcW w:w="2312" w:type="dxa"/>
            <w:tcMar>
              <w:top w:w="80" w:type="dxa"/>
              <w:left w:w="90" w:type="dxa"/>
              <w:bottom w:w="80" w:type="dxa"/>
              <w:right w:w="90" w:type="dxa"/>
            </w:tcMar>
            <w:vAlign w:val="center"/>
          </w:tcPr>
          <w:p w14:paraId="2C96267F" w14:textId="77777777" w:rsidR="003C5CB9" w:rsidRPr="006E5A11" w:rsidRDefault="003C5CB9" w:rsidP="00C023AA">
            <w:pPr>
              <w:pStyle w:val="Corpodetexto"/>
              <w:spacing w:before="0"/>
              <w:ind w:left="0"/>
              <w:rPr>
                <w:sz w:val="18"/>
                <w:szCs w:val="18"/>
              </w:rPr>
            </w:pPr>
            <w:r w:rsidRPr="006E5A11">
              <w:rPr>
                <w:sz w:val="18"/>
                <w:szCs w:val="18"/>
              </w:rPr>
              <w:t>Hybrid AI</w:t>
            </w:r>
          </w:p>
        </w:tc>
        <w:tc>
          <w:tcPr>
            <w:tcW w:w="1390" w:type="dxa"/>
            <w:tcMar>
              <w:top w:w="80" w:type="dxa"/>
              <w:left w:w="90" w:type="dxa"/>
              <w:bottom w:w="80" w:type="dxa"/>
              <w:right w:w="90" w:type="dxa"/>
            </w:tcMar>
            <w:vAlign w:val="center"/>
          </w:tcPr>
          <w:p w14:paraId="174F9ED2" w14:textId="77777777" w:rsidR="003C5CB9" w:rsidRPr="006E5A11" w:rsidRDefault="003C5CB9" w:rsidP="00C023AA">
            <w:pPr>
              <w:pStyle w:val="Corpodetexto"/>
              <w:spacing w:before="0"/>
              <w:ind w:left="0"/>
              <w:jc w:val="center"/>
              <w:rPr>
                <w:sz w:val="18"/>
                <w:szCs w:val="18"/>
              </w:rPr>
            </w:pPr>
            <w:r w:rsidRPr="006E5A11">
              <w:rPr>
                <w:sz w:val="18"/>
                <w:szCs w:val="18"/>
              </w:rPr>
              <w:t>1.0000</w:t>
            </w:r>
          </w:p>
        </w:tc>
        <w:tc>
          <w:tcPr>
            <w:tcW w:w="1285" w:type="dxa"/>
            <w:tcMar>
              <w:top w:w="80" w:type="dxa"/>
              <w:left w:w="90" w:type="dxa"/>
              <w:bottom w:w="80" w:type="dxa"/>
              <w:right w:w="90" w:type="dxa"/>
            </w:tcMar>
            <w:vAlign w:val="center"/>
          </w:tcPr>
          <w:p w14:paraId="648C991B" w14:textId="77777777" w:rsidR="003C5CB9" w:rsidRPr="006E5A11" w:rsidRDefault="003C5CB9" w:rsidP="00C023AA">
            <w:pPr>
              <w:pStyle w:val="Corpodetexto"/>
              <w:spacing w:before="0"/>
              <w:ind w:left="0"/>
              <w:jc w:val="center"/>
              <w:rPr>
                <w:sz w:val="18"/>
                <w:szCs w:val="18"/>
              </w:rPr>
            </w:pPr>
            <w:r w:rsidRPr="006E5A11">
              <w:rPr>
                <w:sz w:val="18"/>
                <w:szCs w:val="18"/>
              </w:rPr>
              <w:t>0.0151</w:t>
            </w:r>
          </w:p>
        </w:tc>
        <w:tc>
          <w:tcPr>
            <w:tcW w:w="1777" w:type="dxa"/>
            <w:tcMar>
              <w:top w:w="80" w:type="dxa"/>
              <w:left w:w="90" w:type="dxa"/>
              <w:bottom w:w="80" w:type="dxa"/>
              <w:right w:w="90" w:type="dxa"/>
            </w:tcMar>
            <w:vAlign w:val="center"/>
          </w:tcPr>
          <w:p w14:paraId="00DA9135" w14:textId="77777777" w:rsidR="003C5CB9" w:rsidRPr="006E5A11" w:rsidRDefault="003C5CB9" w:rsidP="00C023AA">
            <w:pPr>
              <w:pStyle w:val="Corpodetexto"/>
              <w:spacing w:before="0"/>
              <w:ind w:left="0"/>
              <w:jc w:val="center"/>
              <w:rPr>
                <w:sz w:val="18"/>
                <w:szCs w:val="18"/>
              </w:rPr>
            </w:pPr>
            <w:r w:rsidRPr="006E5A11">
              <w:rPr>
                <w:sz w:val="18"/>
                <w:szCs w:val="18"/>
              </w:rPr>
              <w:t>24,093,530</w:t>
            </w:r>
          </w:p>
        </w:tc>
      </w:tr>
      <w:tr w:rsidR="003C5CB9" w14:paraId="76FC24CD" w14:textId="77777777" w:rsidTr="00C023AA">
        <w:trPr>
          <w:jc w:val="center"/>
        </w:trPr>
        <w:tc>
          <w:tcPr>
            <w:tcW w:w="1838" w:type="dxa"/>
            <w:vMerge/>
            <w:tcMar>
              <w:top w:w="80" w:type="dxa"/>
              <w:left w:w="90" w:type="dxa"/>
              <w:bottom w:w="80" w:type="dxa"/>
              <w:right w:w="90" w:type="dxa"/>
            </w:tcMar>
            <w:vAlign w:val="center"/>
          </w:tcPr>
          <w:p w14:paraId="368FE84D" w14:textId="3B96BF0F" w:rsidR="003C5CB9" w:rsidRPr="006E5A11" w:rsidRDefault="003C5CB9" w:rsidP="00C023AA">
            <w:pPr>
              <w:pStyle w:val="Corpodetexto"/>
              <w:spacing w:before="0"/>
              <w:ind w:left="0"/>
              <w:rPr>
                <w:sz w:val="18"/>
                <w:szCs w:val="18"/>
              </w:rPr>
            </w:pPr>
          </w:p>
        </w:tc>
        <w:tc>
          <w:tcPr>
            <w:tcW w:w="1134" w:type="dxa"/>
            <w:tcMar>
              <w:top w:w="80" w:type="dxa"/>
              <w:left w:w="90" w:type="dxa"/>
              <w:bottom w:w="80" w:type="dxa"/>
              <w:right w:w="90" w:type="dxa"/>
            </w:tcMar>
            <w:vAlign w:val="center"/>
          </w:tcPr>
          <w:p w14:paraId="49CFA957" w14:textId="77777777" w:rsidR="003C5CB9" w:rsidRPr="006E5A11" w:rsidRDefault="003C5CB9" w:rsidP="00C023AA">
            <w:pPr>
              <w:pStyle w:val="Corpodetexto"/>
              <w:spacing w:before="0"/>
              <w:ind w:left="0"/>
              <w:jc w:val="center"/>
              <w:rPr>
                <w:sz w:val="18"/>
                <w:szCs w:val="18"/>
              </w:rPr>
            </w:pPr>
            <w:r w:rsidRPr="006E5A11">
              <w:rPr>
                <w:sz w:val="18"/>
                <w:szCs w:val="18"/>
              </w:rPr>
              <w:t>90</w:t>
            </w:r>
          </w:p>
        </w:tc>
        <w:tc>
          <w:tcPr>
            <w:tcW w:w="2312" w:type="dxa"/>
            <w:tcMar>
              <w:top w:w="80" w:type="dxa"/>
              <w:left w:w="90" w:type="dxa"/>
              <w:bottom w:w="80" w:type="dxa"/>
              <w:right w:w="90" w:type="dxa"/>
            </w:tcMar>
            <w:vAlign w:val="center"/>
          </w:tcPr>
          <w:p w14:paraId="3EA04081" w14:textId="77777777" w:rsidR="003C5CB9" w:rsidRDefault="003C5CB9" w:rsidP="00C023AA">
            <w:r>
              <w:t>Base-stock (Uncertain)</w:t>
            </w:r>
          </w:p>
        </w:tc>
        <w:tc>
          <w:tcPr>
            <w:tcW w:w="1390" w:type="dxa"/>
            <w:tcMar>
              <w:top w:w="80" w:type="dxa"/>
              <w:left w:w="90" w:type="dxa"/>
              <w:bottom w:w="80" w:type="dxa"/>
              <w:right w:w="90" w:type="dxa"/>
            </w:tcMar>
            <w:vAlign w:val="center"/>
          </w:tcPr>
          <w:p w14:paraId="24D75CCC" w14:textId="77777777" w:rsidR="003C5CB9" w:rsidRPr="006E5A11" w:rsidRDefault="003C5CB9" w:rsidP="00C023AA">
            <w:pPr>
              <w:pStyle w:val="Corpodetexto"/>
              <w:spacing w:before="0"/>
              <w:ind w:left="0"/>
              <w:jc w:val="center"/>
              <w:rPr>
                <w:sz w:val="18"/>
                <w:szCs w:val="18"/>
              </w:rPr>
            </w:pPr>
            <w:r w:rsidRPr="006E5A11">
              <w:rPr>
                <w:sz w:val="18"/>
                <w:szCs w:val="18"/>
              </w:rPr>
              <w:t>1.0000</w:t>
            </w:r>
          </w:p>
        </w:tc>
        <w:tc>
          <w:tcPr>
            <w:tcW w:w="1285" w:type="dxa"/>
            <w:tcMar>
              <w:top w:w="80" w:type="dxa"/>
              <w:left w:w="90" w:type="dxa"/>
              <w:bottom w:w="80" w:type="dxa"/>
              <w:right w:w="90" w:type="dxa"/>
            </w:tcMar>
            <w:vAlign w:val="center"/>
          </w:tcPr>
          <w:p w14:paraId="750FBFF8" w14:textId="77777777" w:rsidR="003C5CB9" w:rsidRPr="006E5A11" w:rsidRDefault="003C5CB9" w:rsidP="00C023AA">
            <w:pPr>
              <w:pStyle w:val="Corpodetexto"/>
              <w:spacing w:before="0"/>
              <w:ind w:left="0"/>
              <w:jc w:val="center"/>
              <w:rPr>
                <w:sz w:val="18"/>
                <w:szCs w:val="18"/>
              </w:rPr>
            </w:pPr>
            <w:r w:rsidRPr="006E5A11">
              <w:rPr>
                <w:sz w:val="18"/>
                <w:szCs w:val="18"/>
              </w:rPr>
              <w:t>0.4643</w:t>
            </w:r>
          </w:p>
        </w:tc>
        <w:tc>
          <w:tcPr>
            <w:tcW w:w="1777" w:type="dxa"/>
            <w:tcMar>
              <w:top w:w="80" w:type="dxa"/>
              <w:left w:w="90" w:type="dxa"/>
              <w:bottom w:w="80" w:type="dxa"/>
              <w:right w:w="90" w:type="dxa"/>
            </w:tcMar>
            <w:vAlign w:val="center"/>
          </w:tcPr>
          <w:p w14:paraId="78448055" w14:textId="77777777" w:rsidR="003C5CB9" w:rsidRPr="006E5A11" w:rsidRDefault="003C5CB9" w:rsidP="00C023AA">
            <w:pPr>
              <w:pStyle w:val="Corpodetexto"/>
              <w:spacing w:before="0"/>
              <w:ind w:left="0"/>
              <w:jc w:val="center"/>
              <w:rPr>
                <w:sz w:val="18"/>
                <w:szCs w:val="18"/>
              </w:rPr>
            </w:pPr>
            <w:r w:rsidRPr="006E5A11">
              <w:rPr>
                <w:sz w:val="18"/>
                <w:szCs w:val="18"/>
              </w:rPr>
              <w:t>19,058,790</w:t>
            </w:r>
          </w:p>
        </w:tc>
      </w:tr>
      <w:tr w:rsidR="003C5CB9" w14:paraId="1E9ED31B" w14:textId="77777777" w:rsidTr="00C023AA">
        <w:trPr>
          <w:jc w:val="center"/>
        </w:trPr>
        <w:tc>
          <w:tcPr>
            <w:tcW w:w="1838" w:type="dxa"/>
            <w:vMerge/>
            <w:tcMar>
              <w:top w:w="80" w:type="dxa"/>
              <w:left w:w="90" w:type="dxa"/>
              <w:bottom w:w="80" w:type="dxa"/>
              <w:right w:w="90" w:type="dxa"/>
            </w:tcMar>
            <w:vAlign w:val="center"/>
          </w:tcPr>
          <w:p w14:paraId="421CCA47" w14:textId="212C7E17" w:rsidR="003C5CB9" w:rsidRPr="006E5A11" w:rsidRDefault="003C5CB9" w:rsidP="00C023AA">
            <w:pPr>
              <w:pStyle w:val="Corpodetexto"/>
              <w:spacing w:before="0"/>
              <w:ind w:left="0"/>
              <w:rPr>
                <w:sz w:val="18"/>
                <w:szCs w:val="18"/>
              </w:rPr>
            </w:pPr>
          </w:p>
        </w:tc>
        <w:tc>
          <w:tcPr>
            <w:tcW w:w="1134" w:type="dxa"/>
            <w:tcMar>
              <w:top w:w="80" w:type="dxa"/>
              <w:left w:w="90" w:type="dxa"/>
              <w:bottom w:w="80" w:type="dxa"/>
              <w:right w:w="90" w:type="dxa"/>
            </w:tcMar>
            <w:vAlign w:val="center"/>
          </w:tcPr>
          <w:p w14:paraId="6588DEBB" w14:textId="77777777" w:rsidR="003C5CB9" w:rsidRPr="006E5A11" w:rsidRDefault="003C5CB9" w:rsidP="00C023AA">
            <w:pPr>
              <w:pStyle w:val="Corpodetexto"/>
              <w:spacing w:before="0"/>
              <w:ind w:left="0"/>
              <w:jc w:val="center"/>
              <w:rPr>
                <w:sz w:val="18"/>
                <w:szCs w:val="18"/>
              </w:rPr>
            </w:pPr>
            <w:r w:rsidRPr="006E5A11">
              <w:rPr>
                <w:sz w:val="18"/>
                <w:szCs w:val="18"/>
              </w:rPr>
              <w:t>90</w:t>
            </w:r>
          </w:p>
        </w:tc>
        <w:tc>
          <w:tcPr>
            <w:tcW w:w="2312" w:type="dxa"/>
            <w:tcMar>
              <w:top w:w="80" w:type="dxa"/>
              <w:left w:w="90" w:type="dxa"/>
              <w:bottom w:w="80" w:type="dxa"/>
              <w:right w:w="90" w:type="dxa"/>
            </w:tcMar>
            <w:vAlign w:val="center"/>
          </w:tcPr>
          <w:p w14:paraId="4ED59D13" w14:textId="77777777" w:rsidR="003C5CB9" w:rsidRDefault="003C5CB9" w:rsidP="00C023AA">
            <w:r>
              <w:t>Dynamic + Forecast</w:t>
            </w:r>
          </w:p>
        </w:tc>
        <w:tc>
          <w:tcPr>
            <w:tcW w:w="1390" w:type="dxa"/>
            <w:tcMar>
              <w:top w:w="80" w:type="dxa"/>
              <w:left w:w="90" w:type="dxa"/>
              <w:bottom w:w="80" w:type="dxa"/>
              <w:right w:w="90" w:type="dxa"/>
            </w:tcMar>
            <w:vAlign w:val="center"/>
          </w:tcPr>
          <w:p w14:paraId="73F7C661" w14:textId="77777777" w:rsidR="003C5CB9" w:rsidRPr="006E5A11" w:rsidRDefault="003C5CB9" w:rsidP="00C023AA">
            <w:pPr>
              <w:pStyle w:val="Corpodetexto"/>
              <w:spacing w:before="0"/>
              <w:ind w:left="0"/>
              <w:jc w:val="center"/>
              <w:rPr>
                <w:sz w:val="18"/>
                <w:szCs w:val="18"/>
              </w:rPr>
            </w:pPr>
            <w:r w:rsidRPr="006E5A11">
              <w:rPr>
                <w:sz w:val="18"/>
                <w:szCs w:val="18"/>
              </w:rPr>
              <w:t>1.0000</w:t>
            </w:r>
          </w:p>
        </w:tc>
        <w:tc>
          <w:tcPr>
            <w:tcW w:w="1285" w:type="dxa"/>
            <w:tcMar>
              <w:top w:w="80" w:type="dxa"/>
              <w:left w:w="90" w:type="dxa"/>
              <w:bottom w:w="80" w:type="dxa"/>
              <w:right w:w="90" w:type="dxa"/>
            </w:tcMar>
            <w:vAlign w:val="center"/>
          </w:tcPr>
          <w:p w14:paraId="03826756" w14:textId="77777777" w:rsidR="003C5CB9" w:rsidRPr="006E5A11" w:rsidRDefault="003C5CB9" w:rsidP="00C023AA">
            <w:pPr>
              <w:pStyle w:val="Corpodetexto"/>
              <w:spacing w:before="0"/>
              <w:ind w:left="0"/>
              <w:jc w:val="center"/>
              <w:rPr>
                <w:sz w:val="18"/>
                <w:szCs w:val="18"/>
              </w:rPr>
            </w:pPr>
            <w:r w:rsidRPr="006E5A11">
              <w:rPr>
                <w:sz w:val="18"/>
                <w:szCs w:val="18"/>
              </w:rPr>
              <w:t>0.4654</w:t>
            </w:r>
          </w:p>
        </w:tc>
        <w:tc>
          <w:tcPr>
            <w:tcW w:w="1777" w:type="dxa"/>
            <w:tcMar>
              <w:top w:w="80" w:type="dxa"/>
              <w:left w:w="90" w:type="dxa"/>
              <w:bottom w:w="80" w:type="dxa"/>
              <w:right w:w="90" w:type="dxa"/>
            </w:tcMar>
            <w:vAlign w:val="center"/>
          </w:tcPr>
          <w:p w14:paraId="3CC2F787" w14:textId="77777777" w:rsidR="003C5CB9" w:rsidRPr="006E5A11" w:rsidRDefault="003C5CB9" w:rsidP="00C023AA">
            <w:pPr>
              <w:pStyle w:val="Corpodetexto"/>
              <w:spacing w:before="0"/>
              <w:ind w:left="0"/>
              <w:jc w:val="center"/>
              <w:rPr>
                <w:sz w:val="18"/>
                <w:szCs w:val="18"/>
              </w:rPr>
            </w:pPr>
            <w:r w:rsidRPr="006E5A11">
              <w:rPr>
                <w:sz w:val="18"/>
                <w:szCs w:val="18"/>
              </w:rPr>
              <w:t>18,476,240</w:t>
            </w:r>
          </w:p>
        </w:tc>
      </w:tr>
      <w:tr w:rsidR="003C5CB9" w14:paraId="7A4CD86B" w14:textId="77777777" w:rsidTr="00C023AA">
        <w:trPr>
          <w:jc w:val="center"/>
        </w:trPr>
        <w:tc>
          <w:tcPr>
            <w:tcW w:w="1838" w:type="dxa"/>
            <w:vMerge/>
            <w:tcMar>
              <w:top w:w="80" w:type="dxa"/>
              <w:left w:w="90" w:type="dxa"/>
              <w:bottom w:w="80" w:type="dxa"/>
              <w:right w:w="90" w:type="dxa"/>
            </w:tcMar>
            <w:vAlign w:val="center"/>
          </w:tcPr>
          <w:p w14:paraId="4E157D36" w14:textId="42EDF173" w:rsidR="003C5CB9" w:rsidRPr="006E5A11" w:rsidRDefault="003C5CB9" w:rsidP="00C023AA">
            <w:pPr>
              <w:pStyle w:val="Corpodetexto"/>
              <w:spacing w:before="0"/>
              <w:ind w:left="0"/>
              <w:rPr>
                <w:sz w:val="18"/>
                <w:szCs w:val="18"/>
              </w:rPr>
            </w:pPr>
          </w:p>
        </w:tc>
        <w:tc>
          <w:tcPr>
            <w:tcW w:w="1134" w:type="dxa"/>
            <w:tcMar>
              <w:top w:w="80" w:type="dxa"/>
              <w:left w:w="90" w:type="dxa"/>
              <w:bottom w:w="80" w:type="dxa"/>
              <w:right w:w="90" w:type="dxa"/>
            </w:tcMar>
            <w:vAlign w:val="center"/>
          </w:tcPr>
          <w:p w14:paraId="2971689F" w14:textId="77777777" w:rsidR="003C5CB9" w:rsidRPr="006E5A11" w:rsidRDefault="003C5CB9" w:rsidP="00C023AA">
            <w:pPr>
              <w:pStyle w:val="Corpodetexto"/>
              <w:spacing w:before="0"/>
              <w:ind w:left="0"/>
              <w:jc w:val="center"/>
              <w:rPr>
                <w:sz w:val="18"/>
                <w:szCs w:val="18"/>
              </w:rPr>
            </w:pPr>
            <w:r w:rsidRPr="006E5A11">
              <w:rPr>
                <w:sz w:val="18"/>
                <w:szCs w:val="18"/>
              </w:rPr>
              <w:t>180</w:t>
            </w:r>
          </w:p>
        </w:tc>
        <w:tc>
          <w:tcPr>
            <w:tcW w:w="2312" w:type="dxa"/>
            <w:tcMar>
              <w:top w:w="80" w:type="dxa"/>
              <w:left w:w="90" w:type="dxa"/>
              <w:bottom w:w="80" w:type="dxa"/>
              <w:right w:w="90" w:type="dxa"/>
            </w:tcMar>
            <w:vAlign w:val="center"/>
          </w:tcPr>
          <w:p w14:paraId="7EC753BB" w14:textId="77777777" w:rsidR="003C5CB9" w:rsidRPr="006E5A11" w:rsidRDefault="003C5CB9" w:rsidP="00C023AA">
            <w:pPr>
              <w:pStyle w:val="Corpodetexto"/>
              <w:spacing w:before="0"/>
              <w:ind w:left="0"/>
              <w:rPr>
                <w:sz w:val="18"/>
                <w:szCs w:val="18"/>
              </w:rPr>
            </w:pPr>
            <w:r w:rsidRPr="006E5A11">
              <w:rPr>
                <w:sz w:val="18"/>
                <w:szCs w:val="18"/>
              </w:rPr>
              <w:t>Hybrid AI</w:t>
            </w:r>
          </w:p>
        </w:tc>
        <w:tc>
          <w:tcPr>
            <w:tcW w:w="1390" w:type="dxa"/>
            <w:tcMar>
              <w:top w:w="80" w:type="dxa"/>
              <w:left w:w="90" w:type="dxa"/>
              <w:bottom w:w="80" w:type="dxa"/>
              <w:right w:w="90" w:type="dxa"/>
            </w:tcMar>
            <w:vAlign w:val="center"/>
          </w:tcPr>
          <w:p w14:paraId="3FE42113" w14:textId="77777777" w:rsidR="003C5CB9" w:rsidRPr="006E5A11" w:rsidRDefault="003C5CB9" w:rsidP="00C023AA">
            <w:pPr>
              <w:pStyle w:val="Corpodetexto"/>
              <w:spacing w:before="0"/>
              <w:ind w:left="0"/>
              <w:jc w:val="center"/>
              <w:rPr>
                <w:sz w:val="18"/>
                <w:szCs w:val="18"/>
              </w:rPr>
            </w:pPr>
            <w:r w:rsidRPr="006E5A11">
              <w:rPr>
                <w:sz w:val="18"/>
                <w:szCs w:val="18"/>
              </w:rPr>
              <w:t>1.0000</w:t>
            </w:r>
          </w:p>
        </w:tc>
        <w:tc>
          <w:tcPr>
            <w:tcW w:w="1285" w:type="dxa"/>
            <w:tcMar>
              <w:top w:w="80" w:type="dxa"/>
              <w:left w:w="90" w:type="dxa"/>
              <w:bottom w:w="80" w:type="dxa"/>
              <w:right w:w="90" w:type="dxa"/>
            </w:tcMar>
            <w:vAlign w:val="center"/>
          </w:tcPr>
          <w:p w14:paraId="2DD59E5C" w14:textId="77777777" w:rsidR="003C5CB9" w:rsidRPr="006E5A11" w:rsidRDefault="003C5CB9" w:rsidP="00C023AA">
            <w:pPr>
              <w:pStyle w:val="Corpodetexto"/>
              <w:spacing w:before="0"/>
              <w:ind w:left="0"/>
              <w:jc w:val="center"/>
              <w:rPr>
                <w:sz w:val="18"/>
                <w:szCs w:val="18"/>
              </w:rPr>
            </w:pPr>
            <w:r w:rsidRPr="006E5A11">
              <w:rPr>
                <w:sz w:val="18"/>
                <w:szCs w:val="18"/>
              </w:rPr>
              <w:t>0.0079</w:t>
            </w:r>
          </w:p>
        </w:tc>
        <w:tc>
          <w:tcPr>
            <w:tcW w:w="1777" w:type="dxa"/>
            <w:tcMar>
              <w:top w:w="80" w:type="dxa"/>
              <w:left w:w="90" w:type="dxa"/>
              <w:bottom w:w="80" w:type="dxa"/>
              <w:right w:w="90" w:type="dxa"/>
            </w:tcMar>
            <w:vAlign w:val="center"/>
          </w:tcPr>
          <w:p w14:paraId="7728FBB2" w14:textId="77777777" w:rsidR="003C5CB9" w:rsidRPr="006E5A11" w:rsidRDefault="003C5CB9" w:rsidP="00C023AA">
            <w:pPr>
              <w:pStyle w:val="Corpodetexto"/>
              <w:spacing w:before="0"/>
              <w:ind w:left="0"/>
              <w:jc w:val="center"/>
              <w:rPr>
                <w:sz w:val="18"/>
                <w:szCs w:val="18"/>
              </w:rPr>
            </w:pPr>
            <w:r w:rsidRPr="006E5A11">
              <w:rPr>
                <w:sz w:val="18"/>
                <w:szCs w:val="18"/>
              </w:rPr>
              <w:t>46,679,530</w:t>
            </w:r>
          </w:p>
        </w:tc>
      </w:tr>
      <w:tr w:rsidR="003C5CB9" w14:paraId="64628095" w14:textId="77777777" w:rsidTr="000267AB">
        <w:trPr>
          <w:jc w:val="center"/>
        </w:trPr>
        <w:tc>
          <w:tcPr>
            <w:tcW w:w="1838" w:type="dxa"/>
            <w:vMerge/>
            <w:tcMar>
              <w:top w:w="80" w:type="dxa"/>
              <w:left w:w="90" w:type="dxa"/>
              <w:bottom w:w="80" w:type="dxa"/>
              <w:right w:w="90" w:type="dxa"/>
            </w:tcMar>
            <w:vAlign w:val="center"/>
          </w:tcPr>
          <w:p w14:paraId="71176B57" w14:textId="3D54B25A" w:rsidR="003C5CB9" w:rsidRPr="006E5A11" w:rsidRDefault="003C5CB9" w:rsidP="00C023AA">
            <w:pPr>
              <w:pStyle w:val="Corpodetexto"/>
              <w:spacing w:before="0"/>
              <w:ind w:left="0"/>
              <w:rPr>
                <w:sz w:val="18"/>
                <w:szCs w:val="18"/>
              </w:rPr>
            </w:pPr>
          </w:p>
        </w:tc>
        <w:tc>
          <w:tcPr>
            <w:tcW w:w="1134" w:type="dxa"/>
            <w:tcBorders>
              <w:bottom w:val="single" w:sz="4" w:space="0" w:color="auto"/>
            </w:tcBorders>
            <w:tcMar>
              <w:top w:w="80" w:type="dxa"/>
              <w:left w:w="90" w:type="dxa"/>
              <w:bottom w:w="80" w:type="dxa"/>
              <w:right w:w="90" w:type="dxa"/>
            </w:tcMar>
            <w:vAlign w:val="center"/>
          </w:tcPr>
          <w:p w14:paraId="2A7DED28" w14:textId="77777777" w:rsidR="003C5CB9" w:rsidRPr="006E5A11" w:rsidRDefault="003C5CB9" w:rsidP="00C023AA">
            <w:pPr>
              <w:pStyle w:val="Corpodetexto"/>
              <w:spacing w:before="0"/>
              <w:ind w:left="0"/>
              <w:jc w:val="center"/>
              <w:rPr>
                <w:sz w:val="18"/>
                <w:szCs w:val="18"/>
              </w:rPr>
            </w:pPr>
            <w:r w:rsidRPr="006E5A11">
              <w:rPr>
                <w:sz w:val="18"/>
                <w:szCs w:val="18"/>
              </w:rPr>
              <w:t>180</w:t>
            </w:r>
          </w:p>
        </w:tc>
        <w:tc>
          <w:tcPr>
            <w:tcW w:w="2312" w:type="dxa"/>
            <w:tcBorders>
              <w:bottom w:val="single" w:sz="4" w:space="0" w:color="auto"/>
            </w:tcBorders>
            <w:tcMar>
              <w:top w:w="80" w:type="dxa"/>
              <w:left w:w="90" w:type="dxa"/>
              <w:bottom w:w="80" w:type="dxa"/>
              <w:right w:w="90" w:type="dxa"/>
            </w:tcMar>
            <w:vAlign w:val="center"/>
          </w:tcPr>
          <w:p w14:paraId="3BFFD772" w14:textId="77777777" w:rsidR="003C5CB9" w:rsidRDefault="003C5CB9" w:rsidP="00C023AA">
            <w:r>
              <w:t>Base-stock (Uncertain)</w:t>
            </w:r>
          </w:p>
        </w:tc>
        <w:tc>
          <w:tcPr>
            <w:tcW w:w="1390" w:type="dxa"/>
            <w:tcBorders>
              <w:bottom w:val="single" w:sz="4" w:space="0" w:color="auto"/>
            </w:tcBorders>
            <w:tcMar>
              <w:top w:w="80" w:type="dxa"/>
              <w:left w:w="90" w:type="dxa"/>
              <w:bottom w:w="80" w:type="dxa"/>
              <w:right w:w="90" w:type="dxa"/>
            </w:tcMar>
            <w:vAlign w:val="center"/>
          </w:tcPr>
          <w:p w14:paraId="60F907EE" w14:textId="77777777" w:rsidR="003C5CB9" w:rsidRPr="006E5A11" w:rsidRDefault="003C5CB9" w:rsidP="00C023AA">
            <w:pPr>
              <w:pStyle w:val="Corpodetexto"/>
              <w:spacing w:before="0"/>
              <w:ind w:left="0"/>
              <w:jc w:val="center"/>
              <w:rPr>
                <w:sz w:val="18"/>
                <w:szCs w:val="18"/>
              </w:rPr>
            </w:pPr>
            <w:r w:rsidRPr="006E5A11">
              <w:rPr>
                <w:sz w:val="18"/>
                <w:szCs w:val="18"/>
              </w:rPr>
              <w:t>1.0000</w:t>
            </w:r>
          </w:p>
        </w:tc>
        <w:tc>
          <w:tcPr>
            <w:tcW w:w="1285" w:type="dxa"/>
            <w:tcBorders>
              <w:bottom w:val="single" w:sz="4" w:space="0" w:color="auto"/>
            </w:tcBorders>
            <w:tcMar>
              <w:top w:w="80" w:type="dxa"/>
              <w:left w:w="90" w:type="dxa"/>
              <w:bottom w:w="80" w:type="dxa"/>
              <w:right w:w="90" w:type="dxa"/>
            </w:tcMar>
            <w:vAlign w:val="center"/>
          </w:tcPr>
          <w:p w14:paraId="4CB2154B" w14:textId="77777777" w:rsidR="003C5CB9" w:rsidRPr="006E5A11" w:rsidRDefault="003C5CB9" w:rsidP="00C023AA">
            <w:pPr>
              <w:pStyle w:val="Corpodetexto"/>
              <w:spacing w:before="0"/>
              <w:ind w:left="0"/>
              <w:jc w:val="center"/>
              <w:rPr>
                <w:sz w:val="18"/>
                <w:szCs w:val="18"/>
              </w:rPr>
            </w:pPr>
            <w:r w:rsidRPr="006E5A11">
              <w:rPr>
                <w:sz w:val="18"/>
                <w:szCs w:val="18"/>
              </w:rPr>
              <w:t>0.7304</w:t>
            </w:r>
          </w:p>
        </w:tc>
        <w:tc>
          <w:tcPr>
            <w:tcW w:w="1777" w:type="dxa"/>
            <w:tcBorders>
              <w:bottom w:val="single" w:sz="4" w:space="0" w:color="auto"/>
            </w:tcBorders>
            <w:tcMar>
              <w:top w:w="80" w:type="dxa"/>
              <w:left w:w="90" w:type="dxa"/>
              <w:bottom w:w="80" w:type="dxa"/>
              <w:right w:w="90" w:type="dxa"/>
            </w:tcMar>
            <w:vAlign w:val="center"/>
          </w:tcPr>
          <w:p w14:paraId="66E7C44C" w14:textId="77777777" w:rsidR="003C5CB9" w:rsidRPr="006E5A11" w:rsidRDefault="003C5CB9" w:rsidP="00C023AA">
            <w:pPr>
              <w:pStyle w:val="Corpodetexto"/>
              <w:spacing w:before="0"/>
              <w:ind w:left="0"/>
              <w:jc w:val="center"/>
              <w:rPr>
                <w:sz w:val="18"/>
                <w:szCs w:val="18"/>
              </w:rPr>
            </w:pPr>
            <w:r w:rsidRPr="006E5A11">
              <w:rPr>
                <w:sz w:val="18"/>
                <w:szCs w:val="18"/>
              </w:rPr>
              <w:t>27,751,720</w:t>
            </w:r>
          </w:p>
        </w:tc>
      </w:tr>
      <w:tr w:rsidR="003C5CB9" w14:paraId="55E46B4E" w14:textId="77777777" w:rsidTr="00C023AA">
        <w:trPr>
          <w:jc w:val="center"/>
        </w:trPr>
        <w:tc>
          <w:tcPr>
            <w:tcW w:w="1838" w:type="dxa"/>
            <w:vMerge/>
            <w:tcBorders>
              <w:bottom w:val="single" w:sz="4" w:space="0" w:color="auto"/>
            </w:tcBorders>
            <w:tcMar>
              <w:top w:w="80" w:type="dxa"/>
              <w:left w:w="90" w:type="dxa"/>
              <w:bottom w:w="80" w:type="dxa"/>
              <w:right w:w="90" w:type="dxa"/>
            </w:tcMar>
            <w:vAlign w:val="center"/>
          </w:tcPr>
          <w:p w14:paraId="31EBC054" w14:textId="754AFDE9" w:rsidR="003C5CB9" w:rsidRPr="006E5A11" w:rsidRDefault="003C5CB9" w:rsidP="00C023AA">
            <w:pPr>
              <w:pStyle w:val="Corpodetexto"/>
              <w:spacing w:before="0"/>
              <w:ind w:left="0"/>
              <w:rPr>
                <w:sz w:val="18"/>
                <w:szCs w:val="18"/>
              </w:rPr>
            </w:pPr>
          </w:p>
        </w:tc>
        <w:tc>
          <w:tcPr>
            <w:tcW w:w="1134" w:type="dxa"/>
            <w:tcBorders>
              <w:bottom w:val="single" w:sz="4" w:space="0" w:color="auto"/>
            </w:tcBorders>
            <w:tcMar>
              <w:top w:w="80" w:type="dxa"/>
              <w:left w:w="90" w:type="dxa"/>
              <w:bottom w:w="80" w:type="dxa"/>
              <w:right w:w="90" w:type="dxa"/>
            </w:tcMar>
            <w:vAlign w:val="center"/>
          </w:tcPr>
          <w:p w14:paraId="3C3E1515" w14:textId="77777777" w:rsidR="003C5CB9" w:rsidRPr="006E5A11" w:rsidRDefault="003C5CB9" w:rsidP="00C023AA">
            <w:pPr>
              <w:pStyle w:val="Corpodetexto"/>
              <w:spacing w:before="0"/>
              <w:ind w:left="0"/>
              <w:jc w:val="center"/>
              <w:rPr>
                <w:sz w:val="18"/>
                <w:szCs w:val="18"/>
              </w:rPr>
            </w:pPr>
            <w:r w:rsidRPr="006E5A11">
              <w:rPr>
                <w:sz w:val="18"/>
                <w:szCs w:val="18"/>
              </w:rPr>
              <w:t>180</w:t>
            </w:r>
          </w:p>
        </w:tc>
        <w:tc>
          <w:tcPr>
            <w:tcW w:w="2312" w:type="dxa"/>
            <w:tcBorders>
              <w:bottom w:val="single" w:sz="4" w:space="0" w:color="auto"/>
            </w:tcBorders>
            <w:tcMar>
              <w:top w:w="80" w:type="dxa"/>
              <w:left w:w="90" w:type="dxa"/>
              <w:bottom w:w="80" w:type="dxa"/>
              <w:right w:w="90" w:type="dxa"/>
            </w:tcMar>
            <w:vAlign w:val="center"/>
          </w:tcPr>
          <w:p w14:paraId="34BB93CE" w14:textId="77777777" w:rsidR="003C5CB9" w:rsidRDefault="003C5CB9" w:rsidP="00C023AA">
            <w:r>
              <w:t>Dynamic + Forecast</w:t>
            </w:r>
          </w:p>
        </w:tc>
        <w:tc>
          <w:tcPr>
            <w:tcW w:w="1390" w:type="dxa"/>
            <w:tcBorders>
              <w:bottom w:val="single" w:sz="4" w:space="0" w:color="auto"/>
            </w:tcBorders>
            <w:tcMar>
              <w:top w:w="80" w:type="dxa"/>
              <w:left w:w="90" w:type="dxa"/>
              <w:bottom w:w="80" w:type="dxa"/>
              <w:right w:w="90" w:type="dxa"/>
            </w:tcMar>
            <w:vAlign w:val="center"/>
          </w:tcPr>
          <w:p w14:paraId="1B222320" w14:textId="77777777" w:rsidR="003C5CB9" w:rsidRPr="006E5A11" w:rsidRDefault="003C5CB9" w:rsidP="00C023AA">
            <w:pPr>
              <w:pStyle w:val="Corpodetexto"/>
              <w:spacing w:before="0"/>
              <w:ind w:left="0"/>
              <w:jc w:val="center"/>
              <w:rPr>
                <w:sz w:val="18"/>
                <w:szCs w:val="18"/>
              </w:rPr>
            </w:pPr>
            <w:r w:rsidRPr="006E5A11">
              <w:rPr>
                <w:sz w:val="18"/>
                <w:szCs w:val="18"/>
              </w:rPr>
              <w:t>1.0000</w:t>
            </w:r>
          </w:p>
        </w:tc>
        <w:tc>
          <w:tcPr>
            <w:tcW w:w="1285" w:type="dxa"/>
            <w:tcBorders>
              <w:bottom w:val="single" w:sz="4" w:space="0" w:color="auto"/>
            </w:tcBorders>
            <w:tcMar>
              <w:top w:w="80" w:type="dxa"/>
              <w:left w:w="90" w:type="dxa"/>
              <w:bottom w:w="80" w:type="dxa"/>
              <w:right w:w="90" w:type="dxa"/>
            </w:tcMar>
            <w:vAlign w:val="center"/>
          </w:tcPr>
          <w:p w14:paraId="07AA3B93" w14:textId="77777777" w:rsidR="003C5CB9" w:rsidRPr="006E5A11" w:rsidRDefault="003C5CB9" w:rsidP="00C023AA">
            <w:pPr>
              <w:pStyle w:val="Corpodetexto"/>
              <w:spacing w:before="0"/>
              <w:ind w:left="0"/>
              <w:jc w:val="center"/>
              <w:rPr>
                <w:sz w:val="18"/>
                <w:szCs w:val="18"/>
              </w:rPr>
            </w:pPr>
            <w:r w:rsidRPr="006E5A11">
              <w:rPr>
                <w:sz w:val="18"/>
                <w:szCs w:val="18"/>
              </w:rPr>
              <w:t>0.7346</w:t>
            </w:r>
          </w:p>
        </w:tc>
        <w:tc>
          <w:tcPr>
            <w:tcW w:w="1777" w:type="dxa"/>
            <w:tcBorders>
              <w:bottom w:val="single" w:sz="4" w:space="0" w:color="auto"/>
            </w:tcBorders>
            <w:tcMar>
              <w:top w:w="80" w:type="dxa"/>
              <w:left w:w="90" w:type="dxa"/>
              <w:bottom w:w="80" w:type="dxa"/>
              <w:right w:w="90" w:type="dxa"/>
            </w:tcMar>
            <w:vAlign w:val="center"/>
          </w:tcPr>
          <w:p w14:paraId="28BC2BAE" w14:textId="77777777" w:rsidR="003C5CB9" w:rsidRPr="006E5A11" w:rsidRDefault="003C5CB9" w:rsidP="00C023AA">
            <w:pPr>
              <w:pStyle w:val="Corpodetexto"/>
              <w:spacing w:before="0"/>
              <w:ind w:left="0"/>
              <w:jc w:val="center"/>
              <w:rPr>
                <w:sz w:val="18"/>
                <w:szCs w:val="18"/>
              </w:rPr>
            </w:pPr>
            <w:r w:rsidRPr="006E5A11">
              <w:rPr>
                <w:sz w:val="18"/>
                <w:szCs w:val="18"/>
              </w:rPr>
              <w:t>27,502,810</w:t>
            </w:r>
          </w:p>
        </w:tc>
      </w:tr>
      <w:tr w:rsidR="006E5A11" w14:paraId="022C59DD" w14:textId="77777777" w:rsidTr="006E5A11">
        <w:trPr>
          <w:jc w:val="center"/>
        </w:trPr>
        <w:tc>
          <w:tcPr>
            <w:tcW w:w="9736" w:type="dxa"/>
            <w:gridSpan w:val="6"/>
            <w:tcBorders>
              <w:top w:val="single" w:sz="4" w:space="0" w:color="auto"/>
              <w:left w:val="nil"/>
              <w:bottom w:val="nil"/>
              <w:right w:val="nil"/>
            </w:tcBorders>
            <w:tcMar>
              <w:top w:w="80" w:type="dxa"/>
              <w:left w:w="90" w:type="dxa"/>
              <w:bottom w:w="80" w:type="dxa"/>
              <w:right w:w="90" w:type="dxa"/>
            </w:tcMar>
            <w:vAlign w:val="center"/>
          </w:tcPr>
          <w:p w14:paraId="36F578E9" w14:textId="7CB6275A" w:rsidR="006E5A11" w:rsidRPr="006E5A11" w:rsidRDefault="006E5A11" w:rsidP="00C023AA">
            <w:pPr>
              <w:pStyle w:val="Corpodetexto"/>
              <w:spacing w:before="0"/>
              <w:ind w:left="47"/>
              <w:jc w:val="both"/>
              <w:rPr>
                <w:sz w:val="18"/>
                <w:szCs w:val="18"/>
              </w:rPr>
            </w:pPr>
            <w:r w:rsidRPr="006E5A11">
              <w:rPr>
                <w:sz w:val="18"/>
                <w:szCs w:val="18"/>
              </w:rPr>
              <w:t>Note: Metrics computed from pooled raw replications (n = 30 per seed, 5 seeds). Service floor = 0.90.</w:t>
            </w:r>
          </w:p>
        </w:tc>
      </w:tr>
    </w:tbl>
    <w:p w14:paraId="02E1942D" w14:textId="2EAC12AF" w:rsidR="00A5714E" w:rsidRPr="00A5714E" w:rsidRDefault="00000000" w:rsidP="00130595">
      <w:pPr>
        <w:pStyle w:val="text-base"/>
        <w:spacing w:before="0" w:after="0"/>
        <w:jc w:val="both"/>
        <w:rPr>
          <w:color w:val="00B050"/>
          <w:highlight w:val="yellow"/>
          <w:lang w:val="en-US"/>
        </w:rPr>
      </w:pPr>
      <w:r w:rsidRPr="00211F52">
        <w:rPr>
          <w:lang w:val="en-US"/>
        </w:rPr>
        <w:t>Under stable demand, the targeted multi-</w:t>
      </w:r>
      <w:proofErr w:type="gramStart"/>
      <w:r w:rsidRPr="00211F52">
        <w:rPr>
          <w:lang w:val="en-US"/>
        </w:rPr>
        <w:t>seed</w:t>
      </w:r>
      <w:proofErr w:type="gramEnd"/>
      <w:r w:rsidRPr="00211F52">
        <w:rPr>
          <w:lang w:val="en-US"/>
        </w:rPr>
        <w:t xml:space="preserve"> analysis shows near-zero service-floor violations across the reported policies, with </w:t>
      </w:r>
      <w:proofErr w:type="gramStart"/>
      <w:r w:rsidRPr="00211F52">
        <w:rPr>
          <w:lang w:val="en-US"/>
        </w:rPr>
        <w:t>P(</w:t>
      </w:r>
      <w:proofErr w:type="gramEnd"/>
      <w:r w:rsidRPr="00211F52">
        <w:rPr>
          <w:lang w:val="en-US"/>
        </w:rPr>
        <w:t>fill &lt; 0.90) ≤ 0.0067.</w:t>
      </w:r>
      <w:r w:rsidR="00A5714E">
        <w:rPr>
          <w:lang w:val="en-US"/>
        </w:rPr>
        <w:t xml:space="preserve"> </w:t>
      </w:r>
      <w:r w:rsidR="00A5714E" w:rsidRPr="00A5714E">
        <w:rPr>
          <w:color w:val="00B050"/>
          <w:lang w:val="en-US"/>
        </w:rPr>
        <w:t>Lower-tail service remains above 0.93, while cost tails are closely clustered. In this regime, Hybrid AI does not exhibit elevated downside risk. In the targeted multi-seed sensitivity analysis, all reported policies breach the 0.90 service floor under supply disruption</w:t>
      </w:r>
      <w:r w:rsidR="00A5714E">
        <w:rPr>
          <w:color w:val="00B050"/>
          <w:lang w:val="en-US"/>
        </w:rPr>
        <w:t xml:space="preserve">, but </w:t>
      </w:r>
      <w:r w:rsidR="00A5714E" w:rsidRPr="00A5714E">
        <w:rPr>
          <w:color w:val="00B050"/>
          <w:lang w:val="en-US"/>
        </w:rPr>
        <w:t>the relevant distinction is the severity of failure rather than its incidence. Hybrid AI remains the most severe failure case, with markedly lower lower-tail fill rates and materially higher upper-tail costs than the forecast-informed classical comparators.</w:t>
      </w:r>
    </w:p>
    <w:p w14:paraId="48B99A2F" w14:textId="77777777" w:rsidR="009A2D53" w:rsidRPr="00EF60EE" w:rsidRDefault="00EF60EE" w:rsidP="00EF60EE">
      <w:pPr>
        <w:spacing w:before="240" w:after="240"/>
        <w:rPr>
          <w:rFonts w:asciiTheme="majorHAnsi" w:hAnsiTheme="majorHAnsi"/>
          <w:color w:val="0F4761" w:themeColor="accent1" w:themeShade="BF"/>
          <w:sz w:val="24"/>
          <w:szCs w:val="24"/>
        </w:rPr>
      </w:pPr>
      <w:r w:rsidRPr="00EF60EE">
        <w:rPr>
          <w:rFonts w:asciiTheme="majorHAnsi" w:hAnsiTheme="majorHAnsi"/>
          <w:color w:val="0F4761" w:themeColor="accent1" w:themeShade="BF"/>
          <w:sz w:val="24"/>
          <w:szCs w:val="24"/>
        </w:rPr>
        <w:t xml:space="preserve">4.1 </w:t>
      </w:r>
      <w:proofErr w:type="gramStart"/>
      <w:r w:rsidRPr="00EF60EE">
        <w:rPr>
          <w:rFonts w:asciiTheme="majorHAnsi" w:hAnsiTheme="majorHAnsi"/>
          <w:color w:val="0F4761" w:themeColor="accent1" w:themeShade="BF"/>
          <w:sz w:val="24"/>
          <w:szCs w:val="24"/>
        </w:rPr>
        <w:t>Multi-seed</w:t>
      </w:r>
      <w:proofErr w:type="gramEnd"/>
      <w:r w:rsidRPr="00EF60EE">
        <w:rPr>
          <w:rFonts w:asciiTheme="majorHAnsi" w:hAnsiTheme="majorHAnsi"/>
          <w:color w:val="0F4761" w:themeColor="accent1" w:themeShade="BF"/>
          <w:sz w:val="24"/>
          <w:szCs w:val="24"/>
        </w:rPr>
        <w:t xml:space="preserve"> sensitivity analysis</w:t>
      </w:r>
    </w:p>
    <w:p w14:paraId="219BB5CE" w14:textId="49588F1B" w:rsidR="00A5714E" w:rsidRPr="00A5714E" w:rsidRDefault="00A5714E" w:rsidP="00130595">
      <w:pPr>
        <w:pStyle w:val="text-base"/>
        <w:spacing w:before="0" w:after="0"/>
        <w:jc w:val="both"/>
        <w:rPr>
          <w:color w:val="00B050"/>
          <w:lang w:val="en-US"/>
        </w:rPr>
      </w:pPr>
      <w:r w:rsidRPr="00A5714E">
        <w:rPr>
          <w:color w:val="00B050"/>
          <w:lang w:val="en-US"/>
        </w:rPr>
        <w:t>Multi-</w:t>
      </w:r>
      <w:proofErr w:type="gramStart"/>
      <w:r w:rsidRPr="00A5714E">
        <w:rPr>
          <w:color w:val="00B050"/>
          <w:lang w:val="en-US"/>
        </w:rPr>
        <w:t>seed</w:t>
      </w:r>
      <w:proofErr w:type="gramEnd"/>
      <w:r w:rsidRPr="00A5714E">
        <w:rPr>
          <w:color w:val="00B050"/>
          <w:lang w:val="en-US"/>
        </w:rPr>
        <w:t xml:space="preserve"> evidence indicates that </w:t>
      </w:r>
      <w:r>
        <w:rPr>
          <w:color w:val="00B050"/>
          <w:lang w:val="en-US"/>
        </w:rPr>
        <w:t xml:space="preserve">a single favorable initialization does not drive </w:t>
      </w:r>
      <w:proofErr w:type="gramStart"/>
      <w:r>
        <w:rPr>
          <w:color w:val="00B050"/>
          <w:lang w:val="en-US"/>
        </w:rPr>
        <w:t>the stable</w:t>
      </w:r>
      <w:proofErr w:type="gramEnd"/>
      <w:r>
        <w:rPr>
          <w:color w:val="00B050"/>
          <w:lang w:val="en-US"/>
        </w:rPr>
        <w:t>-demand result</w:t>
      </w:r>
      <w:r w:rsidRPr="00A5714E">
        <w:rPr>
          <w:color w:val="00B050"/>
          <w:lang w:val="en-US"/>
        </w:rPr>
        <w:t xml:space="preserve">. Hybrid AI attains the lowest mean cost in four of five seeds at both horizons, and between-seed dispersion remains limited. Under supply disruption, by contrast, that stability disappears. No policy </w:t>
      </w:r>
      <w:r w:rsidR="00D5495F">
        <w:rPr>
          <w:color w:val="00B050"/>
          <w:lang w:val="en-US"/>
        </w:rPr>
        <w:t>maintains a consistent ranking across seeds, and all configurations converge on</w:t>
      </w:r>
      <w:r w:rsidRPr="00A5714E">
        <w:rPr>
          <w:color w:val="00B050"/>
          <w:lang w:val="en-US"/>
        </w:rPr>
        <w:t xml:space="preserve"> failure states characteri</w:t>
      </w:r>
      <w:r>
        <w:rPr>
          <w:color w:val="00B050"/>
          <w:lang w:val="en-US"/>
        </w:rPr>
        <w:t>z</w:t>
      </w:r>
      <w:r w:rsidRPr="00A5714E">
        <w:rPr>
          <w:color w:val="00B050"/>
          <w:lang w:val="en-US"/>
        </w:rPr>
        <w:t>ed by low service and extreme cost. The pattern points to regime-driven instability rather than to an isolated training outlier.</w:t>
      </w:r>
    </w:p>
    <w:p w14:paraId="087C80EC" w14:textId="77777777" w:rsidR="00962BAA" w:rsidRPr="00130595" w:rsidRDefault="00962BAA" w:rsidP="00130595">
      <w:pPr>
        <w:pStyle w:val="Ttulo1"/>
        <w:numPr>
          <w:ilvl w:val="0"/>
          <w:numId w:val="32"/>
        </w:numPr>
      </w:pPr>
      <w:r w:rsidRPr="00130595">
        <w:t>Discussion</w:t>
      </w:r>
    </w:p>
    <w:p w14:paraId="2B6AA2BF" w14:textId="77777777" w:rsidR="00962BAA" w:rsidRPr="00A70916" w:rsidRDefault="001A4386" w:rsidP="00DD5FF3">
      <w:pPr>
        <w:pStyle w:val="Ttulo2"/>
      </w:pPr>
      <w:r>
        <w:t xml:space="preserve">5.1 </w:t>
      </w:r>
      <w:r w:rsidR="00D7664A" w:rsidRPr="00A70916">
        <w:t>Research Questions: Empirical Answers</w:t>
      </w:r>
    </w:p>
    <w:p w14:paraId="34F23807" w14:textId="77777777" w:rsidR="00D7664A" w:rsidRPr="00415E72" w:rsidRDefault="00D7664A" w:rsidP="00D7664A">
      <w:pPr>
        <w:pStyle w:val="text-base"/>
        <w:spacing w:before="0" w:after="0"/>
        <w:jc w:val="both"/>
        <w:rPr>
          <w:color w:val="000000" w:themeColor="text1"/>
          <w:lang w:val="en-US"/>
        </w:rPr>
      </w:pPr>
      <w:r w:rsidRPr="00415E72">
        <w:rPr>
          <w:color w:val="000000" w:themeColor="text1"/>
          <w:lang w:val="en-US"/>
        </w:rPr>
        <w:t>RQ1: How does AI performance compare to static, dynamic, and analytical OR methods under stable and disruptive conditions?</w:t>
      </w:r>
    </w:p>
    <w:p w14:paraId="3CFCFAE3" w14:textId="2051C50D" w:rsidR="00EF75DF" w:rsidRDefault="00EF75DF" w:rsidP="00D7664A">
      <w:pPr>
        <w:pStyle w:val="text-base"/>
        <w:spacing w:before="0" w:after="0"/>
        <w:jc w:val="both"/>
        <w:rPr>
          <w:color w:val="00B050"/>
          <w:lang w:val="en-US"/>
        </w:rPr>
      </w:pPr>
      <w:r w:rsidRPr="00EF75DF">
        <w:rPr>
          <w:color w:val="00B050"/>
          <w:lang w:val="en-US"/>
        </w:rPr>
        <w:t>Across regimes, performance is not uniform, and th</w:t>
      </w:r>
      <w:r>
        <w:rPr>
          <w:color w:val="00B050"/>
          <w:lang w:val="en-US"/>
        </w:rPr>
        <w:t>e</w:t>
      </w:r>
      <w:r w:rsidRPr="00EF75DF">
        <w:rPr>
          <w:color w:val="00B050"/>
          <w:lang w:val="en-US"/>
        </w:rPr>
        <w:t xml:space="preserve"> asymmetry has direct operational relevance. Under stable demand, Hybrid AI achieves the lowest mean cost at both horizons while maintaining high service levels. Under High Volatility, its performance is statistically indistinguishable from Base-stock and Dynamic + Forecast after Holm correction. </w:t>
      </w:r>
      <w:r>
        <w:rPr>
          <w:color w:val="00B050"/>
          <w:lang w:val="en-US"/>
        </w:rPr>
        <w:t>However, t</w:t>
      </w:r>
      <w:r w:rsidRPr="00EF75DF">
        <w:rPr>
          <w:color w:val="00B050"/>
          <w:lang w:val="en-US"/>
        </w:rPr>
        <w:t>he pattern changes sharply once the operating environment becomes more adverse. Under Supply Disruption, the controller moves toward under-ordering and becomes decisively worse than all baselines. Under Seasonal Surge, in turn, a tuned base-stock policy remains the best-performing option. Read together, the results do not support a general claim of AI superiority</w:t>
      </w:r>
      <w:r>
        <w:rPr>
          <w:color w:val="00B050"/>
          <w:lang w:val="en-US"/>
        </w:rPr>
        <w:t>. T</w:t>
      </w:r>
      <w:r w:rsidRPr="00EF75DF">
        <w:rPr>
          <w:color w:val="00B050"/>
          <w:lang w:val="en-US"/>
        </w:rPr>
        <w:t xml:space="preserve">hey indicate, rather, that the evaluated controller is competitive </w:t>
      </w:r>
      <w:r w:rsidR="00C551B4">
        <w:rPr>
          <w:color w:val="00B050"/>
          <w:lang w:val="en-US"/>
        </w:rPr>
        <w:t>under nominal conditions but unreliable once a disruption trigger</w:t>
      </w:r>
      <w:r w:rsidRPr="00EF75DF">
        <w:rPr>
          <w:color w:val="00B050"/>
          <w:lang w:val="en-US"/>
        </w:rPr>
        <w:t>s its failure mode.</w:t>
      </w:r>
    </w:p>
    <w:p w14:paraId="2BF7911B" w14:textId="77777777" w:rsidR="00D7664A" w:rsidRPr="00415E72" w:rsidRDefault="00D7664A" w:rsidP="00D7664A">
      <w:pPr>
        <w:pStyle w:val="text-base"/>
        <w:spacing w:before="0" w:after="0"/>
        <w:jc w:val="both"/>
        <w:rPr>
          <w:color w:val="000000" w:themeColor="text1"/>
          <w:lang w:val="en-US"/>
        </w:rPr>
      </w:pPr>
      <w:r w:rsidRPr="00415E72">
        <w:rPr>
          <w:color w:val="000000" w:themeColor="text1"/>
          <w:lang w:val="en-US"/>
        </w:rPr>
        <w:t>RQ2: Does demand volatility alone predict when Hybrid AI outperforms tuned baselines?</w:t>
      </w:r>
    </w:p>
    <w:p w14:paraId="7361DF87" w14:textId="56DA63C0" w:rsidR="00EF75DF" w:rsidRDefault="00EF75DF" w:rsidP="00D7664A">
      <w:pPr>
        <w:pStyle w:val="text-base"/>
        <w:spacing w:before="0" w:after="0"/>
        <w:jc w:val="both"/>
        <w:rPr>
          <w:color w:val="00B050"/>
          <w:lang w:val="en-US"/>
        </w:rPr>
      </w:pPr>
      <w:r w:rsidRPr="00EF75DF">
        <w:rPr>
          <w:color w:val="00B050"/>
          <w:lang w:val="en-US"/>
        </w:rPr>
        <w:t xml:space="preserve">The results indicate that it does not. </w:t>
      </w:r>
      <w:r>
        <w:rPr>
          <w:color w:val="00B050"/>
          <w:lang w:val="en-US"/>
        </w:rPr>
        <w:t>A</w:t>
      </w:r>
      <w:r w:rsidRPr="00EF75DF">
        <w:rPr>
          <w:color w:val="00B050"/>
          <w:lang w:val="en-US"/>
        </w:rPr>
        <w:t>lthough High Volatility is parameteri</w:t>
      </w:r>
      <w:r w:rsidR="00C551B4">
        <w:rPr>
          <w:color w:val="00B050"/>
          <w:lang w:val="en-US"/>
        </w:rPr>
        <w:t>z</w:t>
      </w:r>
      <w:r w:rsidRPr="00EF75DF">
        <w:rPr>
          <w:color w:val="00B050"/>
          <w:lang w:val="en-US"/>
        </w:rPr>
        <w:t xml:space="preserve">ed </w:t>
      </w:r>
      <w:r w:rsidR="00C551B4">
        <w:rPr>
          <w:color w:val="00B050"/>
          <w:lang w:val="en-US"/>
        </w:rPr>
        <w:t>by the coefficient of variation of daily demand, volatility alone does not distinguish</w:t>
      </w:r>
      <w:r w:rsidRPr="00EF75DF">
        <w:rPr>
          <w:color w:val="00B050"/>
          <w:lang w:val="en-US"/>
        </w:rPr>
        <w:t xml:space="preserve"> the regimes in which Hybrid AI remains competitive from those in which it fails. </w:t>
      </w:r>
      <w:r w:rsidR="00C551B4">
        <w:rPr>
          <w:color w:val="00B050"/>
          <w:lang w:val="en-US"/>
        </w:rPr>
        <w:t>It</w:t>
      </w:r>
      <w:r w:rsidRPr="00EF75DF">
        <w:rPr>
          <w:color w:val="00B050"/>
          <w:lang w:val="en-US"/>
        </w:rPr>
        <w:t xml:space="preserve"> is precisely what the comparison between High Volatility and Supply Disruption makes visible: both settings are adverse, but only the latter produces structural collapse. What matters, then, is not variance alone, but the interaction between volatility, lead-time instability, penalty structure, and the extent to which forecast uncertainty remains calibrated under the prevailing regime. For deployment purposes, any operational gate based on volatility alone would therefore be poorly specified.</w:t>
      </w:r>
    </w:p>
    <w:p w14:paraId="67D5341A" w14:textId="77777777" w:rsidR="00D7664A" w:rsidRPr="00415E72" w:rsidRDefault="00D7664A" w:rsidP="00D7664A">
      <w:pPr>
        <w:pStyle w:val="text-base"/>
        <w:spacing w:before="0" w:after="0"/>
        <w:jc w:val="both"/>
        <w:rPr>
          <w:color w:val="000000" w:themeColor="text1"/>
          <w:lang w:val="en-US"/>
        </w:rPr>
      </w:pPr>
      <w:r w:rsidRPr="00415E72">
        <w:rPr>
          <w:color w:val="000000" w:themeColor="text1"/>
          <w:lang w:val="en-US"/>
        </w:rPr>
        <w:t>RQ3: What cost-resilience trade-offs characterize policy selection?</w:t>
      </w:r>
    </w:p>
    <w:p w14:paraId="26477B20" w14:textId="639516E2" w:rsidR="00EF75DF" w:rsidRPr="00415E72" w:rsidRDefault="00EF75DF" w:rsidP="00D7664A">
      <w:pPr>
        <w:pStyle w:val="text-base"/>
        <w:spacing w:before="0" w:after="0"/>
        <w:jc w:val="both"/>
        <w:rPr>
          <w:color w:val="000000" w:themeColor="text1"/>
          <w:lang w:val="en-US"/>
        </w:rPr>
      </w:pPr>
      <w:r w:rsidRPr="00EF75DF">
        <w:rPr>
          <w:color w:val="00B050"/>
          <w:lang w:val="en-US"/>
        </w:rPr>
        <w:t xml:space="preserve">Once the results are viewed in this way, the cost-resilience trade-off becomes clearer. Under stable demand, Hybrid AI reduces </w:t>
      </w:r>
      <w:r w:rsidR="00C551B4">
        <w:rPr>
          <w:color w:val="00B050"/>
          <w:lang w:val="en-US"/>
        </w:rPr>
        <w:t>the mean total cost without degrading fill rate, making</w:t>
      </w:r>
      <w:r w:rsidRPr="00EF75DF">
        <w:rPr>
          <w:color w:val="00B050"/>
          <w:lang w:val="en-US"/>
        </w:rPr>
        <w:t xml:space="preserve"> the trade-off relatively favorable. Under Supply Disruption, however, stockout penalties become the dominant cost component, and the same controller collapses because replenishment falls below what the regime requires. Under Seasonal Surge, tuned baselines manage the same tension more effectively, so the hybrid policy remains more expensive even though it improves on untuned rules. </w:t>
      </w:r>
      <w:r w:rsidRPr="00415E72">
        <w:rPr>
          <w:color w:val="000000" w:themeColor="text1"/>
          <w:lang w:val="en-US"/>
        </w:rPr>
        <w:t>So, the central issue is not average cost in isolation, but whether a policy preserves service when the operating regime shifts and shortage risk becomes the governing constraint.</w:t>
      </w:r>
    </w:p>
    <w:p w14:paraId="01A4338B" w14:textId="3BE44C54" w:rsidR="001F66FF" w:rsidRPr="00415E72" w:rsidRDefault="001F66FF" w:rsidP="00D7664A">
      <w:pPr>
        <w:pStyle w:val="text-base"/>
        <w:spacing w:before="0" w:after="0"/>
        <w:jc w:val="both"/>
        <w:rPr>
          <w:color w:val="000000" w:themeColor="text1"/>
          <w:highlight w:val="yellow"/>
          <w:lang w:val="en-US"/>
        </w:rPr>
      </w:pPr>
      <w:r w:rsidRPr="00415E72">
        <w:rPr>
          <w:color w:val="000000" w:themeColor="text1"/>
          <w:lang w:val="en-US"/>
        </w:rPr>
        <w:lastRenderedPageBreak/>
        <w:t xml:space="preserve">Taken together, the three research questions point to the same conclusion. The value of Hybrid AI is conditional, not general. It depends on regime characteristics, on the interaction between forecasting and control, and on whether deployment is protected by safeguards </w:t>
      </w:r>
      <w:r w:rsidR="00C551B4" w:rsidRPr="00415E72">
        <w:rPr>
          <w:color w:val="000000" w:themeColor="text1"/>
          <w:lang w:val="en-US"/>
        </w:rPr>
        <w:t>that prevent</w:t>
      </w:r>
      <w:r w:rsidRPr="00415E72">
        <w:rPr>
          <w:color w:val="000000" w:themeColor="text1"/>
          <w:lang w:val="en-US"/>
        </w:rPr>
        <w:t xml:space="preserve"> low-ordering failure under disruption.</w:t>
      </w:r>
    </w:p>
    <w:p w14:paraId="29D1D0D8" w14:textId="77777777" w:rsidR="00A06318" w:rsidRPr="00A70916" w:rsidRDefault="001A4386" w:rsidP="00DD5FF3">
      <w:pPr>
        <w:pStyle w:val="Ttulo2"/>
      </w:pPr>
      <w:r>
        <w:t xml:space="preserve">5.2 </w:t>
      </w:r>
      <w:r w:rsidR="001D6AC5" w:rsidRPr="00A70916">
        <w:t>Positioning Against Literature</w:t>
      </w:r>
    </w:p>
    <w:p w14:paraId="4DAC386D" w14:textId="6D29BCCD" w:rsidR="00217CDE" w:rsidRPr="006504F3" w:rsidRDefault="00217CDE" w:rsidP="007144EB">
      <w:pPr>
        <w:pStyle w:val="text-base"/>
        <w:spacing w:before="0" w:after="0"/>
        <w:jc w:val="both"/>
        <w:rPr>
          <w:color w:val="000000" w:themeColor="text1"/>
          <w:lang w:val="en-US"/>
        </w:rPr>
      </w:pPr>
      <w:r w:rsidRPr="006504F3">
        <w:rPr>
          <w:color w:val="000000" w:themeColor="text1"/>
          <w:lang w:val="en-US"/>
        </w:rPr>
        <w:t xml:space="preserve">Our findings depart from a common pattern in </w:t>
      </w:r>
      <w:proofErr w:type="gramStart"/>
      <w:r w:rsidRPr="006504F3">
        <w:rPr>
          <w:color w:val="000000" w:themeColor="text1"/>
          <w:lang w:val="en-US"/>
        </w:rPr>
        <w:t>the applied</w:t>
      </w:r>
      <w:proofErr w:type="gramEnd"/>
      <w:r w:rsidRPr="006504F3">
        <w:rPr>
          <w:color w:val="000000" w:themeColor="text1"/>
          <w:lang w:val="en-US"/>
        </w:rPr>
        <w:t xml:space="preserve"> AI literature, where performance is often assessed against weak or lightly specified comparators and where stress-induced failure modes are seldom examined directly. Here, the comparison is more demanding: analytical baselines are tuned, replications are paired, and policies are evaluated under explicit stress scenarios. Under that design, the hybrid controller does not exhibit a general advantage. Its gains are regime-specific, and under disruption</w:t>
      </w:r>
      <w:r w:rsidR="00C551B4" w:rsidRPr="006504F3">
        <w:rPr>
          <w:color w:val="000000" w:themeColor="text1"/>
          <w:lang w:val="en-US"/>
        </w:rPr>
        <w:t>,</w:t>
      </w:r>
      <w:r w:rsidRPr="006504F3">
        <w:rPr>
          <w:color w:val="000000" w:themeColor="text1"/>
          <w:lang w:val="en-US"/>
        </w:rPr>
        <w:t xml:space="preserve"> the same policy can fail through systematic under-ordering.</w:t>
      </w:r>
    </w:p>
    <w:p w14:paraId="5FE86906" w14:textId="284B55DD" w:rsidR="00217CDE" w:rsidRDefault="00217CDE" w:rsidP="007144EB">
      <w:pPr>
        <w:pStyle w:val="text-base"/>
        <w:spacing w:before="0" w:after="0"/>
        <w:jc w:val="both"/>
        <w:rPr>
          <w:color w:val="00B050"/>
          <w:lang w:val="en-US"/>
        </w:rPr>
      </w:pPr>
      <w:r w:rsidRPr="00217CDE">
        <w:rPr>
          <w:color w:val="00B050"/>
          <w:lang w:val="en-US"/>
        </w:rPr>
        <w:t xml:space="preserve">The collapse observed under Supply Disruption is not a statistical curiosity. Rather, it indicates a structural weakness in the unconstrained RL formulation. In a healthcare setting, a controller that can drift toward near-zero service during disruption is not suitable for deployment unless service-floor constraints, fallback rules, or both are built into the control architecture. The point is practical, not merely methodological: when service obligations are binding, a policy that performs acceptably in nominal conditions but fails under shortage stress cannot be judged </w:t>
      </w:r>
      <w:r w:rsidR="00C551B4">
        <w:rPr>
          <w:color w:val="00B050"/>
          <w:lang w:val="en-US"/>
        </w:rPr>
        <w:t>solely on expected cost</w:t>
      </w:r>
      <w:r w:rsidRPr="00217CDE">
        <w:rPr>
          <w:color w:val="00B050"/>
          <w:lang w:val="en-US"/>
        </w:rPr>
        <w:t>.</w:t>
      </w:r>
    </w:p>
    <w:p w14:paraId="455124D1" w14:textId="18C6E632" w:rsidR="00217CDE" w:rsidRPr="00217CDE" w:rsidRDefault="00217CDE" w:rsidP="00217CDE">
      <w:pPr>
        <w:pStyle w:val="text-base"/>
        <w:spacing w:before="0" w:after="0"/>
        <w:jc w:val="both"/>
        <w:rPr>
          <w:color w:val="00B050"/>
          <w:highlight w:val="yellow"/>
          <w:lang w:val="en-US"/>
        </w:rPr>
      </w:pPr>
      <w:r w:rsidRPr="00217CDE">
        <w:rPr>
          <w:color w:val="00B050"/>
          <w:lang w:val="en-US"/>
        </w:rPr>
        <w:t>Tail-risk evidence strengthens that interpretation. All policies violate the service target under disruption, but Hybrid AI produces the lowest lower-tail service and the largest amplification in upper-tail cost. The relevant distinction is therefore not whether shock propagates through the system—this occurs for all policies—but how strongly the policy magnifies it once the regime changes. In the present study, unconstrained learning does not simply absorb the disruption; it intensifies its operational consequences.</w:t>
      </w:r>
    </w:p>
    <w:p w14:paraId="6495BF52" w14:textId="51680196" w:rsidR="00217CDE" w:rsidRPr="00217CDE" w:rsidRDefault="00217CDE" w:rsidP="00217CDE">
      <w:pPr>
        <w:pStyle w:val="text-base"/>
        <w:jc w:val="both"/>
        <w:rPr>
          <w:color w:val="00B050"/>
          <w:lang w:val="en-US"/>
        </w:rPr>
      </w:pPr>
      <w:r w:rsidRPr="00217CDE">
        <w:rPr>
          <w:color w:val="00B050"/>
          <w:lang w:val="en-US"/>
        </w:rPr>
        <w:t>By contrast, the stable-demand results support a narrower and more defensible interpretation. Expected-cost gains are observed under nominal conditions</w:t>
      </w:r>
      <w:r w:rsidR="00C551B4">
        <w:rPr>
          <w:color w:val="00B050"/>
          <w:lang w:val="en-US"/>
        </w:rPr>
        <w:t xml:space="preserve"> and</w:t>
      </w:r>
      <w:r w:rsidRPr="00217CDE">
        <w:rPr>
          <w:color w:val="00B050"/>
          <w:lang w:val="en-US"/>
        </w:rPr>
        <w:t xml:space="preserve"> persist across seeds with limited dispersion. They do not, however, transfer automatically to stress scenarios. The deterioration under disruption is too systematic and too severe to be attributed to seed noise or an isolated training art</w:t>
      </w:r>
      <w:r w:rsidR="00C551B4">
        <w:rPr>
          <w:color w:val="00B050"/>
          <w:lang w:val="en-US"/>
        </w:rPr>
        <w:t>i</w:t>
      </w:r>
      <w:r w:rsidRPr="00217CDE">
        <w:rPr>
          <w:color w:val="00B050"/>
          <w:lang w:val="en-US"/>
        </w:rPr>
        <w:t>fact. What emerges is a regime-dependent profile in which nominal performance and stress resilience must be assessed separately.</w:t>
      </w:r>
    </w:p>
    <w:p w14:paraId="3CA8FFA1" w14:textId="4E6016C1" w:rsidR="00217CDE" w:rsidRPr="00217CDE" w:rsidRDefault="00217CDE" w:rsidP="00217CDE">
      <w:pPr>
        <w:pStyle w:val="text-base"/>
        <w:jc w:val="both"/>
        <w:rPr>
          <w:color w:val="00B050"/>
          <w:lang w:val="en-US"/>
        </w:rPr>
      </w:pPr>
      <w:r w:rsidRPr="00217CDE">
        <w:rPr>
          <w:color w:val="00B050"/>
          <w:lang w:val="en-US"/>
        </w:rPr>
        <w:t xml:space="preserve">Transfer beyond the present setting requires local calibration of demand scale, lead times, and shortage penalties. Appendix B </w:t>
      </w:r>
      <w:proofErr w:type="spellStart"/>
      <w:r w:rsidRPr="00217CDE">
        <w:rPr>
          <w:color w:val="00B050"/>
          <w:lang w:val="en-US"/>
        </w:rPr>
        <w:t>summarises</w:t>
      </w:r>
      <w:proofErr w:type="spellEnd"/>
      <w:r w:rsidRPr="00217CDE">
        <w:rPr>
          <w:color w:val="00B050"/>
          <w:lang w:val="en-US"/>
        </w:rPr>
        <w:t xml:space="preserve"> that mapping. </w:t>
      </w:r>
      <w:r w:rsidR="00C551B4">
        <w:rPr>
          <w:color w:val="00B050"/>
          <w:lang w:val="en-US"/>
        </w:rPr>
        <w:t>Hence, t</w:t>
      </w:r>
      <w:r w:rsidRPr="00217CDE">
        <w:rPr>
          <w:color w:val="00B050"/>
          <w:lang w:val="en-US"/>
        </w:rPr>
        <w:t xml:space="preserve">he main text limits its claims to the SUS-calibrated evaluation and does not assume </w:t>
      </w:r>
      <w:r w:rsidRPr="005D38DA">
        <w:rPr>
          <w:color w:val="000000" w:themeColor="text1"/>
          <w:lang w:val="en-US"/>
        </w:rPr>
        <w:t>that the same cost levels, thresholds, or ranking magnitudes would carry unchanged to a different facility or procurement context.</w:t>
      </w:r>
    </w:p>
    <w:p w14:paraId="4235E59D" w14:textId="635B4221" w:rsidR="00217CDE" w:rsidRPr="00217CDE" w:rsidRDefault="00217CDE" w:rsidP="00217CDE">
      <w:pPr>
        <w:pStyle w:val="text-base"/>
        <w:jc w:val="both"/>
        <w:rPr>
          <w:color w:val="00B050"/>
          <w:lang w:val="en-US"/>
        </w:rPr>
      </w:pPr>
      <w:r w:rsidRPr="00217CDE">
        <w:rPr>
          <w:color w:val="00B050"/>
          <w:lang w:val="en-US"/>
        </w:rPr>
        <w:t xml:space="preserve">Taken together, the results support a simple evaluation rule: adaptive policies should be tested against tuned baselines and under explicit operational safety constraints. Without that discipline, a learning controller may reduce ordering effort in precisely the regime where service protection matters most. This point also bears on benchmark design. Comparisons against weak heuristics, as documented by Long et al. </w:t>
      </w:r>
      <w:r w:rsidR="00545BF6">
        <w:rPr>
          <w:color w:val="00B050"/>
          <w:lang w:val="en-US"/>
        </w:rPr>
        <w:fldChar w:fldCharType="begin"/>
      </w:r>
      <w:r w:rsidR="00545BF6">
        <w:rPr>
          <w:color w:val="00B050"/>
          <w:lang w:val="en-US"/>
        </w:rPr>
        <w:instrText xml:space="preserve"> ADDIN ZOTERO_ITEM CSL_CITATION {"citationID":"qzwiBLWL","properties":{"formattedCitation":"(2023)","plainCitation":"(2023)","noteIndex":0},"citationItems":[{"id":3415,"uris":["http://zotero.org/users/12903205/items/UWB8Q6DG"],"itemData":{"id":3415,"type":"article-journal","container-title":"Frontiers in Public Health","DOI":"10.3389/fpubh.2023.1310016","ISSN":"2296-2565","page":"1310016","title":"Intelligent selection of healthcare supply chain mode – an applied research based on artificial intelligence","volume":"11","author":[{"family":"Long","given":"Ping"},{"family":"Lu","given":"Lin"},{"family":"Chen","given":"Qianlan"},{"family":"Chen","given":"Yifan"},{"family":"Li","given":"Chaoling"},{"family":"Luo","given":"Xiaochun"}],"issued":{"date-parts":[["2023",12,11]]}},"suppress-author":true}],"schema":"https://github.com/citation-style-language/schema/raw/master/csl-citation.json"} </w:instrText>
      </w:r>
      <w:r w:rsidR="00545BF6">
        <w:rPr>
          <w:color w:val="00B050"/>
          <w:lang w:val="en-US"/>
        </w:rPr>
        <w:fldChar w:fldCharType="separate"/>
      </w:r>
      <w:r w:rsidR="00545BF6" w:rsidRPr="00D45628">
        <w:rPr>
          <w:lang w:val="en-US"/>
        </w:rPr>
        <w:t>(2023)</w:t>
      </w:r>
      <w:r w:rsidR="00545BF6">
        <w:rPr>
          <w:color w:val="00B050"/>
          <w:lang w:val="en-US"/>
        </w:rPr>
        <w:fldChar w:fldCharType="end"/>
      </w:r>
      <w:r w:rsidRPr="00217CDE">
        <w:rPr>
          <w:color w:val="00B050"/>
          <w:lang w:val="en-US"/>
        </w:rPr>
        <w:t xml:space="preserve"> and Chen et al. </w:t>
      </w:r>
      <w:r w:rsidR="00545BF6">
        <w:rPr>
          <w:color w:val="00B050"/>
          <w:lang w:val="en-US"/>
        </w:rPr>
        <w:fldChar w:fldCharType="begin"/>
      </w:r>
      <w:r w:rsidR="00545BF6">
        <w:rPr>
          <w:color w:val="00B050"/>
          <w:lang w:val="en-US"/>
        </w:rPr>
        <w:instrText xml:space="preserve"> ADDIN ZOTERO_ITEM CSL_CITATION {"citationID":"6J0fHC53","properties":{"formattedCitation":"(2025)","plainCitation":"(2025)","noteIndex":0},"citationItems":[{"id":3538,"uris":["http://zotero.org/users/12903205/items/KZKZ3RV8"],"itemData":{"id":3538,"type":"article-journal","abstract":"SYNOPSIS\n            A limited understanding of artificial intelligence (AI) behavior leads to the gap between academic research on developing inventory management models and practical applications. In this study, we employ reinforcement learning (RL)—a branch of AI that focuses on learning optimal actions through trial and error within an environment—to develop an artifact for inventory decision-making. Through a laboratory experiment involving supply chain professionals and a field experiment, our RL-based artifact demonstrates superior capability in reducing inventory costs under stable conditions, while exhibiting limitations in volatile ones. Practitioner interviews reveal both support and concerns about the artifact, offering insights into enhancing managerial adoption of RL-driven technologies. Whereas these findings are specific to the inventory application, the lessons learned can apply to other judgment and decision-making contexts. Overall, our findings underscore the potential of AI in improving management quality and provide new insights into the alignment between emerging technologies and management practices.\n            Data Availability: Data are available from the authors upon request.\n            JEL Classifications: C52; D25; M11; M41.","container-title":"Accounting Horizons","DOI":"10.2308/HORIZONS-2024-121","ISSN":"0888-7993, 1558-7975","language":"en","page":"1-18","source":"DOI.org (Crossref)","title":"Improving Inventory Management Quality with Reinforcement Learning: AI versus Human Decision-Making","title-short":"Improving Inventory Management Quality with Reinforcement Learning","author":[{"family":"Chen","given":"Yasheng"},{"family":"Xu","given":"Xin"},{"family":"Zhang","given":"Joseph H."}],"issued":{"date-parts":[["2025",11,1]]}},"suppress-author":true}],"schema":"https://github.com/citation-style-language/schema/raw/master/csl-citation.json"} </w:instrText>
      </w:r>
      <w:r w:rsidR="00545BF6">
        <w:rPr>
          <w:color w:val="00B050"/>
          <w:lang w:val="en-US"/>
        </w:rPr>
        <w:fldChar w:fldCharType="separate"/>
      </w:r>
      <w:r w:rsidR="00545BF6" w:rsidRPr="00D45628">
        <w:rPr>
          <w:lang w:val="en-US"/>
        </w:rPr>
        <w:t>(2025)</w:t>
      </w:r>
      <w:r w:rsidR="00545BF6">
        <w:rPr>
          <w:color w:val="00B050"/>
          <w:lang w:val="en-US"/>
        </w:rPr>
        <w:fldChar w:fldCharType="end"/>
      </w:r>
      <w:r w:rsidRPr="00217CDE">
        <w:rPr>
          <w:color w:val="00B050"/>
          <w:lang w:val="en-US"/>
        </w:rPr>
        <w:t>,</w:t>
      </w:r>
      <w:r>
        <w:rPr>
          <w:color w:val="00B050"/>
          <w:lang w:val="en-US"/>
        </w:rPr>
        <w:t xml:space="preserve"> </w:t>
      </w:r>
      <w:r w:rsidRPr="00217CDE">
        <w:rPr>
          <w:color w:val="00B050"/>
          <w:lang w:val="en-US"/>
        </w:rPr>
        <w:t>can overstate AI gains. Once the comparator set is strengthened, the picture changes. In the present study, the hybrid policy dominates Static, but in three of the four regimes</w:t>
      </w:r>
      <w:r w:rsidR="00C551B4">
        <w:rPr>
          <w:color w:val="00B050"/>
          <w:lang w:val="en-US"/>
        </w:rPr>
        <w:t>,</w:t>
      </w:r>
      <w:r w:rsidRPr="00217CDE">
        <w:rPr>
          <w:color w:val="00B050"/>
          <w:lang w:val="en-US"/>
        </w:rPr>
        <w:t xml:space="preserve"> it either matches or underperforms tuned analytical baselines.</w:t>
      </w:r>
    </w:p>
    <w:p w14:paraId="05A7EB97" w14:textId="3B19AEFF" w:rsidR="00217CDE" w:rsidRPr="00217CDE" w:rsidRDefault="00217CDE" w:rsidP="00217CDE">
      <w:pPr>
        <w:pStyle w:val="text-base"/>
        <w:jc w:val="both"/>
        <w:rPr>
          <w:color w:val="00B050"/>
          <w:lang w:val="en-US"/>
        </w:rPr>
      </w:pPr>
      <w:r w:rsidRPr="00217CDE">
        <w:rPr>
          <w:color w:val="00B050"/>
          <w:lang w:val="en-US"/>
        </w:rPr>
        <w:t>The baseline policies are tuned through structured parameter grids rather than black-box simulation optimi</w:t>
      </w:r>
      <w:r w:rsidR="00C551B4">
        <w:rPr>
          <w:color w:val="00B050"/>
          <w:lang w:val="en-US"/>
        </w:rPr>
        <w:t>z</w:t>
      </w:r>
      <w:r w:rsidRPr="00217CDE">
        <w:rPr>
          <w:color w:val="00B050"/>
          <w:lang w:val="en-US"/>
        </w:rPr>
        <w:t xml:space="preserve">ation. That choice reflects common operating practice and preserves interpretability, although it does not guarantee the strongest attainable non-learning benchmark. For this reason, future work should examine surrogate-assisted tuning of </w:t>
      </w:r>
      <w:r>
        <w:rPr>
          <w:color w:val="00B050"/>
          <w:lang w:val="en-US"/>
        </w:rPr>
        <w:t>(</w:t>
      </w:r>
      <w:r w:rsidRPr="00217CDE">
        <w:rPr>
          <w:color w:val="00B050"/>
          <w:lang w:val="en-US"/>
        </w:rPr>
        <w:t>s,</w:t>
      </w:r>
      <w:r w:rsidR="00C551B4">
        <w:rPr>
          <w:color w:val="00B050"/>
          <w:lang w:val="en-US"/>
        </w:rPr>
        <w:t xml:space="preserve"> </w:t>
      </w:r>
      <w:r w:rsidRPr="00217CDE">
        <w:rPr>
          <w:color w:val="00B050"/>
          <w:lang w:val="en-US"/>
        </w:rPr>
        <w:t>S) and related controls, especially whe</w:t>
      </w:r>
      <w:r w:rsidR="00C551B4">
        <w:rPr>
          <w:color w:val="00B050"/>
          <w:lang w:val="en-US"/>
        </w:rPr>
        <w:t>n the objective is to further tighten the comparison</w:t>
      </w:r>
      <w:r w:rsidRPr="00217CDE">
        <w:rPr>
          <w:color w:val="00B050"/>
          <w:lang w:val="en-US"/>
        </w:rPr>
        <w:t xml:space="preserve"> without sacrificing auditability.</w:t>
      </w:r>
    </w:p>
    <w:p w14:paraId="785D7B4E" w14:textId="188FF362" w:rsidR="0047501B" w:rsidRDefault="00217CDE" w:rsidP="00217CDE">
      <w:pPr>
        <w:pStyle w:val="text-base"/>
        <w:jc w:val="both"/>
        <w:rPr>
          <w:color w:val="00B050"/>
          <w:lang w:val="en-US"/>
        </w:rPr>
      </w:pPr>
      <w:r w:rsidRPr="00217CDE">
        <w:rPr>
          <w:color w:val="00B050"/>
          <w:lang w:val="en-US"/>
        </w:rPr>
        <w:t xml:space="preserve">An additional limitation concerns the comparator set itself. Distributionally robust inventory control models offer service-level guarantees under demand ambiguity and </w:t>
      </w:r>
      <w:r w:rsidR="00C551B4">
        <w:rPr>
          <w:color w:val="00B050"/>
          <w:lang w:val="en-US"/>
        </w:rPr>
        <w:t>serve as natural comparators in healthcare systems with mandated service floors</w:t>
      </w:r>
      <w:r w:rsidRPr="00217CDE">
        <w:rPr>
          <w:color w:val="00B050"/>
          <w:lang w:val="en-US"/>
        </w:rPr>
        <w:t xml:space="preserve"> </w:t>
      </w:r>
      <w:r w:rsidRPr="00217CDE">
        <w:rPr>
          <w:color w:val="00B050"/>
          <w:lang w:val="en-US"/>
        </w:rPr>
        <w:fldChar w:fldCharType="begin"/>
      </w:r>
      <w:r w:rsidRPr="00217CDE">
        <w:rPr>
          <w:color w:val="00B050"/>
          <w:lang w:val="en-US"/>
        </w:rPr>
        <w:instrText xml:space="preserve"> ADDIN ZOTERO_ITEM CSL_CITATION {"citationID":"341QW5YY","properties":{"formattedCitation":"(Sun et al., 2024; Xin and Goldberg, 2022)","plainCitation":"(Sun et al., 2024; Xin and Goldberg, 2022)","noteIndex":0},"citationItems":[{"id":3527,"uris":["http://zotero.org/users/12903205/items/YIFQ6JEG"],"itemData":{"id":3527,"type":"article-journal","container-title":"International Journal of Production Economics","DOI":"10.1016/j.ijpe.2023.109096","ISSN":"09255273","journalAbbreviation":"International Journal of Production Economics","language":"en","page":"109096","source":"DOI.org (Crossref)","title":"A robust optimization approach for inventory management with limited-time discounts and service-level requirement under demand uncertainty","volume":"267","author":[{"family":"Sun","given":"Yimeng"},{"family":"Qiu","given":"Ruozhen"},{"family":"Sun","given":"Minghe"}],"issued":{"date-parts":[["2024",1]]}},"label":"page"},{"id":3524,"uris":["http://zotero.org/users/12903205/items/WYF5FI6Y"],"itemData":{"id":3524,"type":"article-journal","abstract":"Demand forecasting plays an important role in many inventory control problems. To mitigate the potential harms of model misspecification in this context, various forms of distributionally robust optimization have been applied. Although many of these methodologies suffer from the problem of time inconsistency, the work of Klabjan et al. established a general time-consistent framework for such problems by connecting to the literature on robust Markov decision processes. Motivated by the fact that many forecasting models exhibit very special structure as well as a desire to understand the impact of positing different dependency structures in distributionally robust multistage optimization, we formulate and solve a time-consistent distributionally robust multistage newsvendor model, which naturally robustifies some of the simplest inventory models with demand forecasting. In particular, in some of the simplest such models, demand evolves as a martingale (i.e., expected demand tomorrow equals realized demand today). We consider a robust variant of such models in which the sequence of future demands may be any martingale with given mean and support. Under such a model, past realizations of demand are naturally incorporated into the structure of the uncertainty set going forward. We explicitly compute the minimax optimal policy (and worst-case distribution) in closed form by combining ideas from convex analysis, probability, and dynamic programming. We prove that, at optimality, the worst-case demand distribution corresponds to the setting in which inventory may become obsolete at a random time. To gain further insight, we prove weak convergence (as the time horizon grows large) to a simple and intuitive process. We also compare with the analogous setting in which demand is independent across periods (analyzed previously by Shapiro) and identify several differences between these models in the spirit of the price of correlations studied by Agrawal et al. Finally, we complement our results by providing both numerical experiments that illustrate the potential benefits and limitations of our approach as well as additional theoretical analyses exploring what happens when our modeling assumptions do not hold.","container-title":"Mathematics of Operations Research","DOI":"10.1287/moor.2021.1213","ISSN":"0364-765X, 1526-5471","issue":"3","journalAbbreviation":"Mathematics of OR","language":"en","page":"2387-2414","source":"DOI.org (Crossref)","title":"Distributionally Robust Inventory Control When Demand Is a Martingale","volume":"47","author":[{"family":"Xin","given":"Linwei"},{"family":"Goldberg","given":"David Alan"}],"issued":{"date-parts":[["2022",8]]}},"label":"page"}],"schema":"https://github.com/citation-style-language/schema/raw/master/csl-citation.json"} </w:instrText>
      </w:r>
      <w:r w:rsidRPr="00217CDE">
        <w:rPr>
          <w:color w:val="00B050"/>
          <w:lang w:val="en-US"/>
        </w:rPr>
        <w:fldChar w:fldCharType="separate"/>
      </w:r>
      <w:r w:rsidRPr="00217CDE">
        <w:rPr>
          <w:color w:val="00B050"/>
          <w:lang w:val="en-US"/>
        </w:rPr>
        <w:t>(Sun et al., 2024; Xin and Goldberg, 2022)</w:t>
      </w:r>
      <w:r w:rsidRPr="00217CDE">
        <w:rPr>
          <w:color w:val="00B050"/>
          <w:lang w:val="en-US"/>
        </w:rPr>
        <w:fldChar w:fldCharType="end"/>
      </w:r>
      <w:r w:rsidRPr="00217CDE">
        <w:rPr>
          <w:color w:val="00B050"/>
          <w:lang w:val="en-US"/>
        </w:rPr>
        <w:t>.</w:t>
      </w:r>
    </w:p>
    <w:p w14:paraId="017A2627" w14:textId="7C5EA601" w:rsidR="00545BF6" w:rsidRPr="005D38DA" w:rsidRDefault="00545BF6" w:rsidP="00545BF6">
      <w:pPr>
        <w:pStyle w:val="text-base"/>
        <w:jc w:val="both"/>
        <w:rPr>
          <w:color w:val="000000" w:themeColor="text1"/>
          <w:lang w:val="en-US"/>
        </w:rPr>
      </w:pPr>
      <w:r w:rsidRPr="005D38DA">
        <w:rPr>
          <w:color w:val="000000" w:themeColor="text1"/>
          <w:lang w:val="en-US"/>
        </w:rPr>
        <w:t xml:space="preserve">The present study does not include DRO formulations </w:t>
      </w:r>
      <w:r w:rsidR="00774739" w:rsidRPr="005D38DA">
        <w:rPr>
          <w:color w:val="000000" w:themeColor="text1"/>
          <w:lang w:val="en-US"/>
        </w:rPr>
        <w:fldChar w:fldCharType="begin"/>
      </w:r>
      <w:r w:rsidR="00774739" w:rsidRPr="005D38DA">
        <w:rPr>
          <w:color w:val="000000" w:themeColor="text1"/>
          <w:lang w:val="en-US"/>
        </w:rPr>
        <w:instrText xml:space="preserve"> ADDIN ZOTERO_ITEM CSL_CITATION {"citationID":"pNd4LmCh","properties":{"formattedCitation":"(Metzker et al., 2025)","plainCitation":"(Metzker et al., 2025)","noteIndex":0},"citationItems":[{"id":3565,"uris":["http://zotero.org/users/12903205/items/CTPSWCVH"],"itemData":{"id":3565,"type":"article-journal","container-title":"IEEE Transactions on Automation Science and Engineering","DOI":"10.1109/TASE.2025.3535945","ISSN":"1545-5955, 1558-3783","journalAbbreviation":"IEEE Trans. Automat. Sci. Eng.","license":"https://ieeexplore.ieee.org/Xplorehelp/downloads/license-information/IEEE.html","page":"11731-11752","source":"DOI.org (Crossref)","title":"Distributionally Robust Optimization for the Multi-Period Multi-Item Lot-Sizing Problems Under Yield Uncertainty","volume":"22","author":[{"family":"Metzker","given":"Paula"},{"family":"Thevenin","given":"Simon"},{"family":"Adulyasak","given":"Yossiri"},{"family":"Dolgui","given":"Alexandre"}],"issued":{"date-parts":[["2025"]]}}}],"schema":"https://github.com/citation-style-language/schema/raw/master/csl-citation.json"} </w:instrText>
      </w:r>
      <w:r w:rsidR="00774739" w:rsidRPr="005D38DA">
        <w:rPr>
          <w:color w:val="000000" w:themeColor="text1"/>
          <w:lang w:val="en-US"/>
        </w:rPr>
        <w:fldChar w:fldCharType="separate"/>
      </w:r>
      <w:r w:rsidR="00774739" w:rsidRPr="005D38DA">
        <w:rPr>
          <w:color w:val="000000" w:themeColor="text1"/>
          <w:lang w:val="en-US"/>
        </w:rPr>
        <w:t>(Metzker et al., 2025)</w:t>
      </w:r>
      <w:r w:rsidR="00774739" w:rsidRPr="005D38DA">
        <w:rPr>
          <w:color w:val="000000" w:themeColor="text1"/>
          <w:lang w:val="en-US"/>
        </w:rPr>
        <w:fldChar w:fldCharType="end"/>
      </w:r>
      <w:r w:rsidR="00C24D2F" w:rsidRPr="005D38DA">
        <w:rPr>
          <w:color w:val="000000" w:themeColor="text1"/>
          <w:lang w:val="en-US"/>
        </w:rPr>
        <w:t xml:space="preserve"> </w:t>
      </w:r>
      <w:r w:rsidRPr="005D38DA">
        <w:rPr>
          <w:color w:val="000000" w:themeColor="text1"/>
          <w:lang w:val="en-US"/>
        </w:rPr>
        <w:t xml:space="preserve">or chance-constrained </w:t>
      </w:r>
      <m:oMath>
        <m:d>
          <m:dPr>
            <m:sepChr m:val=","/>
            <m:ctrlPr>
              <w:rPr>
                <w:rFonts w:ascii="Cambria Math" w:hAnsi="Cambria Math"/>
                <w:color w:val="000000" w:themeColor="text1"/>
              </w:rPr>
            </m:ctrlPr>
          </m:dPr>
          <m:e>
            <m:r>
              <w:rPr>
                <w:rFonts w:ascii="Cambria Math" w:hAnsi="Cambria Math"/>
                <w:color w:val="000000" w:themeColor="text1"/>
              </w:rPr>
              <m:t>s</m:t>
            </m:r>
          </m:e>
          <m:e>
            <m:r>
              <w:rPr>
                <w:rFonts w:ascii="Cambria Math" w:hAnsi="Cambria Math"/>
                <w:color w:val="000000" w:themeColor="text1"/>
              </w:rPr>
              <m:t>S</m:t>
            </m:r>
          </m:e>
        </m:d>
      </m:oMath>
      <w:r w:rsidRPr="005D38DA">
        <w:rPr>
          <w:color w:val="000000" w:themeColor="text1"/>
          <w:lang w:val="en-US"/>
        </w:rPr>
        <w:t>/</w:t>
      </w:r>
      <m:oMath>
        <m:d>
          <m:dPr>
            <m:sepChr m:val=","/>
            <m:ctrlPr>
              <w:rPr>
                <w:rFonts w:ascii="Cambria Math" w:hAnsi="Cambria Math"/>
                <w:color w:val="000000" w:themeColor="text1"/>
              </w:rPr>
            </m:ctrlPr>
          </m:dPr>
          <m:e>
            <m:r>
              <w:rPr>
                <w:rFonts w:ascii="Cambria Math" w:hAnsi="Cambria Math"/>
                <w:color w:val="000000" w:themeColor="text1"/>
              </w:rPr>
              <m:t>r</m:t>
            </m:r>
          </m:e>
          <m:e>
            <m:r>
              <w:rPr>
                <w:rFonts w:ascii="Cambria Math" w:hAnsi="Cambria Math"/>
                <w:color w:val="000000" w:themeColor="text1"/>
              </w:rPr>
              <m:t>Q</m:t>
            </m:r>
          </m:e>
        </m:d>
      </m:oMath>
      <w:r w:rsidRPr="005D38DA">
        <w:rPr>
          <w:color w:val="000000" w:themeColor="text1"/>
          <w:lang w:val="en-US"/>
        </w:rPr>
        <w:t xml:space="preserve"> policies. These were not implemented because of computational and engineering constraints, and Appendix E.10 outlines a minimal implementation plan for future work.</w:t>
      </w:r>
    </w:p>
    <w:p w14:paraId="06933801" w14:textId="542E0FCA" w:rsidR="00C551B4" w:rsidRPr="00AF0A0F" w:rsidRDefault="00545BF6" w:rsidP="00C551B4">
      <w:pPr>
        <w:pStyle w:val="text-base"/>
        <w:jc w:val="both"/>
        <w:rPr>
          <w:color w:val="000000" w:themeColor="text1"/>
          <w:lang w:val="en-US"/>
        </w:rPr>
      </w:pPr>
      <w:r w:rsidRPr="00AF0A0F">
        <w:rPr>
          <w:color w:val="000000" w:themeColor="text1"/>
          <w:lang w:val="en-US"/>
        </w:rPr>
        <w:t>The disruption-driven collapse also places the present results in the broader context of safety-constrained and structure-guided RL. Optimi</w:t>
      </w:r>
      <w:r w:rsidR="00C551B4" w:rsidRPr="00AF0A0F">
        <w:rPr>
          <w:color w:val="000000" w:themeColor="text1"/>
          <w:lang w:val="en-US"/>
        </w:rPr>
        <w:t>z</w:t>
      </w:r>
      <w:r w:rsidRPr="00AF0A0F">
        <w:rPr>
          <w:color w:val="000000" w:themeColor="text1"/>
          <w:lang w:val="en-US"/>
        </w:rPr>
        <w:t xml:space="preserve">ing expected </w:t>
      </w:r>
      <w:proofErr w:type="gramStart"/>
      <w:r w:rsidRPr="00AF0A0F">
        <w:rPr>
          <w:color w:val="000000" w:themeColor="text1"/>
          <w:lang w:val="en-US"/>
        </w:rPr>
        <w:t>return</w:t>
      </w:r>
      <w:proofErr w:type="gramEnd"/>
      <w:r w:rsidRPr="00AF0A0F">
        <w:rPr>
          <w:color w:val="000000" w:themeColor="text1"/>
          <w:lang w:val="en-US"/>
        </w:rPr>
        <w:t xml:space="preserve"> without explicit service constraints can generate unacceptable tail outcomes in operational settings. Constrained and distributional RL methods address this problem by encoding service-level or stockout-rate budgets through </w:t>
      </w:r>
      <w:proofErr w:type="spellStart"/>
      <w:r w:rsidRPr="00AF0A0F">
        <w:rPr>
          <w:color w:val="000000" w:themeColor="text1"/>
          <w:lang w:val="en-US"/>
        </w:rPr>
        <w:t>Lagrangian</w:t>
      </w:r>
      <w:proofErr w:type="spellEnd"/>
      <w:r w:rsidRPr="00AF0A0F">
        <w:rPr>
          <w:color w:val="000000" w:themeColor="text1"/>
          <w:lang w:val="en-US"/>
        </w:rPr>
        <w:t xml:space="preserve"> handling, exact-penalty objectives, or distributional value estimation </w:t>
      </w:r>
      <w:r w:rsidR="00653ACC" w:rsidRPr="00AF0A0F">
        <w:rPr>
          <w:color w:val="000000" w:themeColor="text1"/>
          <w:lang w:val="en-US"/>
        </w:rPr>
        <w:fldChar w:fldCharType="begin"/>
      </w:r>
      <w:r w:rsidR="00653ACC" w:rsidRPr="00AF0A0F">
        <w:rPr>
          <w:color w:val="000000" w:themeColor="text1"/>
          <w:lang w:val="en-US"/>
        </w:rPr>
        <w:instrText xml:space="preserve"> ADDIN ZOTERO_ITEM CSL_CITATION {"citationID":"LT7XL6BO","properties":{"formattedCitation":"(Berm\\uc0\\u250{}dez et al., 2023; Jayant and Bhatnagar, 2022; Zhang et al., 2022)","plainCitation":"(Bermúdez et al., 2023; Jayant and Bhatnagar, 2022; Zhang et al., 2022)","noteIndex":0},"citationItems":[{"id":3533,"uris":["http://zotero.org/users/12903205/items/TRMAJC8W"],"itemData":{"id":3533,"type":"article","abstract":"This work studies reinforcement learning (RL) in the context of multi-period supply chains subject to constraints, e.g., on production and inventory. We introduce Distributional Constrained Policy Optimization (DCPO), a novel approach for reliable constraint satisfaction in RL. Our approach is based on Constrained Policy Optimization (CPO), which is subject to approximation errors that in practice lead it to converge to infeasible policies. We address this issue by incorporating aspects of distributional RL into DCPO. Specifically, we represent the return and cost value functions using neural networks that output discrete distributions, and we reshape costs based on the associated confidence. Using a supply chain case study, we show that DCPO improves the rate at which the RL policy converges and ensures reliable constraint satisfaction by the end of training. The proposed method also improves predictability, greatly reducing the variance of returns between runs, respectively; this result is significant in the context of policy gradient methods, which intrinsically introduce significant variance during training.","DOI":"10.48550/ARXIV.2302.01727","license":"arXiv.org perpetual, non-exclusive license","note":"version: 1","publisher":"arXiv","source":"DOI.org (Datacite)","title":"Distributional constrained reinforcement learning for supply chain optimization","URL":"https://arxiv.org/abs/2302.01727","author":[{"family":"Bermúdez","given":"Jaime Sabal"},{"family":"Chanona","given":"Antonio del Rio"},{"family":"Tsay","given":"Calvin"}],"accessed":{"date-parts":[["2026",2,5]]},"issued":{"date-parts":[["2023"]]}},"label":"page"},{"id":3531,"uris":["http://zotero.org/users/12903205/items/EQSIGE7R"],"itemData":{"id":3531,"type":"article","abstract":"During initial iterations of training in most Reinforcement Learning (RL) algorithms, agents perform a significant number of random exploratory steps. In the real world, this can limit the practicality of these algorithms as it can lead to potentially dangerous behavior. Hence safe exploration is a critical issue in applying RL algorithms in the real world. This problem has been recently well studied under the Constrained Markov Decision Process (CMDP) Framework, where in addition to single-stage rewards, an agent receives single-stage costs or penalties as well depending on the state transitions. The prescribed cost functions are responsible for mapping undesirable behavior at any given time-step to a scalar value. The goal then is to find a feasible policy that maximizes reward returns while constraining the cost returns to be below a prescribed threshold during training as well as deployment. We propose an On-policy Model-based Safe Deep RL algorithm in which we learn the transition dynamics of the environment in an online manner as well as find a feasible optimal policy using the Lagrangian Relaxation-based Proximal Policy Optimization. We use an ensemble of neural networks with different initializations to tackle epistemic and aleatoric uncertainty issues faced during environment model learning. We compare our approach with relevant model-free and model-based approaches in Constrained RL using the challenging Safe Reinforcement Learning benchmark - the Open AI Safety Gym. We demonstrate that our algorithm is more sample efficient and results in lower cumulative hazard violations as compared to constrained model-free approaches. Further, our approach shows better reward performance than other constrained model-based approaches in the literature.","DOI":"10.48550/ARXIV.2210.07573","license":"Creative Commons Attribution Non Commercial Share Alike 4.0 International","note":"version: 1","publisher":"arXiv","source":"DOI.org (Datacite)","title":"Model-based Safe Deep Reinforcement Learning via a Constrained Proximal Policy Optimization Algorithm","URL":"https://arxiv.org/abs/2210.07573","author":[{"family":"Jayant","given":"Ashish Kumar"},{"family":"Bhatnagar","given":"Shalabh"}],"accessed":{"date-parts":[["2026",2,5]]},"issued":{"date-parts":[["2022"]]}},"label":"page"},{"id":3522,"uris":["http://zotero.org/users/12903205/items/WLTSR2Q5"],"itemData":{"id":3522,"type":"article","abstract":"Safe reinforcement learning aims to learn the optimal policy while satisfying safety constraints, which is essential in real-world applications. However, current algorithms still struggle for efficient policy updates with hard constraint satisfaction. In this paper, we propose Penalized Proximal Policy Optimization (P3O), which solves the cumbersome constrained policy iteration via a single minimization of an equivalent unconstrained problem. Specifically, P3O utilizes a simple-yet-effective penalty function to eliminate cost constraints and removes the trust-region constraint by the clipped surrogate objective. We theoretically prove the exactness of the proposed method with a finite penalty factor and provide a worst-case analysis for approximate error when evaluated on sample trajectories. Moreover, we extend P3O to more challenging multi-constraint and multi-agent scenarios which are less studied in previous work. Extensive experiments show that P3O outperforms state-of-the-art algorithms with respect to both reward improvement and constraint satisfaction on a set of constrained locomotive tasks.","DOI":"10.48550/ARXIV.2205.11814","license":"Creative Commons Attribution 4.0 International","note":"version: 2","publisher":"arXiv","source":"DOI.org (Datacite)","title":"Penalized Proximal Policy Optimization for Safe Reinforcement Learning","URL":"https://arxiv.org/abs/2205.11814","author":[{"family":"Zhang","given":"Linrui"},{"family":"Shen","given":"Li"},{"family":"Yang","given":"Long"},{"family":"Chen","given":"Shixiang"},{"family":"Yuan","given":"Bo"},{"family":"Wang","given":"Xueqian"},{"family":"Tao","given":"Dacheng"}],"accessed":{"date-parts":[["2026",2,5]]},"issued":{"date-parts":[["2022"]]}},"label":"page"}],"schema":"https://github.com/citation-style-language/schema/raw/master/csl-citation.json"} </w:instrText>
      </w:r>
      <w:r w:rsidR="00653ACC" w:rsidRPr="00AF0A0F">
        <w:rPr>
          <w:color w:val="000000" w:themeColor="text1"/>
          <w:lang w:val="en-US"/>
        </w:rPr>
        <w:fldChar w:fldCharType="separate"/>
      </w:r>
      <w:r w:rsidR="00653ACC" w:rsidRPr="00AF0A0F">
        <w:rPr>
          <w:color w:val="000000" w:themeColor="text1"/>
          <w:lang w:val="en-US"/>
        </w:rPr>
        <w:t>(Bermúdez et al., 2023; Jayant and Bhatnagar, 2022; Zhang et al., 2022)</w:t>
      </w:r>
      <w:r w:rsidR="00653ACC" w:rsidRPr="00AF0A0F">
        <w:rPr>
          <w:color w:val="000000" w:themeColor="text1"/>
          <w:lang w:val="en-US"/>
        </w:rPr>
        <w:fldChar w:fldCharType="end"/>
      </w:r>
      <w:r w:rsidRPr="00AF0A0F">
        <w:rPr>
          <w:color w:val="000000" w:themeColor="text1"/>
          <w:lang w:val="en-US"/>
        </w:rPr>
        <w:t xml:space="preserve">. </w:t>
      </w:r>
      <w:r w:rsidR="00C551B4" w:rsidRPr="00AF0A0F">
        <w:rPr>
          <w:color w:val="000000" w:themeColor="text1"/>
          <w:lang w:val="en-US"/>
        </w:rPr>
        <w:t xml:space="preserve">In parallel, structure-guided approaches that parameterize </w:t>
      </w:r>
      <w:r w:rsidR="00C551B4" w:rsidRPr="00AF0A0F">
        <w:rPr>
          <w:color w:val="000000" w:themeColor="text1"/>
          <w:lang w:val="en-US"/>
        </w:rPr>
        <w:lastRenderedPageBreak/>
        <w:t>inventory-theoretic rules</w:t>
      </w:r>
      <w:r w:rsidR="003C5CB9" w:rsidRPr="00AF0A0F">
        <w:rPr>
          <w:color w:val="000000" w:themeColor="text1"/>
          <w:lang w:val="en-US"/>
        </w:rPr>
        <w:t>. F</w:t>
      </w:r>
      <w:r w:rsidR="00C551B4" w:rsidRPr="00AF0A0F">
        <w:rPr>
          <w:color w:val="000000" w:themeColor="text1"/>
          <w:lang w:val="en-US"/>
        </w:rPr>
        <w:t>or example, by learning adjustments to order-up-to targets rather than emitting unconstrained actions</w:t>
      </w:r>
      <w:r w:rsidR="003C5CB9" w:rsidRPr="00AF0A0F">
        <w:rPr>
          <w:color w:val="000000" w:themeColor="text1"/>
          <w:lang w:val="en-US"/>
        </w:rPr>
        <w:t xml:space="preserve">, they </w:t>
      </w:r>
      <w:r w:rsidR="00C551B4" w:rsidRPr="00AF0A0F">
        <w:rPr>
          <w:color w:val="000000" w:themeColor="text1"/>
          <w:lang w:val="en-US"/>
        </w:rPr>
        <w:t>may reduce the exploration burden and improve stability. These methods are not implemented here. Even so, the failure mode documented in this study is clear enough to support one practical conclusion: guardrails are a prerequisite for any healthcare deployment of the evaluated learning architecture.</w:t>
      </w:r>
    </w:p>
    <w:p w14:paraId="1E48EE10" w14:textId="77777777" w:rsidR="0055574B" w:rsidRPr="00A70916" w:rsidRDefault="001A4386" w:rsidP="00DD5FF3">
      <w:pPr>
        <w:pStyle w:val="Ttulo2"/>
      </w:pPr>
      <w:r>
        <w:t xml:space="preserve">5.3 </w:t>
      </w:r>
      <w:r w:rsidR="001A0FF3" w:rsidRPr="001A0FF3">
        <w:t xml:space="preserve">Managerial </w:t>
      </w:r>
      <w:r>
        <w:t>I</w:t>
      </w:r>
      <w:r w:rsidR="001A0FF3" w:rsidRPr="001A0FF3">
        <w:t>mplications</w:t>
      </w:r>
    </w:p>
    <w:p w14:paraId="6EE19594" w14:textId="77777777" w:rsidR="0047501B" w:rsidRPr="007144EB" w:rsidRDefault="00000000" w:rsidP="007144EB">
      <w:pPr>
        <w:pStyle w:val="text-base"/>
        <w:spacing w:before="0" w:after="0"/>
        <w:jc w:val="both"/>
        <w:rPr>
          <w:color w:val="000000" w:themeColor="text1"/>
          <w:lang w:val="en-US"/>
        </w:rPr>
      </w:pPr>
      <w:r w:rsidRPr="00211F52">
        <w:rPr>
          <w:lang w:val="en-US"/>
        </w:rPr>
        <w:t xml:space="preserve">The managerial implication is regime-specific, not universal. Stable-demand gains do not justify deployment when plausible disruption regimes can produce severe service collapse. The relevant decision rule is therefore conditional: retain the learned controller only while service remains within monitored </w:t>
      </w:r>
      <w:proofErr w:type="gramStart"/>
      <w:r w:rsidRPr="00211F52">
        <w:rPr>
          <w:lang w:val="en-US"/>
        </w:rPr>
        <w:t>bounds, and</w:t>
      </w:r>
      <w:proofErr w:type="gramEnd"/>
      <w:r w:rsidRPr="00211F52">
        <w:rPr>
          <w:lang w:val="en-US"/>
        </w:rPr>
        <w:t xml:space="preserve"> revert to a conservative baseline once those bounds are persistently breached.</w:t>
      </w:r>
    </w:p>
    <w:p w14:paraId="5F3450B1" w14:textId="77777777" w:rsidR="0047501B" w:rsidRPr="007144EB" w:rsidRDefault="00000000" w:rsidP="007144EB">
      <w:pPr>
        <w:pStyle w:val="text-base"/>
        <w:spacing w:before="0" w:after="0"/>
        <w:jc w:val="both"/>
        <w:rPr>
          <w:color w:val="000000" w:themeColor="text1"/>
          <w:lang w:val="en-US"/>
        </w:rPr>
      </w:pPr>
      <w:r w:rsidRPr="00211F52">
        <w:rPr>
          <w:lang w:val="en-US"/>
        </w:rPr>
        <w:t>A minimal guardrail set follows directly from that logic: monitor a service floor, monitor persistent stockout incidence, and define a fallback rule that switches control to Base-stock (Uncertain) once those signals remain out of range for a pre-specified window.</w:t>
      </w:r>
    </w:p>
    <w:p w14:paraId="75086EF0" w14:textId="076C5CBE" w:rsidR="0047501B" w:rsidRDefault="00000000" w:rsidP="007144EB">
      <w:pPr>
        <w:pStyle w:val="text-base"/>
        <w:spacing w:before="0" w:after="0"/>
        <w:jc w:val="both"/>
        <w:rPr>
          <w:color w:val="000000" w:themeColor="text1"/>
          <w:lang w:val="en-US"/>
        </w:rPr>
      </w:pPr>
      <w:r w:rsidRPr="00211F52">
        <w:rPr>
          <w:lang w:val="en-US"/>
        </w:rPr>
        <w:t xml:space="preserve">Total cost values reported in Tables 3–6 are network-level aggregates over the horizon and include holding, ordering, stockout, and, when enabled, routing proxy costs. Appendix E.8 </w:t>
      </w:r>
      <w:r w:rsidR="008B31E2">
        <w:rPr>
          <w:lang w:val="en-US"/>
        </w:rPr>
        <w:t>provides a more detailed account of the disruption diagnostics</w:t>
      </w:r>
      <w:r w:rsidRPr="00211F52">
        <w:rPr>
          <w:lang w:val="en-US"/>
        </w:rPr>
        <w:t>.</w:t>
      </w:r>
    </w:p>
    <w:p w14:paraId="5F94E8D1" w14:textId="77777777" w:rsidR="00C01751" w:rsidRPr="00A70916" w:rsidRDefault="001A4386" w:rsidP="00DD5FF3">
      <w:pPr>
        <w:pStyle w:val="Ttulo2"/>
      </w:pPr>
      <w:r>
        <w:t xml:space="preserve">5.4 </w:t>
      </w:r>
      <w:r w:rsidR="00FF3C6B" w:rsidRPr="00A70916">
        <w:t>Limitations and Operational Boundaries</w:t>
      </w:r>
    </w:p>
    <w:p w14:paraId="6EB48F09" w14:textId="0D8ED8D2" w:rsidR="0093787F" w:rsidRDefault="0093787F" w:rsidP="007144EB">
      <w:pPr>
        <w:pStyle w:val="text-base"/>
        <w:spacing w:before="0" w:after="0" w:afterAutospacing="0"/>
        <w:jc w:val="both"/>
        <w:rPr>
          <w:lang w:val="en-US"/>
        </w:rPr>
      </w:pPr>
      <w:r w:rsidRPr="00211F52">
        <w:rPr>
          <w:lang w:val="en-US"/>
        </w:rPr>
        <w:t xml:space="preserve">This study uses n = 100 paired replications per condition, </w:t>
      </w:r>
      <w:r w:rsidR="008B31E2">
        <w:rPr>
          <w:lang w:val="en-US"/>
        </w:rPr>
        <w:t>leaving limited power to detect</w:t>
      </w:r>
      <w:r w:rsidRPr="00211F52">
        <w:rPr>
          <w:lang w:val="en-US"/>
        </w:rPr>
        <w:t xml:space="preserve"> medium effects. The design detects large regime-level gaps, but it treats near-ties as exploratory. The 90-day horizon also truncates long disruption dynamics and places some long-lead arrivals near the evaluation boundary, which is why we include horizon-sensitivity checks.</w:t>
      </w:r>
    </w:p>
    <w:p w14:paraId="03F92F33" w14:textId="1E42FF7F" w:rsidR="0094278E" w:rsidRDefault="0094278E" w:rsidP="007144EB">
      <w:pPr>
        <w:pStyle w:val="text-base"/>
        <w:spacing w:before="0" w:after="0" w:afterAutospacing="0"/>
        <w:jc w:val="both"/>
        <w:rPr>
          <w:color w:val="00B050"/>
          <w:lang w:val="en-US"/>
        </w:rPr>
      </w:pPr>
      <w:r w:rsidRPr="00AF0A0F">
        <w:rPr>
          <w:color w:val="000000" w:themeColor="text1"/>
          <w:lang w:val="en-US"/>
        </w:rPr>
        <w:t xml:space="preserve">The RL controller is based on value-based Double Q-learning, with coarse state discretization and bounded adjustments around an order-up-to target. This design keeps training tractable and the policy interpretable; at the same time, it narrows the controller’s response space when regimes shift and leaves service-floor constraints unenforced. </w:t>
      </w:r>
      <w:r w:rsidRPr="0094278E">
        <w:rPr>
          <w:color w:val="00B050"/>
          <w:lang w:val="en-US"/>
        </w:rPr>
        <w:t>The reward function compounds that limitation. Because it includes a discontinuous daily zero-lost-sales term, the learning signal can become sparse and, when combined with bounded actions, may steer the policy toward under-ordering under disruption. The cost structure is also simplified: ordering cost</w:t>
      </w:r>
      <w:r>
        <w:rPr>
          <w:color w:val="00B050"/>
          <w:lang w:val="en-US"/>
        </w:rPr>
        <w:t>s are linear in the number of</w:t>
      </w:r>
      <w:r w:rsidRPr="0094278E">
        <w:rPr>
          <w:color w:val="00B050"/>
          <w:lang w:val="en-US"/>
        </w:rPr>
        <w:t xml:space="preserve"> units ordered, fixed setup costs are omitted, and procurement-capacity constraints are not represented. That choice reduces comparability with standard (r,</w:t>
      </w:r>
      <w:r>
        <w:rPr>
          <w:color w:val="00B050"/>
          <w:lang w:val="en-US"/>
        </w:rPr>
        <w:t xml:space="preserve"> </w:t>
      </w:r>
      <w:r w:rsidRPr="0094278E">
        <w:rPr>
          <w:color w:val="00B050"/>
          <w:lang w:val="en-US"/>
        </w:rPr>
        <w:t>Q) and (s,</w:t>
      </w:r>
      <w:r>
        <w:rPr>
          <w:color w:val="00B050"/>
          <w:lang w:val="en-US"/>
        </w:rPr>
        <w:t xml:space="preserve"> </w:t>
      </w:r>
      <w:r w:rsidRPr="0094278E">
        <w:rPr>
          <w:color w:val="00B050"/>
          <w:lang w:val="en-US"/>
        </w:rPr>
        <w:t>S) formulations used in healthcare procurement. A further simplification lies in aggregation. By collapsing items into SKU-equivalent units, the model can obscure SKU-level heterogeneity in intermittency and criticality. The GA routing proxy adds a network-level cost component that improves operational realism, but because its variance is low in the present experiments, it can complicate the interpretation of inventory-policy effects more than it changes policy ranking. Finally, although point-forecast errors are reported, the current version does not provide full interval-calibration diagnostics</w:t>
      </w:r>
      <w:r>
        <w:rPr>
          <w:color w:val="00B050"/>
          <w:lang w:val="en-US"/>
        </w:rPr>
        <w:t xml:space="preserve">, </w:t>
      </w:r>
      <w:r w:rsidRPr="0094278E">
        <w:rPr>
          <w:color w:val="00B050"/>
          <w:lang w:val="en-US"/>
        </w:rPr>
        <w:t>such as coverage, CRPS, and PIT</w:t>
      </w:r>
      <w:r>
        <w:rPr>
          <w:color w:val="00B050"/>
          <w:lang w:val="en-US"/>
        </w:rPr>
        <w:t xml:space="preserve">, </w:t>
      </w:r>
      <w:r w:rsidRPr="0094278E">
        <w:rPr>
          <w:color w:val="00B050"/>
          <w:lang w:val="en-US"/>
        </w:rPr>
        <w:t>across all regimes</w:t>
      </w:r>
      <w:r>
        <w:rPr>
          <w:color w:val="00B050"/>
          <w:lang w:val="en-US"/>
        </w:rPr>
        <w:t>. F</w:t>
      </w:r>
      <w:r w:rsidRPr="0094278E">
        <w:rPr>
          <w:color w:val="00B050"/>
          <w:lang w:val="en-US"/>
        </w:rPr>
        <w:t xml:space="preserve">or that reason, comparisons involving uncertainty-aware baselines still rely on dispersion estimates that may be </w:t>
      </w:r>
      <w:proofErr w:type="spellStart"/>
      <w:r w:rsidRPr="0094278E">
        <w:rPr>
          <w:color w:val="00B050"/>
          <w:lang w:val="en-US"/>
        </w:rPr>
        <w:t>miscalibrated</w:t>
      </w:r>
      <w:proofErr w:type="spellEnd"/>
      <w:r w:rsidRPr="0094278E">
        <w:rPr>
          <w:color w:val="00B050"/>
          <w:lang w:val="en-US"/>
        </w:rPr>
        <w:t>.</w:t>
      </w:r>
    </w:p>
    <w:p w14:paraId="7879D54D" w14:textId="1DBA70E5" w:rsidR="0094278E" w:rsidRPr="0094278E" w:rsidRDefault="0094278E" w:rsidP="007144EB">
      <w:pPr>
        <w:pStyle w:val="text-base"/>
        <w:spacing w:before="0" w:after="0" w:afterAutospacing="0"/>
        <w:jc w:val="both"/>
        <w:rPr>
          <w:color w:val="00B050"/>
          <w:lang w:val="en-US"/>
        </w:rPr>
      </w:pPr>
      <w:r w:rsidRPr="0094278E">
        <w:rPr>
          <w:color w:val="00B050"/>
          <w:lang w:val="en-US"/>
        </w:rPr>
        <w:t xml:space="preserve">The main paired-grid design fixes a single training seed </w:t>
      </w:r>
      <w:r>
        <w:rPr>
          <w:color w:val="00B050"/>
          <w:lang w:val="en-US"/>
        </w:rPr>
        <w:t>to preserve reproducibility, while Section 4 supplements it</w:t>
      </w:r>
      <w:r w:rsidRPr="0094278E">
        <w:rPr>
          <w:color w:val="00B050"/>
          <w:lang w:val="en-US"/>
        </w:rPr>
        <w:t xml:space="preserve"> with a five-seed sensitivity analysis under stable demand and supply disruption. That extension improves the evidential basis for interpretation, but it does not remove the need for broader multi-seed confirmation. For confirmatory work, a wider seed design remains preferable, especially if future versions introduce service constraints or expand the policy class beyond the current specification.</w:t>
      </w:r>
    </w:p>
    <w:p w14:paraId="453867FA" w14:textId="77777777" w:rsidR="00791356" w:rsidRPr="00130595" w:rsidRDefault="00791356" w:rsidP="00130595">
      <w:pPr>
        <w:pStyle w:val="Ttulo1"/>
        <w:numPr>
          <w:ilvl w:val="0"/>
          <w:numId w:val="32"/>
        </w:numPr>
      </w:pPr>
      <w:r w:rsidRPr="00130595">
        <w:t>Conclusion</w:t>
      </w:r>
    </w:p>
    <w:p w14:paraId="14805E0F" w14:textId="13B8AEEE" w:rsidR="00EA0560" w:rsidRPr="000001C9" w:rsidRDefault="00EA0560" w:rsidP="00130595">
      <w:pPr>
        <w:pStyle w:val="text-base"/>
        <w:spacing w:before="0" w:after="0" w:afterAutospacing="0"/>
        <w:jc w:val="both"/>
        <w:rPr>
          <w:color w:val="000000" w:themeColor="text1"/>
          <w:lang w:val="en-US"/>
        </w:rPr>
      </w:pPr>
      <w:r w:rsidRPr="00EA0560">
        <w:rPr>
          <w:color w:val="00B050"/>
          <w:lang w:val="en-US"/>
        </w:rPr>
        <w:t>Overall, the evidence does not support a general claim of Hybrid AI superiority. Across 1,600 paired replications, the evaluated controller achieves the lowest mean total cost under stable demand, remains broadly comparable to tuned baselines under High Volatility, loses competitiveness under Seasonal Surge, and fails under Supply Disruption</w:t>
      </w:r>
      <w:r>
        <w:rPr>
          <w:color w:val="00B050"/>
          <w:lang w:val="en-US"/>
        </w:rPr>
        <w:t xml:space="preserve">. </w:t>
      </w:r>
      <w:r w:rsidRPr="000001C9">
        <w:rPr>
          <w:color w:val="000000" w:themeColor="text1"/>
          <w:lang w:val="en-US"/>
        </w:rPr>
        <w:t>The multi-seed analysis indicates that this disruption result is not an isolated training artifact, but part of a wider pattern of regime-dependent fragility.</w:t>
      </w:r>
    </w:p>
    <w:p w14:paraId="5FD775F1" w14:textId="77777777" w:rsidR="00EA0560" w:rsidRPr="000001C9" w:rsidRDefault="00EA0560" w:rsidP="00130595">
      <w:pPr>
        <w:pStyle w:val="text-base"/>
        <w:spacing w:before="0" w:after="0" w:afterAutospacing="0"/>
        <w:jc w:val="both"/>
        <w:rPr>
          <w:color w:val="000000" w:themeColor="text1"/>
          <w:lang w:val="en-US"/>
        </w:rPr>
      </w:pPr>
      <w:r w:rsidRPr="000001C9">
        <w:rPr>
          <w:color w:val="000000" w:themeColor="text1"/>
          <w:lang w:val="en-US"/>
        </w:rPr>
        <w:t xml:space="preserve">Four limitations are central to the interpretation of these findings. First, the paired grid has limited power to detect medium effects. Second, the main planning horizons truncate longer disruption dynamics that may become visible over extended runs. Third, supply-side inputs remain partly synthetic, which affects the interpretation of absolute cost levels and limits </w:t>
      </w:r>
      <w:r w:rsidRPr="000001C9">
        <w:rPr>
          <w:color w:val="000000" w:themeColor="text1"/>
          <w:lang w:val="en-US"/>
        </w:rPr>
        <w:lastRenderedPageBreak/>
        <w:t xml:space="preserve">transfer without local recalibration. Fourth, the current controller does not enforce service-floor constraints during either learning or evaluation, a feature that is directly relevant to the failure observed under disruption. </w:t>
      </w:r>
    </w:p>
    <w:p w14:paraId="0F04C2DF" w14:textId="66622FFA" w:rsidR="00EA0560" w:rsidRPr="000001C9" w:rsidRDefault="00EA0560" w:rsidP="00130595">
      <w:pPr>
        <w:pStyle w:val="text-base"/>
        <w:spacing w:before="0" w:after="0" w:afterAutospacing="0"/>
        <w:jc w:val="both"/>
        <w:rPr>
          <w:color w:val="000000" w:themeColor="text1"/>
          <w:highlight w:val="yellow"/>
          <w:lang w:val="en-US"/>
        </w:rPr>
      </w:pPr>
      <w:r w:rsidRPr="000001C9">
        <w:rPr>
          <w:color w:val="000000" w:themeColor="text1"/>
          <w:lang w:val="en-US"/>
        </w:rPr>
        <w:t>For this reason, the main implication is narrower than a claim of replacement: hybrid AI may be competitive under nominal operating conditions, but its deployment in healthcare systems should remain conditional on local calibration, explicit safety guardrails, and confirmatory evaluation under adverse conditions.</w:t>
      </w:r>
    </w:p>
    <w:p w14:paraId="59A55120" w14:textId="77777777" w:rsidR="009F3C08" w:rsidRPr="00A70916" w:rsidRDefault="009C5FF5" w:rsidP="00DD5FF3">
      <w:pPr>
        <w:pStyle w:val="Ttulo2"/>
      </w:pPr>
      <w:r>
        <w:t>6.2 Contributions and Implications</w:t>
      </w:r>
    </w:p>
    <w:p w14:paraId="77FA3B26" w14:textId="77777777" w:rsidR="00EA0560" w:rsidRPr="00EA0560" w:rsidRDefault="00EA0560" w:rsidP="00EA0560">
      <w:pPr>
        <w:pStyle w:val="text-base"/>
        <w:jc w:val="both"/>
        <w:rPr>
          <w:color w:val="00B050"/>
          <w:lang w:val="en-US"/>
        </w:rPr>
      </w:pPr>
      <w:r w:rsidRPr="006E4306">
        <w:rPr>
          <w:color w:val="000000" w:themeColor="text1"/>
          <w:lang w:val="en-US"/>
        </w:rPr>
        <w:t xml:space="preserve">We evaluate a hybrid ML–RL–GA controller against tuned classical baselines in a paired Monte Carlo design, with an audit layer and full-scenario reporting. Unlike much of the applied AI benchmarking literature, this design keeps disruption outcomes in view rather than filtering them out of the comparison. </w:t>
      </w:r>
      <w:r w:rsidRPr="00EA0560">
        <w:rPr>
          <w:color w:val="00B050"/>
          <w:lang w:val="en-US"/>
        </w:rPr>
        <w:t>Across scenarios, the controller shows a markedly uneven profile: it lowers cost under stable demand, remains statistically comparable to tuned baselines under High Volatility, underperforms during Seasonal Surge, and collapses under Supply Disruption. Read in operational terms, that pattern implies that deployment cannot be justified by mean-cost gains alone; service floors need to be treated as binding constraints, with conservative fallback rules and runtime monitoring tied to predefined escalation triggers.</w:t>
      </w:r>
    </w:p>
    <w:p w14:paraId="4AE67972" w14:textId="0B0E9DF8" w:rsidR="00EA0560" w:rsidRPr="00EA0560" w:rsidRDefault="00EA0560" w:rsidP="00EA0560">
      <w:pPr>
        <w:pStyle w:val="text-base"/>
        <w:spacing w:before="0" w:after="0"/>
        <w:jc w:val="both"/>
        <w:rPr>
          <w:color w:val="00B050"/>
          <w:lang w:val="en-US"/>
        </w:rPr>
      </w:pPr>
      <w:r w:rsidRPr="00EA0560">
        <w:rPr>
          <w:color w:val="00B050"/>
          <w:lang w:val="en-US"/>
        </w:rPr>
        <w:t xml:space="preserve">These findings describe the behavior of a hybrid RL policy across demand regimes in a SUS-like inventory setting, rather than the general merit of AI controllers as a class. Because the design is exploratory </w:t>
      </w:r>
      <w:r w:rsidR="00DE46E7" w:rsidRPr="00EA0560">
        <w:rPr>
          <w:color w:val="00B050"/>
          <w:lang w:val="en-US"/>
        </w:rPr>
        <w:t xml:space="preserve">(n = 100; ≈45% power for medium effects), </w:t>
      </w:r>
      <w:r w:rsidRPr="00EA0560">
        <w:rPr>
          <w:color w:val="00B050"/>
          <w:lang w:val="en-US"/>
        </w:rPr>
        <w:t>the evidence should be interpreted cautiously, especially when pairwise differences do not remain significant after Holm correction.</w:t>
      </w:r>
    </w:p>
    <w:p w14:paraId="74D5D816" w14:textId="77777777" w:rsidR="002437B6" w:rsidRPr="002437B6" w:rsidRDefault="002437B6" w:rsidP="00DD5FF3">
      <w:pPr>
        <w:pStyle w:val="Ttulo2"/>
      </w:pPr>
      <w:r w:rsidRPr="002437B6">
        <w:t>6.3 Methodological Recommendations for Future Studies</w:t>
      </w:r>
    </w:p>
    <w:p w14:paraId="4ACFAC84" w14:textId="77777777" w:rsidR="00486F25" w:rsidRPr="00486F25" w:rsidRDefault="00486F25" w:rsidP="00486F25">
      <w:pPr>
        <w:pStyle w:val="text-base"/>
        <w:spacing w:before="0" w:after="0"/>
        <w:jc w:val="both"/>
        <w:rPr>
          <w:color w:val="000000" w:themeColor="text1"/>
          <w:lang w:val="en-US"/>
        </w:rPr>
      </w:pPr>
      <w:r w:rsidRPr="00FD0529">
        <w:rPr>
          <w:lang w:val="en-US"/>
        </w:rPr>
        <w:t>Future studies should pre-register a paired simulation design that reuses identical demand and lead-time trajectories across policies, reports paired effect sizes with bootstrap confidence intervals, and controls family-wise error within each regime.</w:t>
      </w:r>
    </w:p>
    <w:p w14:paraId="1C1A2CC8" w14:textId="77777777" w:rsidR="002437B6" w:rsidRDefault="00655EA7" w:rsidP="00655EA7">
      <w:pPr>
        <w:pStyle w:val="text-base"/>
        <w:spacing w:before="0" w:after="0"/>
        <w:jc w:val="both"/>
        <w:rPr>
          <w:color w:val="000000" w:themeColor="text1"/>
          <w:lang w:val="en-US"/>
        </w:rPr>
      </w:pPr>
      <w:r w:rsidRPr="00FD0529">
        <w:rPr>
          <w:lang w:val="en-US"/>
        </w:rPr>
        <w:t xml:space="preserve">Researchers should generate exogenous trajectories centrally, pass them to all policies, and </w:t>
      </w:r>
      <w:r w:rsidR="00136957">
        <w:rPr>
          <w:lang w:val="en-US"/>
        </w:rPr>
        <w:t>turn off</w:t>
      </w:r>
      <w:r w:rsidRPr="00FD0529">
        <w:rPr>
          <w:lang w:val="en-US"/>
        </w:rPr>
        <w:t xml:space="preserve"> within-policy random sampling. Multi-seed replication and longer horizons can quantify </w:t>
      </w:r>
      <w:r w:rsidR="00136957">
        <w:rPr>
          <w:lang w:val="en-US"/>
        </w:rPr>
        <w:t xml:space="preserve">the </w:t>
      </w:r>
      <w:r w:rsidRPr="00FD0529">
        <w:rPr>
          <w:lang w:val="en-US"/>
        </w:rPr>
        <w:t>sensitivity of learned policies to training randomness and disruption timing.</w:t>
      </w:r>
    </w:p>
    <w:p w14:paraId="3334AC8E" w14:textId="77777777" w:rsidR="00EC3723" w:rsidRPr="0038108D" w:rsidRDefault="00EC3723" w:rsidP="0038108D">
      <w:pPr>
        <w:pStyle w:val="Ttulo1"/>
        <w:spacing w:after="0"/>
        <w:rPr>
          <w:rFonts w:ascii="Times New Roman" w:eastAsia="Times New Roman" w:hAnsi="Times New Roman"/>
          <w:b/>
          <w:bCs/>
          <w:sz w:val="24"/>
          <w:szCs w:val="24"/>
        </w:rPr>
      </w:pPr>
      <w:r w:rsidRPr="0038108D">
        <w:rPr>
          <w:rFonts w:ascii="Times New Roman" w:eastAsia="Times New Roman" w:hAnsi="Times New Roman"/>
          <w:b/>
          <w:bCs/>
          <w:sz w:val="24"/>
          <w:szCs w:val="24"/>
        </w:rPr>
        <w:t>Acknowledgments</w:t>
      </w:r>
    </w:p>
    <w:p w14:paraId="06CC8A66" w14:textId="77777777" w:rsidR="00EC3723" w:rsidRPr="00A70916" w:rsidRDefault="00EC3723" w:rsidP="00EC3723">
      <w:pPr>
        <w:pStyle w:val="text-base"/>
        <w:spacing w:before="0" w:after="0"/>
        <w:jc w:val="both"/>
        <w:rPr>
          <w:color w:val="000000" w:themeColor="text1"/>
          <w:lang w:val="en-US"/>
        </w:rPr>
      </w:pPr>
      <w:r w:rsidRPr="00A70916">
        <w:rPr>
          <w:color w:val="000000" w:themeColor="text1"/>
          <w:lang w:val="en-US"/>
        </w:rPr>
        <w:t xml:space="preserve">The authors thank the Bahia State Health Department and </w:t>
      </w:r>
      <w:r w:rsidR="00CB3415" w:rsidRPr="00A70916">
        <w:rPr>
          <w:color w:val="000000" w:themeColor="text1"/>
          <w:lang w:val="en-US"/>
        </w:rPr>
        <w:t xml:space="preserve">the </w:t>
      </w:r>
      <w:r w:rsidR="006104F6">
        <w:rPr>
          <w:color w:val="000000" w:themeColor="text1"/>
          <w:lang w:val="en-US"/>
        </w:rPr>
        <w:t xml:space="preserve">Federal </w:t>
      </w:r>
      <w:r w:rsidRPr="00A70916">
        <w:rPr>
          <w:color w:val="000000" w:themeColor="text1"/>
          <w:lang w:val="en-US"/>
        </w:rPr>
        <w:t xml:space="preserve">University </w:t>
      </w:r>
      <w:r w:rsidR="006104F6">
        <w:rPr>
          <w:color w:val="000000" w:themeColor="text1"/>
          <w:lang w:val="en-US"/>
        </w:rPr>
        <w:t xml:space="preserve">of Bahia </w:t>
      </w:r>
      <w:r w:rsidRPr="00A70916">
        <w:rPr>
          <w:color w:val="000000" w:themeColor="text1"/>
          <w:lang w:val="en-US"/>
        </w:rPr>
        <w:t xml:space="preserve">Hospital for providing the databases that </w:t>
      </w:r>
      <w:r w:rsidR="00136957">
        <w:rPr>
          <w:color w:val="000000" w:themeColor="text1"/>
          <w:lang w:val="en-US"/>
        </w:rPr>
        <w:t>enabled this study</w:t>
      </w:r>
      <w:r w:rsidRPr="00A70916">
        <w:rPr>
          <w:color w:val="000000" w:themeColor="text1"/>
          <w:lang w:val="en-US"/>
        </w:rPr>
        <w:t>.</w:t>
      </w:r>
    </w:p>
    <w:p w14:paraId="6FE6111E" w14:textId="77777777" w:rsidR="00EC3723" w:rsidRPr="0038108D" w:rsidRDefault="00EC3723" w:rsidP="0038108D">
      <w:pPr>
        <w:pStyle w:val="Ttulo1"/>
        <w:spacing w:after="0"/>
        <w:rPr>
          <w:rFonts w:ascii="Times New Roman" w:eastAsia="Times New Roman" w:hAnsi="Times New Roman"/>
          <w:b/>
          <w:bCs/>
          <w:sz w:val="24"/>
          <w:szCs w:val="24"/>
        </w:rPr>
      </w:pPr>
      <w:r w:rsidRPr="0038108D">
        <w:rPr>
          <w:rFonts w:ascii="Times New Roman" w:eastAsia="Times New Roman" w:hAnsi="Times New Roman"/>
          <w:b/>
          <w:bCs/>
          <w:sz w:val="24"/>
          <w:szCs w:val="24"/>
        </w:rPr>
        <w:t>Data Availability Statement</w:t>
      </w:r>
    </w:p>
    <w:p w14:paraId="682B903A" w14:textId="77777777" w:rsidR="0047501B" w:rsidRPr="007144EB" w:rsidRDefault="00000000" w:rsidP="007144EB">
      <w:pPr>
        <w:pStyle w:val="text-base"/>
        <w:spacing w:before="0" w:after="0"/>
        <w:jc w:val="both"/>
        <w:rPr>
          <w:color w:val="000000" w:themeColor="text1"/>
          <w:lang w:val="en-US"/>
        </w:rPr>
      </w:pPr>
      <w:r w:rsidRPr="007144EB">
        <w:rPr>
          <w:color w:val="000000" w:themeColor="text1"/>
          <w:lang w:val="en-US"/>
        </w:rPr>
        <w:t>The study uses operational demand records from SUS institutions (SESAB and HUPES, 2022–2023), subject to data-sharing constraints under institutional data-use agreements.</w:t>
      </w:r>
    </w:p>
    <w:p w14:paraId="6A48E34D" w14:textId="77777777" w:rsidR="0047501B" w:rsidRPr="007144EB" w:rsidRDefault="00000000" w:rsidP="007144EB">
      <w:pPr>
        <w:pStyle w:val="text-base"/>
        <w:spacing w:before="0" w:after="0"/>
        <w:jc w:val="both"/>
        <w:rPr>
          <w:color w:val="000000" w:themeColor="text1"/>
          <w:lang w:val="en-US"/>
        </w:rPr>
      </w:pPr>
      <w:r w:rsidRPr="007144EB">
        <w:rPr>
          <w:color w:val="000000" w:themeColor="text1"/>
          <w:lang w:val="en-US"/>
        </w:rPr>
        <w:t>The authors provide the following materials:</w:t>
      </w:r>
    </w:p>
    <w:p w14:paraId="0944DFD6" w14:textId="77777777" w:rsidR="0047501B" w:rsidRPr="007144EB" w:rsidRDefault="00000000" w:rsidP="007144EB">
      <w:pPr>
        <w:pStyle w:val="text-base"/>
        <w:numPr>
          <w:ilvl w:val="0"/>
          <w:numId w:val="37"/>
        </w:numPr>
        <w:spacing w:before="0" w:after="0"/>
        <w:jc w:val="both"/>
        <w:rPr>
          <w:color w:val="000000" w:themeColor="text1"/>
          <w:lang w:val="en-US"/>
        </w:rPr>
      </w:pPr>
      <w:r w:rsidRPr="007144EB">
        <w:rPr>
          <w:color w:val="000000" w:themeColor="text1"/>
          <w:lang w:val="en-US"/>
        </w:rPr>
        <w:t xml:space="preserve">Simulation code: Full simulation code for </w:t>
      </w:r>
      <w:r w:rsidRPr="006104F6">
        <w:rPr>
          <w:i/>
          <w:iCs/>
          <w:color w:val="000000" w:themeColor="text1"/>
          <w:lang w:val="en-US"/>
        </w:rPr>
        <w:t>Simulation A</w:t>
      </w:r>
      <w:r w:rsidRPr="007144EB">
        <w:rPr>
          <w:color w:val="000000" w:themeColor="text1"/>
          <w:lang w:val="en-US"/>
        </w:rPr>
        <w:t xml:space="preserve"> (SUS-calibrated discrete-event model), Code/TEST (reproducible validation protocol), and associated environment specifications. The archived, runnable artifact is available as a public repository snapshot (GitHub: </w:t>
      </w:r>
      <w:r w:rsidRPr="002B5D44">
        <w:rPr>
          <w:i/>
          <w:iCs/>
          <w:color w:val="000000" w:themeColor="text1"/>
          <w:lang w:val="en-US"/>
        </w:rPr>
        <w:t xml:space="preserve">KM20197/SUS_SCM; </w:t>
      </w:r>
      <w:proofErr w:type="spellStart"/>
      <w:r w:rsidRPr="002B5D44">
        <w:rPr>
          <w:i/>
          <w:iCs/>
          <w:color w:val="000000" w:themeColor="text1"/>
          <w:lang w:val="en-US"/>
        </w:rPr>
        <w:t>Zenodo</w:t>
      </w:r>
      <w:proofErr w:type="spellEnd"/>
      <w:r w:rsidRPr="002B5D44">
        <w:rPr>
          <w:i/>
          <w:iCs/>
          <w:color w:val="000000" w:themeColor="text1"/>
          <w:lang w:val="en-US"/>
        </w:rPr>
        <w:t xml:space="preserve"> DOI: 10.5281/</w:t>
      </w:r>
      <w:proofErr w:type="spellStart"/>
      <w:r w:rsidRPr="002B5D44">
        <w:rPr>
          <w:i/>
          <w:iCs/>
          <w:color w:val="000000" w:themeColor="text1"/>
          <w:lang w:val="en-US"/>
        </w:rPr>
        <w:t>zenodo</w:t>
      </w:r>
      <w:proofErr w:type="spellEnd"/>
      <w:r w:rsidR="008E66BF" w:rsidRPr="002B5D44">
        <w:rPr>
          <w:i/>
          <w:iCs/>
          <w:color w:val="000000" w:themeColor="text1"/>
          <w:lang w:val="en-US"/>
        </w:rPr>
        <w:t>.</w:t>
      </w:r>
      <w:r w:rsidR="00DC3F28">
        <w:rPr>
          <w:i/>
          <w:iCs/>
          <w:color w:val="000000" w:themeColor="text1"/>
          <w:lang w:val="en-US"/>
        </w:rPr>
        <w:t xml:space="preserve"> </w:t>
      </w:r>
      <w:r w:rsidRPr="002B5D44">
        <w:rPr>
          <w:i/>
          <w:iCs/>
          <w:color w:val="000000" w:themeColor="text1"/>
          <w:lang w:val="en-US"/>
        </w:rPr>
        <w:t>17420367</w:t>
      </w:r>
      <w:r w:rsidRPr="007144EB">
        <w:rPr>
          <w:color w:val="000000" w:themeColor="text1"/>
          <w:lang w:val="en-US"/>
        </w:rPr>
        <w:t xml:space="preserve">), including </w:t>
      </w:r>
      <w:proofErr w:type="gramStart"/>
      <w:r w:rsidRPr="007144EB">
        <w:rPr>
          <w:color w:val="000000" w:themeColor="text1"/>
          <w:lang w:val="en-US"/>
        </w:rPr>
        <w:t>environment</w:t>
      </w:r>
      <w:proofErr w:type="gramEnd"/>
      <w:r w:rsidRPr="007144EB">
        <w:rPr>
          <w:color w:val="000000" w:themeColor="text1"/>
          <w:lang w:val="en-US"/>
        </w:rPr>
        <w:t xml:space="preserve"> specifications and table-generation scripts.</w:t>
      </w:r>
    </w:p>
    <w:p w14:paraId="324BC692" w14:textId="77777777" w:rsidR="0047501B" w:rsidRPr="007144EB" w:rsidRDefault="00000000" w:rsidP="007144EB">
      <w:pPr>
        <w:pStyle w:val="text-base"/>
        <w:numPr>
          <w:ilvl w:val="0"/>
          <w:numId w:val="37"/>
        </w:numPr>
        <w:spacing w:before="0" w:after="0"/>
        <w:jc w:val="both"/>
        <w:rPr>
          <w:color w:val="000000" w:themeColor="text1"/>
          <w:lang w:val="en-US"/>
        </w:rPr>
      </w:pPr>
      <w:r w:rsidRPr="007144EB">
        <w:rPr>
          <w:color w:val="000000" w:themeColor="text1"/>
          <w:lang w:val="en-US"/>
        </w:rPr>
        <w:t>Synthetic parameters: Parameter files, expert-elicited supply distribution specifications, and routing coordinate instances for replication of the experimental design.</w:t>
      </w:r>
    </w:p>
    <w:p w14:paraId="200DA0DD" w14:textId="77777777" w:rsidR="0047501B" w:rsidRPr="007144EB" w:rsidRDefault="00000000" w:rsidP="007144EB">
      <w:pPr>
        <w:pStyle w:val="text-base"/>
        <w:numPr>
          <w:ilvl w:val="0"/>
          <w:numId w:val="37"/>
        </w:numPr>
        <w:spacing w:before="0" w:after="0"/>
        <w:jc w:val="both"/>
        <w:rPr>
          <w:color w:val="000000" w:themeColor="text1"/>
          <w:lang w:val="en-US"/>
        </w:rPr>
      </w:pPr>
      <w:r w:rsidRPr="007144EB">
        <w:rPr>
          <w:color w:val="000000" w:themeColor="text1"/>
          <w:lang w:val="en-US"/>
        </w:rPr>
        <w:t>Validation data: TEST cost arrays (CSV files) for all four scenarios (Stable, High Volatility, Supply Disruption, Seasonal Surge) and all policy comparisons, supporting replication of the signed-rank testing, Holm sequential correction, and bootstrap confidence interval calculations reported in Tables 3–6.</w:t>
      </w:r>
    </w:p>
    <w:p w14:paraId="45E0FF3F" w14:textId="77777777" w:rsidR="0047501B" w:rsidRPr="007144EB" w:rsidRDefault="00000000" w:rsidP="007144EB">
      <w:pPr>
        <w:pStyle w:val="text-base"/>
        <w:numPr>
          <w:ilvl w:val="0"/>
          <w:numId w:val="37"/>
        </w:numPr>
        <w:spacing w:before="0" w:after="0"/>
        <w:jc w:val="both"/>
        <w:rPr>
          <w:color w:val="000000" w:themeColor="text1"/>
          <w:lang w:val="en-US"/>
        </w:rPr>
      </w:pPr>
      <w:r w:rsidRPr="007144EB">
        <w:rPr>
          <w:color w:val="000000" w:themeColor="text1"/>
          <w:lang w:val="en-US"/>
        </w:rPr>
        <w:t>Supplementary files: Appendices containing sensitivity analyses (Appendix C), parameter specifications (Appendix D), and validation procedures (Appendix E).</w:t>
      </w:r>
    </w:p>
    <w:p w14:paraId="56F7387B" w14:textId="30EBC1C5" w:rsidR="00AE278E" w:rsidRPr="00F40139" w:rsidRDefault="00462959" w:rsidP="007144EB">
      <w:pPr>
        <w:pStyle w:val="text-base"/>
        <w:spacing w:before="0" w:after="0"/>
        <w:jc w:val="both"/>
        <w:rPr>
          <w:color w:val="000000" w:themeColor="text1"/>
          <w:lang w:val="en-US"/>
        </w:rPr>
      </w:pPr>
      <w:r w:rsidRPr="00462959">
        <w:rPr>
          <w:color w:val="FFC000"/>
          <w:lang w:val="en-US"/>
        </w:rPr>
        <w:t>Institution-level raw transaction logs from SUS facilities are subject to data-use agreements and are therefore not publicly available.</w:t>
      </w:r>
      <w:r w:rsidR="00AE278E" w:rsidRPr="00462959">
        <w:rPr>
          <w:color w:val="FFC000"/>
          <w:lang w:val="en-US"/>
        </w:rPr>
        <w:t xml:space="preserve"> </w:t>
      </w:r>
      <w:r w:rsidR="00AE278E" w:rsidRPr="00F40139">
        <w:rPr>
          <w:color w:val="000000" w:themeColor="text1"/>
          <w:lang w:val="en-US"/>
        </w:rPr>
        <w:t xml:space="preserve">The </w:t>
      </w:r>
      <w:r w:rsidR="00A8310E" w:rsidRPr="00F40139">
        <w:rPr>
          <w:color w:val="000000" w:themeColor="text1"/>
          <w:lang w:val="en-US"/>
        </w:rPr>
        <w:t xml:space="preserve">authors state that </w:t>
      </w:r>
      <w:r w:rsidR="00AE278E" w:rsidRPr="00F40139">
        <w:rPr>
          <w:color w:val="000000" w:themeColor="text1"/>
          <w:lang w:val="en-US"/>
        </w:rPr>
        <w:t>shared research artifacts are sufficient to reproduce the statistical validation pipeline and to verify all numerical results reported in the manuscript.</w:t>
      </w:r>
    </w:p>
    <w:p w14:paraId="7EEECA4C" w14:textId="77777777" w:rsidR="00747409" w:rsidRDefault="00747409" w:rsidP="0038108D">
      <w:pPr>
        <w:pStyle w:val="Ttulo1"/>
        <w:spacing w:after="0"/>
        <w:rPr>
          <w:rFonts w:ascii="Times New Roman" w:eastAsia="Times New Roman" w:hAnsi="Times New Roman"/>
          <w:b/>
          <w:bCs/>
          <w:sz w:val="24"/>
          <w:szCs w:val="24"/>
        </w:rPr>
      </w:pPr>
      <w:r w:rsidRPr="0038108D">
        <w:rPr>
          <w:rFonts w:ascii="Times New Roman" w:eastAsia="Times New Roman" w:hAnsi="Times New Roman"/>
          <w:b/>
          <w:bCs/>
          <w:sz w:val="24"/>
          <w:szCs w:val="24"/>
        </w:rPr>
        <w:lastRenderedPageBreak/>
        <w:t>References</w:t>
      </w:r>
    </w:p>
    <w:p w14:paraId="0BA55842" w14:textId="77777777" w:rsidR="000D39D7" w:rsidRPr="000D39D7" w:rsidRDefault="000F1D1A" w:rsidP="000D39D7">
      <w:pPr>
        <w:pStyle w:val="Bibliografia"/>
        <w:rPr>
          <w:rFonts w:cs="Times New Roman"/>
        </w:rPr>
      </w:pPr>
      <w:r>
        <w:rPr>
          <w:color w:val="000000" w:themeColor="text1"/>
        </w:rPr>
        <w:fldChar w:fldCharType="begin"/>
      </w:r>
      <w:r>
        <w:rPr>
          <w:color w:val="000000" w:themeColor="text1"/>
        </w:rPr>
        <w:instrText xml:space="preserve"> ADDIN ZOTERO_BIBL {"uncited":[],"omitted":[],"custom":[]} CSL_BIBLIOGRAPHY </w:instrText>
      </w:r>
      <w:r>
        <w:rPr>
          <w:color w:val="000000" w:themeColor="text1"/>
        </w:rPr>
        <w:fldChar w:fldCharType="separate"/>
      </w:r>
      <w:r w:rsidR="000D39D7" w:rsidRPr="000D39D7">
        <w:rPr>
          <w:rFonts w:cs="Times New Roman"/>
        </w:rPr>
        <w:t>Aldrighetti, R., Battini, D., Ivanov, D., 2023. Efficient resilience portfolio design in the supply chain with consideration of preparedness and recovery investments. Omega 117, 102841. https://doi.org/10.1016/j.omega.2023.102841</w:t>
      </w:r>
    </w:p>
    <w:p w14:paraId="61379CB7" w14:textId="77777777" w:rsidR="000D39D7" w:rsidRPr="000D39D7" w:rsidRDefault="000D39D7" w:rsidP="000D39D7">
      <w:pPr>
        <w:pStyle w:val="Bibliografia"/>
        <w:rPr>
          <w:rFonts w:cs="Times New Roman"/>
        </w:rPr>
      </w:pPr>
      <w:r w:rsidRPr="000D39D7">
        <w:rPr>
          <w:rFonts w:cs="Times New Roman"/>
        </w:rPr>
        <w:t>Arnold, S., Walz, E.-M., Ziegel, J., Gneiting, T., 2024. Decompositions of the mean continuous ranked probability score. Electron. J. Stat. 18. https://doi.org/10.1214/24-EJS2316</w:t>
      </w:r>
    </w:p>
    <w:p w14:paraId="2D83EFEC" w14:textId="77777777" w:rsidR="000D39D7" w:rsidRPr="000D39D7" w:rsidRDefault="000D39D7" w:rsidP="000D39D7">
      <w:pPr>
        <w:pStyle w:val="Bibliografia"/>
        <w:rPr>
          <w:rFonts w:cs="Times New Roman"/>
        </w:rPr>
      </w:pPr>
      <w:r w:rsidRPr="000D39D7">
        <w:rPr>
          <w:rFonts w:cs="Times New Roman"/>
        </w:rPr>
        <w:t>Batsis, A., Samothrakis, S., 2024. Contextual reinforcement learning for supply chain management. Expert Syst. Appl. 249, 123541. https://doi.org/10.1016/j.eswa.2024.123541</w:t>
      </w:r>
    </w:p>
    <w:p w14:paraId="3998099A" w14:textId="77777777" w:rsidR="000D39D7" w:rsidRPr="000D39D7" w:rsidRDefault="000D39D7" w:rsidP="000D39D7">
      <w:pPr>
        <w:pStyle w:val="Bibliografia"/>
        <w:rPr>
          <w:rFonts w:cs="Times New Roman"/>
        </w:rPr>
      </w:pPr>
      <w:r w:rsidRPr="000D39D7">
        <w:rPr>
          <w:rFonts w:cs="Times New Roman"/>
        </w:rPr>
        <w:t>Bermúdez, J.S., Chanona, A. del R., Tsay, C., 2023. Distributional constrained reinforcement learning for supply chain optimization. https://doi.org/10.48550/ARXIV.2302.01727</w:t>
      </w:r>
    </w:p>
    <w:p w14:paraId="18B51CC2" w14:textId="77777777" w:rsidR="000D39D7" w:rsidRPr="000D39D7" w:rsidRDefault="000D39D7" w:rsidP="000D39D7">
      <w:pPr>
        <w:pStyle w:val="Bibliografia"/>
        <w:rPr>
          <w:rFonts w:cs="Times New Roman"/>
        </w:rPr>
      </w:pPr>
      <w:r w:rsidRPr="000D39D7">
        <w:rPr>
          <w:rFonts w:cs="Times New Roman"/>
        </w:rPr>
        <w:t>Bogyrbayeva, A., Meraliyev, M., Mustakhov, T., Dauletbayev, B., 2024. Machine Learning to Solve Vehicle Routing Problems: A Survey. IEEE Trans. Intell. Transp. Syst. 25, 4754–4772. https://doi.org/10.1109/TITS.2023.3334976</w:t>
      </w:r>
    </w:p>
    <w:p w14:paraId="771D00B6" w14:textId="77777777" w:rsidR="000D39D7" w:rsidRPr="000D39D7" w:rsidRDefault="000D39D7" w:rsidP="000D39D7">
      <w:pPr>
        <w:pStyle w:val="Bibliografia"/>
        <w:rPr>
          <w:rFonts w:cs="Times New Roman"/>
        </w:rPr>
      </w:pPr>
      <w:r w:rsidRPr="000D39D7">
        <w:rPr>
          <w:rFonts w:cs="Times New Roman"/>
        </w:rPr>
        <w:t>Cannas, V.G., Ciano, M.P., Saltalamacchia, M., Secchi, R., 2024. Artificial intelligence in supply chain and operations management: a multiple case study research. Int. J. Prod. Res. 62, 3333–3360. https://doi.org/10.1080/00207543.2023.2232050</w:t>
      </w:r>
    </w:p>
    <w:p w14:paraId="2EB135D6" w14:textId="77777777" w:rsidR="000D39D7" w:rsidRPr="000D39D7" w:rsidRDefault="000D39D7" w:rsidP="000D39D7">
      <w:pPr>
        <w:pStyle w:val="Bibliografia"/>
        <w:rPr>
          <w:rFonts w:cs="Times New Roman"/>
        </w:rPr>
      </w:pPr>
      <w:r w:rsidRPr="000D39D7">
        <w:rPr>
          <w:rFonts w:cs="Times New Roman"/>
        </w:rPr>
        <w:t>Chen, Y., Xu, X., Zhang, J.H., 2025. Improving Inventory Management Quality with Reinforcement Learning: AI versus Human Decision-Making. Account. Horiz. 1–18. https://doi.org/10.2308/HORIZONS-2024-121</w:t>
      </w:r>
    </w:p>
    <w:p w14:paraId="5F6B25FC" w14:textId="77777777" w:rsidR="000D39D7" w:rsidRPr="000D39D7" w:rsidRDefault="000D39D7" w:rsidP="000D39D7">
      <w:pPr>
        <w:pStyle w:val="Bibliografia"/>
        <w:rPr>
          <w:rFonts w:cs="Times New Roman"/>
        </w:rPr>
      </w:pPr>
      <w:r w:rsidRPr="000D39D7">
        <w:rPr>
          <w:rFonts w:cs="Times New Roman"/>
        </w:rPr>
        <w:t>Correll, R., Weinberg, S.J., Sanches, F., Ide, T., Suzuki, T., 2023. Quantum Neural Networks for a Supply Chain Logistics Application. Adv. Quantum Technol. 6, 2200183. https://doi.org/10.1002/qute.202200183</w:t>
      </w:r>
    </w:p>
    <w:p w14:paraId="2C9D2D2F" w14:textId="77777777" w:rsidR="000D39D7" w:rsidRPr="000D39D7" w:rsidRDefault="000D39D7" w:rsidP="000D39D7">
      <w:pPr>
        <w:pStyle w:val="Bibliografia"/>
        <w:rPr>
          <w:rFonts w:cs="Times New Roman"/>
        </w:rPr>
      </w:pPr>
      <w:r w:rsidRPr="000D39D7">
        <w:rPr>
          <w:rFonts w:cs="Times New Roman"/>
        </w:rPr>
        <w:t>Cresswell, K., Rigby, M., Magrabi, F., Scott, P., Brender, J., Craven, C.K., Wong, Z.S.-Y., Kukhareva, P., Ammenwerth, E., Georgiou, A., Medlock, S., De Keizer, N.F., Nykänen, P., Prgomet, M., Williams, R., 2023. The need to strengthen the evaluation of the impact of Artificial Intelligence-based decision support systems on healthcare provision. Health Policy 136, 104889. https://doi.org/10.1016/j.healthpol.2023.104889</w:t>
      </w:r>
    </w:p>
    <w:p w14:paraId="24DB287C" w14:textId="77777777" w:rsidR="000D39D7" w:rsidRPr="000D39D7" w:rsidRDefault="000D39D7" w:rsidP="000D39D7">
      <w:pPr>
        <w:pStyle w:val="Bibliografia"/>
        <w:rPr>
          <w:rFonts w:cs="Times New Roman"/>
        </w:rPr>
      </w:pPr>
      <w:r w:rsidRPr="000D39D7">
        <w:rPr>
          <w:rFonts w:cs="Times New Roman"/>
        </w:rPr>
        <w:t>Dehkhoda, K., Bélanger, V., Cousineau, M., 2025. The effect of visibility on forecast and inventory management performance during the COVID-19 pandemic. Int. J. Prod. Res. 63, 2970–2992. https://doi.org/10.1080/00207543.2024.2414380</w:t>
      </w:r>
    </w:p>
    <w:p w14:paraId="06ACF0AC" w14:textId="77777777" w:rsidR="000D39D7" w:rsidRPr="000D39D7" w:rsidRDefault="000D39D7" w:rsidP="000D39D7">
      <w:pPr>
        <w:pStyle w:val="Bibliografia"/>
        <w:rPr>
          <w:rFonts w:cs="Times New Roman"/>
        </w:rPr>
      </w:pPr>
      <w:r w:rsidRPr="000D39D7">
        <w:rPr>
          <w:rFonts w:cs="Times New Roman"/>
        </w:rPr>
        <w:t>Esmaeilzadeh, P., 2024. Challenges and strategies for wide-scale artificial intelligence (AI) deployment in healthcare practices: A perspective for healthcare organizations. Artif. Intell. Med. 151, 102861. https://doi.org/10.1016/j.artmed.2024.102861</w:t>
      </w:r>
    </w:p>
    <w:p w14:paraId="33999EDF" w14:textId="77777777" w:rsidR="000D39D7" w:rsidRPr="000D39D7" w:rsidRDefault="000D39D7" w:rsidP="000D39D7">
      <w:pPr>
        <w:pStyle w:val="Bibliografia"/>
        <w:rPr>
          <w:rFonts w:cs="Times New Roman"/>
        </w:rPr>
      </w:pPr>
      <w:r w:rsidRPr="000D39D7">
        <w:rPr>
          <w:rFonts w:cs="Times New Roman"/>
        </w:rPr>
        <w:t>Fan, Z., Ghaddar, B., Wang, X., Xing, L., Zhang, Y., Zhou, Z., 2024. Artificial Intelligence for Operations Research: Revolutionizing the Operations Research Process. https://doi.org/10.48550/ARXIV.2401.03244</w:t>
      </w:r>
    </w:p>
    <w:p w14:paraId="2770A72E" w14:textId="77777777" w:rsidR="000D39D7" w:rsidRPr="000D39D7" w:rsidRDefault="000D39D7" w:rsidP="000D39D7">
      <w:pPr>
        <w:pStyle w:val="Bibliografia"/>
        <w:rPr>
          <w:rFonts w:cs="Times New Roman"/>
        </w:rPr>
      </w:pPr>
      <w:r w:rsidRPr="000D39D7">
        <w:rPr>
          <w:rFonts w:cs="Times New Roman"/>
        </w:rPr>
        <w:t>Harsha, P., Jagmohan, A., Kalagnanam, J., Quanz, B., Singhvi, D., 2025. Deep Policy Iteration with Integer Programming for Inventory Management. Manuf. Serv. Oper. Manag. 27, 369–388. https://doi.org/10.1287/msom.2022.0617</w:t>
      </w:r>
    </w:p>
    <w:p w14:paraId="27CA6535" w14:textId="77777777" w:rsidR="000D39D7" w:rsidRPr="000D39D7" w:rsidRDefault="000D39D7" w:rsidP="000D39D7">
      <w:pPr>
        <w:pStyle w:val="Bibliografia"/>
        <w:rPr>
          <w:rFonts w:cs="Times New Roman"/>
        </w:rPr>
      </w:pPr>
      <w:r w:rsidRPr="000D39D7">
        <w:rPr>
          <w:rFonts w:cs="Times New Roman"/>
        </w:rPr>
        <w:t>Hasni, M., Babai, M.Z., Rostami-Tabar, B., 2024. A hybrid LSTM method for forecasting demands of medical items in humanitarian operations. Int. J. Prod. Res. 62, 6046–6063. https://doi.org/10.1080/00207543.2024.2306904</w:t>
      </w:r>
    </w:p>
    <w:p w14:paraId="1A995F66" w14:textId="77777777" w:rsidR="000D39D7" w:rsidRPr="000D39D7" w:rsidRDefault="000D39D7" w:rsidP="000D39D7">
      <w:pPr>
        <w:pStyle w:val="Bibliografia"/>
        <w:rPr>
          <w:rFonts w:cs="Times New Roman"/>
        </w:rPr>
      </w:pPr>
      <w:r w:rsidRPr="000D39D7">
        <w:rPr>
          <w:rFonts w:cs="Times New Roman"/>
        </w:rPr>
        <w:t>Helo, P., Hao, Y., 2022. Artificial intelligence in operations management and supply chain management: an exploratory case study. Prod. Plan. Control 33, 1573–1590. https://doi.org/10.1080/09537287.2021.1882690</w:t>
      </w:r>
    </w:p>
    <w:p w14:paraId="08ED87ED" w14:textId="77777777" w:rsidR="000D39D7" w:rsidRPr="000D39D7" w:rsidRDefault="000D39D7" w:rsidP="000D39D7">
      <w:pPr>
        <w:pStyle w:val="Bibliografia"/>
        <w:rPr>
          <w:rFonts w:cs="Times New Roman"/>
        </w:rPr>
      </w:pPr>
      <w:r w:rsidRPr="000D39D7">
        <w:rPr>
          <w:rFonts w:cs="Times New Roman"/>
        </w:rPr>
        <w:t>Iftikhar, A., Ali, I., Arslan, A., Tarba, S., 2024. Digital Innovation, Data Analytics, and Supply Chain Resiliency: A Bibliometric-based Systematic Literature Review. Ann. Oper. Res. 333, 825–848. https://doi.org/10.1007/s10479-022-04765-6</w:t>
      </w:r>
    </w:p>
    <w:p w14:paraId="1B844799" w14:textId="77777777" w:rsidR="000D39D7" w:rsidRPr="000D39D7" w:rsidRDefault="000D39D7" w:rsidP="000D39D7">
      <w:pPr>
        <w:pStyle w:val="Bibliografia"/>
        <w:rPr>
          <w:rFonts w:cs="Times New Roman"/>
        </w:rPr>
      </w:pPr>
      <w:r w:rsidRPr="000D39D7">
        <w:rPr>
          <w:rFonts w:cs="Times New Roman"/>
        </w:rPr>
        <w:t>Jayant, A.K., Bhatnagar, S., 2022. Model-based Safe Deep Reinforcement Learning via a Constrained Proximal Policy Optimization Algorithm. https://doi.org/10.48550/ARXIV.2210.07573</w:t>
      </w:r>
    </w:p>
    <w:p w14:paraId="3CBB6A69" w14:textId="77777777" w:rsidR="000D39D7" w:rsidRPr="000D39D7" w:rsidRDefault="000D39D7" w:rsidP="000D39D7">
      <w:pPr>
        <w:pStyle w:val="Bibliografia"/>
        <w:rPr>
          <w:rFonts w:cs="Times New Roman"/>
        </w:rPr>
      </w:pPr>
      <w:r w:rsidRPr="000D39D7">
        <w:rPr>
          <w:rFonts w:cs="Times New Roman"/>
        </w:rPr>
        <w:t>Jordon, J., Szpruch, L., Houssiau, F., Bottarelli, M., Cherubin, G., Maple, C., Cohen, S.N., Weller, A., 2022. Synthetic Data -- what, why and how? https://doi.org/10.48550/ARXIV.2205.03257</w:t>
      </w:r>
    </w:p>
    <w:p w14:paraId="7CEE0FF6" w14:textId="77777777" w:rsidR="000D39D7" w:rsidRPr="000D39D7" w:rsidRDefault="000D39D7" w:rsidP="000D39D7">
      <w:pPr>
        <w:pStyle w:val="Bibliografia"/>
        <w:rPr>
          <w:rFonts w:cs="Times New Roman"/>
        </w:rPr>
      </w:pPr>
      <w:r w:rsidRPr="000D39D7">
        <w:rPr>
          <w:rFonts w:cs="Times New Roman"/>
        </w:rPr>
        <w:t>Kegenbekov, Z., Jackson, I., 2021. Adaptive Supply Chain: Demand–Supply Synchronization Using Deep Reinforcement Learning. Algorithms 14, 240. https://doi.org/10.3390/a14080240</w:t>
      </w:r>
    </w:p>
    <w:p w14:paraId="53E75E0E" w14:textId="77777777" w:rsidR="000D39D7" w:rsidRPr="000D39D7" w:rsidRDefault="000D39D7" w:rsidP="000D39D7">
      <w:pPr>
        <w:pStyle w:val="Bibliografia"/>
        <w:rPr>
          <w:rFonts w:cs="Times New Roman"/>
        </w:rPr>
      </w:pPr>
      <w:r w:rsidRPr="000D39D7">
        <w:rPr>
          <w:rFonts w:cs="Times New Roman"/>
        </w:rPr>
        <w:t>Kotecha, N., Del Rio Chanona, A., 2025. Leveraging graph neural networks and multi-agent reinforcement learning for inventory control in supply chains. Comput. Chem. Eng. 199, 109111. https://doi.org/10.1016/j.compchemeng.2025.109111</w:t>
      </w:r>
    </w:p>
    <w:p w14:paraId="6E102B81" w14:textId="77777777" w:rsidR="000D39D7" w:rsidRPr="000D39D7" w:rsidRDefault="000D39D7" w:rsidP="000D39D7">
      <w:pPr>
        <w:pStyle w:val="Bibliografia"/>
        <w:rPr>
          <w:rFonts w:cs="Times New Roman"/>
        </w:rPr>
      </w:pPr>
      <w:r w:rsidRPr="000D39D7">
        <w:rPr>
          <w:rFonts w:cs="Times New Roman"/>
        </w:rPr>
        <w:t>Kumar, A., Mani, V., Jain, V., Gupta, H., Venkatesh, V.G., 2023. Managing healthcare supply chain through artificial intelligence (AI): A study of critical success factors. Comput. Ind. Eng. 175, 108815. https://doi.org/10.1016/j.cie.2022.108815</w:t>
      </w:r>
    </w:p>
    <w:p w14:paraId="7D61EDB1" w14:textId="77777777" w:rsidR="000D39D7" w:rsidRPr="000D39D7" w:rsidRDefault="000D39D7" w:rsidP="000D39D7">
      <w:pPr>
        <w:pStyle w:val="Bibliografia"/>
        <w:rPr>
          <w:rFonts w:cs="Times New Roman"/>
        </w:rPr>
      </w:pPr>
      <w:r w:rsidRPr="000D39D7">
        <w:rPr>
          <w:rFonts w:cs="Times New Roman"/>
        </w:rPr>
        <w:t>Lam, W.H., Lam, W.S., Lee, P.F., 2024. A Bibliometric Analysis of a Genetic Algorithm for Supply Chain Agility. Mathematics 12, 1199. https://doi.org/10.3390/math12081199</w:t>
      </w:r>
    </w:p>
    <w:p w14:paraId="30E8ACFE" w14:textId="77777777" w:rsidR="000D39D7" w:rsidRPr="000D39D7" w:rsidRDefault="000D39D7" w:rsidP="000D39D7">
      <w:pPr>
        <w:pStyle w:val="Bibliografia"/>
        <w:rPr>
          <w:rFonts w:cs="Times New Roman"/>
        </w:rPr>
      </w:pPr>
      <w:r w:rsidRPr="000D39D7">
        <w:rPr>
          <w:rFonts w:cs="Times New Roman"/>
        </w:rPr>
        <w:t>Liu, Z., Nishi, T., 2024. Surrogate-assisted evolutionary optimization for perishable inventory management in multi-echelon distribution systems. Expert Syst. Appl. 238, 122179. https://doi.org/10.1016/j.eswa.2023.122179</w:t>
      </w:r>
    </w:p>
    <w:p w14:paraId="69415254" w14:textId="77777777" w:rsidR="000D39D7" w:rsidRPr="000D39D7" w:rsidRDefault="000D39D7" w:rsidP="000D39D7">
      <w:pPr>
        <w:pStyle w:val="Bibliografia"/>
        <w:rPr>
          <w:rFonts w:cs="Times New Roman"/>
        </w:rPr>
      </w:pPr>
      <w:r w:rsidRPr="000D39D7">
        <w:rPr>
          <w:rFonts w:cs="Times New Roman"/>
        </w:rPr>
        <w:t>Long, P., Lu, L., Chen, Q., Chen, Y., Li, C., Luo, X., 2023. Intelligent selection of healthcare supply chain mode – an applied research based on artificial intelligence. Front. Public Health 11, 1310016. https://doi.org/10.3389/fpubh.2023.1310016</w:t>
      </w:r>
    </w:p>
    <w:p w14:paraId="0A005A5A" w14:textId="77777777" w:rsidR="000D39D7" w:rsidRPr="000D39D7" w:rsidRDefault="000D39D7" w:rsidP="000D39D7">
      <w:pPr>
        <w:pStyle w:val="Bibliografia"/>
        <w:rPr>
          <w:rFonts w:cs="Times New Roman"/>
        </w:rPr>
      </w:pPr>
      <w:r w:rsidRPr="000D39D7">
        <w:rPr>
          <w:rFonts w:cs="Times New Roman"/>
        </w:rPr>
        <w:t>Maharjan, R., Kato, H., 2022. Resilient supply chain network design: a systematic literature review. Transp. Rev. 42, 739–761. https://doi.org/10.1080/01441647.2022.2080773</w:t>
      </w:r>
    </w:p>
    <w:p w14:paraId="4A96EF82" w14:textId="77777777" w:rsidR="000D39D7" w:rsidRPr="000D39D7" w:rsidRDefault="000D39D7" w:rsidP="000D39D7">
      <w:pPr>
        <w:pStyle w:val="Bibliografia"/>
        <w:rPr>
          <w:rFonts w:cs="Times New Roman"/>
        </w:rPr>
      </w:pPr>
      <w:r w:rsidRPr="000D39D7">
        <w:rPr>
          <w:rFonts w:cs="Times New Roman"/>
        </w:rPr>
        <w:t xml:space="preserve">Metzker, P., Thevenin, S., Adulyasak, Y., Dolgui, A., 2025. Distributionally Robust Optimization for the Multi-Period </w:t>
      </w:r>
      <w:r w:rsidRPr="000D39D7">
        <w:rPr>
          <w:rFonts w:cs="Times New Roman"/>
        </w:rPr>
        <w:lastRenderedPageBreak/>
        <w:t>Multi-Item Lot-Sizing Problems Under Yield Uncertainty. IEEE Trans. Autom. Sci. Eng. 22, 11731–11752. https://doi.org/10.1109/TASE.2025.3535945</w:t>
      </w:r>
    </w:p>
    <w:p w14:paraId="1B6F2CA4" w14:textId="77777777" w:rsidR="000D39D7" w:rsidRPr="000D39D7" w:rsidRDefault="000D39D7" w:rsidP="000D39D7">
      <w:pPr>
        <w:pStyle w:val="Bibliografia"/>
        <w:rPr>
          <w:rFonts w:cs="Times New Roman"/>
        </w:rPr>
      </w:pPr>
      <w:r w:rsidRPr="000D39D7">
        <w:rPr>
          <w:rFonts w:cs="Times New Roman"/>
        </w:rPr>
        <w:t>Owens, K., Griffen, Z., Damaraju, L., 2025. Managing a “responsibility vacuum” in AI monitoring and governance in healthcare: a qualitative study. BMC Health Serv. Res. 25, 1217. https://doi.org/10.1186/s12913-025-13388-z</w:t>
      </w:r>
    </w:p>
    <w:p w14:paraId="13103DF6" w14:textId="77777777" w:rsidR="000D39D7" w:rsidRPr="000D39D7" w:rsidRDefault="000D39D7" w:rsidP="000D39D7">
      <w:pPr>
        <w:pStyle w:val="Bibliografia"/>
        <w:rPr>
          <w:rFonts w:cs="Times New Roman"/>
        </w:rPr>
      </w:pPr>
      <w:r w:rsidRPr="000D39D7">
        <w:rPr>
          <w:rFonts w:cs="Times New Roman"/>
        </w:rPr>
        <w:t>Panzarella, E., Beribisky, N., Cribbie, R.A., 2021. Denouncing the use of field-specific effect size distributions to inform magnitude. PeerJ 9, e11383. https://doi.org/10.7717/peerj.11383</w:t>
      </w:r>
    </w:p>
    <w:p w14:paraId="7125CA8D" w14:textId="77777777" w:rsidR="000D39D7" w:rsidRPr="000D39D7" w:rsidRDefault="000D39D7" w:rsidP="000D39D7">
      <w:pPr>
        <w:pStyle w:val="Bibliografia"/>
        <w:rPr>
          <w:rFonts w:cs="Times New Roman"/>
        </w:rPr>
      </w:pPr>
      <w:r w:rsidRPr="000D39D7">
        <w:rPr>
          <w:rFonts w:cs="Times New Roman"/>
        </w:rPr>
        <w:t xml:space="preserve">Perera, S.C., Sethi, S.P., 2023. A survey of stochastic inventory models with fixed costs: Optimality of ( </w:t>
      </w:r>
      <w:r w:rsidRPr="000D39D7">
        <w:rPr>
          <w:rFonts w:cs="Times New Roman"/>
          <w:i/>
          <w:iCs/>
        </w:rPr>
        <w:t>s</w:t>
      </w:r>
      <w:r w:rsidRPr="000D39D7">
        <w:rPr>
          <w:rFonts w:cs="Times New Roman"/>
        </w:rPr>
        <w:t xml:space="preserve"> , </w:t>
      </w:r>
      <w:r w:rsidRPr="000D39D7">
        <w:rPr>
          <w:rFonts w:cs="Times New Roman"/>
          <w:i/>
          <w:iCs/>
        </w:rPr>
        <w:t>S</w:t>
      </w:r>
      <w:r w:rsidRPr="000D39D7">
        <w:rPr>
          <w:rFonts w:cs="Times New Roman"/>
        </w:rPr>
        <w:t xml:space="preserve"> ) and ( </w:t>
      </w:r>
      <w:r w:rsidRPr="000D39D7">
        <w:rPr>
          <w:rFonts w:cs="Times New Roman"/>
          <w:i/>
          <w:iCs/>
        </w:rPr>
        <w:t>s</w:t>
      </w:r>
      <w:r w:rsidRPr="000D39D7">
        <w:rPr>
          <w:rFonts w:cs="Times New Roman"/>
        </w:rPr>
        <w:t xml:space="preserve"> , </w:t>
      </w:r>
      <w:r w:rsidRPr="000D39D7">
        <w:rPr>
          <w:rFonts w:cs="Times New Roman"/>
          <w:i/>
          <w:iCs/>
        </w:rPr>
        <w:t>S</w:t>
      </w:r>
      <w:r w:rsidRPr="000D39D7">
        <w:rPr>
          <w:rFonts w:cs="Times New Roman"/>
        </w:rPr>
        <w:t xml:space="preserve"> )‐type policies—Continuous‐time case. Prod. Oper. Manag. 32, 154–169. https://doi.org/10.1111/poms.13819</w:t>
      </w:r>
    </w:p>
    <w:p w14:paraId="51D8684D" w14:textId="77777777" w:rsidR="000D39D7" w:rsidRPr="000D39D7" w:rsidRDefault="000D39D7" w:rsidP="000D39D7">
      <w:pPr>
        <w:pStyle w:val="Bibliografia"/>
        <w:rPr>
          <w:rFonts w:cs="Times New Roman"/>
        </w:rPr>
      </w:pPr>
      <w:r w:rsidRPr="000D39D7">
        <w:rPr>
          <w:rFonts w:cs="Times New Roman"/>
        </w:rPr>
        <w:t>Pilati, F., Giacomelli, M., Brunelli, M., 2024. Environmentally sustainable inventory control for perishable products: A bi-objective reorder-level policy. Int. J. Prod. Econ. 274, 109309. https://doi.org/10.1016/j.ijpe.2024.109309</w:t>
      </w:r>
    </w:p>
    <w:p w14:paraId="76262D28" w14:textId="77777777" w:rsidR="000D39D7" w:rsidRPr="000D39D7" w:rsidRDefault="000D39D7" w:rsidP="000D39D7">
      <w:pPr>
        <w:pStyle w:val="Bibliografia"/>
        <w:rPr>
          <w:rFonts w:cs="Times New Roman"/>
        </w:rPr>
      </w:pPr>
      <w:r w:rsidRPr="000D39D7">
        <w:rPr>
          <w:rFonts w:cs="Times New Roman"/>
        </w:rPr>
        <w:t>Qiu, R., Sun, Y., Sun, M., 2021. A distributionally robust optimization approach for multi-product inventory decisions with budget constraint and demand and yield uncertainties. Comput. Oper. Res. 126, 105081. https://doi.org/10.1016/j.cor.2020.105081</w:t>
      </w:r>
    </w:p>
    <w:p w14:paraId="319F59E8" w14:textId="77777777" w:rsidR="000D39D7" w:rsidRPr="000D39D7" w:rsidRDefault="000D39D7" w:rsidP="000D39D7">
      <w:pPr>
        <w:pStyle w:val="Bibliografia"/>
        <w:rPr>
          <w:rFonts w:cs="Times New Roman"/>
        </w:rPr>
      </w:pPr>
      <w:r w:rsidRPr="000D39D7">
        <w:rPr>
          <w:rFonts w:cs="Times New Roman"/>
        </w:rPr>
        <w:t>Rolf, B., Jackson, I., Müller, M., Lang, S., Reggelin, T., Ivanov, D., 2023. A review on reinforcement learning algorithms and applications in supply chain management. Int. J. Prod. Res. 61, 7151–7179. https://doi.org/10.1080/00207543.2022.2140221</w:t>
      </w:r>
    </w:p>
    <w:p w14:paraId="4948F538" w14:textId="77777777" w:rsidR="000D39D7" w:rsidRPr="000D39D7" w:rsidRDefault="000D39D7" w:rsidP="000D39D7">
      <w:pPr>
        <w:pStyle w:val="Bibliografia"/>
        <w:rPr>
          <w:rFonts w:cs="Times New Roman"/>
        </w:rPr>
      </w:pPr>
      <w:r w:rsidRPr="000D39D7">
        <w:rPr>
          <w:rFonts w:cs="Times New Roman"/>
        </w:rPr>
        <w:t>Smyth, C., Dennehy, D., Fosso Wamba, S., Scott, M., Harfouche, A., 2024. Artificial intelligence and prescriptive analytics for supply chain resilience: a systematic literature review and research agenda. Int. J. Prod. Res. 62, 8537–8561. https://doi.org/10.1080/00207543.2024.2341415</w:t>
      </w:r>
    </w:p>
    <w:p w14:paraId="0EF43A51" w14:textId="77777777" w:rsidR="000D39D7" w:rsidRPr="000D39D7" w:rsidRDefault="000D39D7" w:rsidP="000D39D7">
      <w:pPr>
        <w:pStyle w:val="Bibliografia"/>
        <w:rPr>
          <w:rFonts w:cs="Times New Roman"/>
        </w:rPr>
      </w:pPr>
      <w:r w:rsidRPr="000D39D7">
        <w:rPr>
          <w:rFonts w:cs="Times New Roman"/>
        </w:rPr>
        <w:t>Stranieri, F., Fadda, E., Stella, F., 2024. Combining deep reinforcement learning and multi-stage stochastic programming to address the supply chain inventory management problem. Int. J. Prod. Econ. 268, 109099. https://doi.org/10.1016/j.ijpe.2023.109099</w:t>
      </w:r>
    </w:p>
    <w:p w14:paraId="4A6DE827" w14:textId="77777777" w:rsidR="000D39D7" w:rsidRPr="000D39D7" w:rsidRDefault="000D39D7" w:rsidP="000D39D7">
      <w:pPr>
        <w:pStyle w:val="Bibliografia"/>
        <w:rPr>
          <w:rFonts w:cs="Times New Roman"/>
          <w:lang w:val="es-UY"/>
        </w:rPr>
      </w:pPr>
      <w:r w:rsidRPr="000D39D7">
        <w:rPr>
          <w:rFonts w:cs="Times New Roman"/>
        </w:rPr>
        <w:t xml:space="preserve">Sun, Y., Qiu, R., Sun, M., 2024. A robust optimization approach for inventory management with limited-time discounts and service-level requirement under demand uncertainty. </w:t>
      </w:r>
      <w:r w:rsidRPr="000D39D7">
        <w:rPr>
          <w:rFonts w:cs="Times New Roman"/>
          <w:lang w:val="es-UY"/>
        </w:rPr>
        <w:t>Int. J. Prod. Econ. 267, 109096. https://doi.org/10.1016/j.ijpe.2023.109096</w:t>
      </w:r>
    </w:p>
    <w:p w14:paraId="756FF8E1" w14:textId="77777777" w:rsidR="000D39D7" w:rsidRPr="000D39D7" w:rsidRDefault="000D39D7" w:rsidP="000D39D7">
      <w:pPr>
        <w:pStyle w:val="Bibliografia"/>
        <w:rPr>
          <w:rFonts w:cs="Times New Roman"/>
        </w:rPr>
      </w:pPr>
      <w:r w:rsidRPr="000D39D7">
        <w:rPr>
          <w:rFonts w:cs="Times New Roman"/>
          <w:lang w:val="es-UY"/>
        </w:rPr>
        <w:t xml:space="preserve">Temizöz, T., Imdahl, C., Dijkman, R., Lamghari-Idrissi, D., Van Jaarsveld, W., 2025. </w:t>
      </w:r>
      <w:r w:rsidRPr="000D39D7">
        <w:rPr>
          <w:rFonts w:cs="Times New Roman"/>
        </w:rPr>
        <w:t>Deep Controlled Learning for Inventory Control. Eur. J. Oper. Res. 324, 104–117. https://doi.org/10.1016/j.ejor.2025.01.026</w:t>
      </w:r>
    </w:p>
    <w:p w14:paraId="63ABD256" w14:textId="77777777" w:rsidR="000D39D7" w:rsidRPr="000D39D7" w:rsidRDefault="000D39D7" w:rsidP="000D39D7">
      <w:pPr>
        <w:pStyle w:val="Bibliografia"/>
        <w:rPr>
          <w:rFonts w:cs="Times New Roman"/>
        </w:rPr>
      </w:pPr>
      <w:r w:rsidRPr="000D39D7">
        <w:rPr>
          <w:rFonts w:cs="Times New Roman"/>
          <w:lang w:val="pt-BR"/>
        </w:rPr>
        <w:t xml:space="preserve">Theodorou, E., Spiliotis, E., Assimakopoulos, V., 2025. </w:t>
      </w:r>
      <w:r w:rsidRPr="000D39D7">
        <w:rPr>
          <w:rFonts w:cs="Times New Roman"/>
        </w:rPr>
        <w:t>Forecast accuracy and inventory performance: Insights on their relationship from the M5 competition data. Eur. J. Oper. Res. 322, 414–426. https://doi.org/10.1016/j.ejor.2024.12.033</w:t>
      </w:r>
    </w:p>
    <w:p w14:paraId="51B11E29" w14:textId="77777777" w:rsidR="000D39D7" w:rsidRPr="000D39D7" w:rsidRDefault="000D39D7" w:rsidP="000D39D7">
      <w:pPr>
        <w:pStyle w:val="Bibliografia"/>
        <w:rPr>
          <w:rFonts w:cs="Times New Roman"/>
          <w:lang w:val="es-UY"/>
        </w:rPr>
      </w:pPr>
      <w:r w:rsidRPr="000D39D7">
        <w:rPr>
          <w:rFonts w:cs="Times New Roman"/>
        </w:rPr>
        <w:t xml:space="preserve">Xin, L., Goldberg, D.A., 2022. Distributionally Robust Inventory Control When Demand Is a Martingale. </w:t>
      </w:r>
      <w:r w:rsidRPr="000D39D7">
        <w:rPr>
          <w:rFonts w:cs="Times New Roman"/>
          <w:lang w:val="es-UY"/>
        </w:rPr>
        <w:t>Math. Oper. Res. 47, 2387–2414. https://doi.org/10.1287/moor.2021.1213</w:t>
      </w:r>
    </w:p>
    <w:p w14:paraId="12DEDA79" w14:textId="77777777" w:rsidR="000D39D7" w:rsidRPr="000D39D7" w:rsidRDefault="000D39D7" w:rsidP="000D39D7">
      <w:pPr>
        <w:pStyle w:val="Bibliografia"/>
        <w:rPr>
          <w:rFonts w:cs="Times New Roman"/>
        </w:rPr>
      </w:pPr>
      <w:r w:rsidRPr="000D39D7">
        <w:rPr>
          <w:rFonts w:cs="Times New Roman"/>
          <w:lang w:val="es-UY"/>
        </w:rPr>
        <w:t xml:space="preserve">Ye, Y., Lu, Y., Robinson, P., Narayanan, A., 2022. </w:t>
      </w:r>
      <w:r w:rsidRPr="000D39D7">
        <w:rPr>
          <w:rFonts w:cs="Times New Roman"/>
        </w:rPr>
        <w:t>An empirical Bayes approach to incorporating demand intermittency and irregularity into inventory control. Eur. J. Oper. Res. 303, 255–272. https://doi.org/10.1016/j.ejor.2022.02.033</w:t>
      </w:r>
    </w:p>
    <w:p w14:paraId="0A7003B1" w14:textId="77777777" w:rsidR="000D39D7" w:rsidRPr="000D39D7" w:rsidRDefault="000D39D7" w:rsidP="000D39D7">
      <w:pPr>
        <w:pStyle w:val="Bibliografia"/>
        <w:rPr>
          <w:rFonts w:cs="Times New Roman"/>
        </w:rPr>
      </w:pPr>
      <w:r w:rsidRPr="000D39D7">
        <w:rPr>
          <w:rFonts w:cs="Times New Roman"/>
        </w:rPr>
        <w:t>Zhang, L., Shen, L., Yang, L., Chen, S., Yuan, B., Wang, X., Tao, D., 2022. Penalized Proximal Policy Optimization for Safe Reinforcement Learning. https://doi.org/10.48550/ARXIV.2205.11814</w:t>
      </w:r>
    </w:p>
    <w:p w14:paraId="064A4577" w14:textId="77777777" w:rsidR="000D39D7" w:rsidRPr="000D39D7" w:rsidRDefault="000D39D7" w:rsidP="000D39D7">
      <w:pPr>
        <w:pStyle w:val="Bibliografia"/>
        <w:rPr>
          <w:rFonts w:cs="Times New Roman"/>
        </w:rPr>
      </w:pPr>
      <w:r w:rsidRPr="000D39D7">
        <w:rPr>
          <w:rFonts w:cs="Times New Roman"/>
        </w:rPr>
        <w:t>Zheng, H., Ma, Y., Araki, B., Chen, J., Wu, C., 2026. Learning-guided Prioritized Planning for Lifelong Multi-Agent Path Finding in Warehouse Automation. J. Artif. Intell. Res. 85. https://doi.org/10.1613/jair.1.20611</w:t>
      </w:r>
    </w:p>
    <w:p w14:paraId="4FD79C36" w14:textId="7ABDF8DE" w:rsidR="006825B8" w:rsidRPr="002F0D8D" w:rsidRDefault="000F1D1A" w:rsidP="0053762D">
      <w:pPr>
        <w:pStyle w:val="text-base"/>
        <w:spacing w:before="0" w:after="0"/>
        <w:jc w:val="both"/>
        <w:rPr>
          <w:color w:val="000000" w:themeColor="text1"/>
          <w:lang w:val="en-US"/>
        </w:rPr>
      </w:pPr>
      <w:r>
        <w:rPr>
          <w:color w:val="000000" w:themeColor="text1"/>
          <w:lang w:val="en-US"/>
        </w:rPr>
        <w:fldChar w:fldCharType="end"/>
      </w:r>
      <w:r w:rsidR="006825B8">
        <w:rPr>
          <w:color w:val="000000" w:themeColor="text1"/>
          <w:lang w:val="en-US"/>
        </w:rPr>
        <w:br w:type="page"/>
      </w:r>
    </w:p>
    <w:p w14:paraId="64FC9837" w14:textId="64F9119D" w:rsidR="00450E13" w:rsidRPr="0038108D" w:rsidRDefault="00450E13" w:rsidP="0038108D">
      <w:pPr>
        <w:pStyle w:val="Ttulo1"/>
        <w:spacing w:after="0"/>
        <w:rPr>
          <w:rFonts w:ascii="Times New Roman" w:eastAsia="Times New Roman" w:hAnsi="Times New Roman"/>
          <w:b/>
          <w:bCs/>
          <w:sz w:val="24"/>
          <w:szCs w:val="24"/>
        </w:rPr>
      </w:pPr>
      <w:r w:rsidRPr="0038108D">
        <w:rPr>
          <w:rFonts w:ascii="Times New Roman" w:eastAsia="Times New Roman" w:hAnsi="Times New Roman"/>
          <w:b/>
          <w:bCs/>
          <w:sz w:val="24"/>
          <w:szCs w:val="24"/>
        </w:rPr>
        <w:lastRenderedPageBreak/>
        <w:t>Appendices</w:t>
      </w:r>
    </w:p>
    <w:p w14:paraId="4968512B" w14:textId="77777777" w:rsidR="00747409" w:rsidRPr="00A70916" w:rsidDel="009E4D45" w:rsidRDefault="00747409" w:rsidP="00DD5FF3">
      <w:pPr>
        <w:pStyle w:val="Ttulo2"/>
      </w:pPr>
      <w:r w:rsidRPr="00A70916" w:rsidDel="009E4D45">
        <w:t>Appendix A: Parameter Specifications and Sensitivity Analysis</w:t>
      </w:r>
    </w:p>
    <w:p w14:paraId="41FEBAA2" w14:textId="77777777" w:rsidR="00747409" w:rsidRPr="00A70916" w:rsidRDefault="00747409" w:rsidP="00450E13">
      <w:pPr>
        <w:pStyle w:val="Ttulo3"/>
        <w:spacing w:before="0" w:after="0"/>
      </w:pPr>
      <w:r w:rsidRPr="00A70916">
        <w:rPr>
          <w:rFonts w:eastAsia="Times New Roman"/>
          <w:sz w:val="20"/>
        </w:rPr>
        <w:t>A1: Reinforcement Learning Inventory Policy</w:t>
      </w:r>
    </w:p>
    <w:p w14:paraId="644AB4C9" w14:textId="77777777" w:rsidR="00747409" w:rsidRPr="00A70916" w:rsidRDefault="00747409" w:rsidP="008676CE">
      <w:pPr>
        <w:pStyle w:val="text-base"/>
        <w:spacing w:before="0" w:after="0"/>
        <w:jc w:val="both"/>
        <w:rPr>
          <w:color w:val="000000" w:themeColor="text1"/>
          <w:lang w:val="en-US"/>
        </w:rPr>
      </w:pPr>
      <w:r w:rsidRPr="00A70916">
        <w:rPr>
          <w:color w:val="000000" w:themeColor="text1"/>
          <w:lang w:val="en-US"/>
        </w:rPr>
        <w:t>A discretization of 10×10 was chosen because it matches facilit</w:t>
      </w:r>
      <w:r w:rsidR="00E63888">
        <w:rPr>
          <w:color w:val="000000" w:themeColor="text1"/>
          <w:lang w:val="en-US"/>
        </w:rPr>
        <w:t>ies’</w:t>
      </w:r>
      <w:r w:rsidRPr="00A70916">
        <w:rPr>
          <w:color w:val="000000" w:themeColor="text1"/>
          <w:lang w:val="en-US"/>
        </w:rPr>
        <w:t xml:space="preserve"> historical </w:t>
      </w:r>
      <w:proofErr w:type="gramStart"/>
      <w:r w:rsidRPr="00A70916">
        <w:rPr>
          <w:color w:val="000000" w:themeColor="text1"/>
          <w:lang w:val="en-US"/>
        </w:rPr>
        <w:t>deciles</w:t>
      </w:r>
      <w:proofErr w:type="gramEnd"/>
      <w:r w:rsidRPr="00A70916">
        <w:rPr>
          <w:color w:val="000000" w:themeColor="text1"/>
          <w:lang w:val="en-US"/>
        </w:rPr>
        <w:t xml:space="preserve"> (10th-90th percentiles for stock and projected states) and because it is not significantly further from </w:t>
      </w:r>
      <w:r w:rsidR="005C2D98" w:rsidRPr="00A70916">
        <w:rPr>
          <w:color w:val="000000" w:themeColor="text1"/>
          <w:lang w:val="en-US"/>
        </w:rPr>
        <w:t>three</w:t>
      </w:r>
      <w:r w:rsidRPr="00A70916">
        <w:rPr>
          <w:color w:val="000000" w:themeColor="text1"/>
          <w:lang w:val="en-US"/>
        </w:rPr>
        <w:t xml:space="preserve"> times the maximum average daily demand experienced</w:t>
      </w:r>
      <w:r w:rsidR="005C2D98" w:rsidRPr="00A70916">
        <w:rPr>
          <w:color w:val="000000" w:themeColor="text1"/>
          <w:lang w:val="en-US"/>
        </w:rPr>
        <w:t>. It</w:t>
      </w:r>
      <w:r w:rsidRPr="00A70916">
        <w:rPr>
          <w:color w:val="000000" w:themeColor="text1"/>
          <w:lang w:val="en-US"/>
        </w:rPr>
        <w:t xml:space="preserve"> represents a medium between policy minutiae and calculations for a proof-of-concept.</w:t>
      </w:r>
    </w:p>
    <w:p w14:paraId="21067E5B" w14:textId="122C1C48" w:rsidR="00747409" w:rsidRPr="00B40008" w:rsidRDefault="00747409" w:rsidP="005C2D98">
      <w:pPr>
        <w:pStyle w:val="text-base"/>
        <w:spacing w:before="0" w:after="0"/>
        <w:jc w:val="both"/>
        <w:rPr>
          <w:color w:val="000000" w:themeColor="text1"/>
          <w:lang w:val="en-US"/>
        </w:rPr>
      </w:pPr>
      <w:r w:rsidRPr="00653ACC">
        <w:rPr>
          <w:lang w:val="en-US"/>
        </w:rPr>
        <w:t xml:space="preserve">The agent receives </w:t>
      </w:r>
      <w:r w:rsidR="00D508F7">
        <w:rPr>
          <w:lang w:val="en-US"/>
        </w:rPr>
        <w:t xml:space="preserve">a </w:t>
      </w:r>
      <w:r w:rsidRPr="00653ACC">
        <w:rPr>
          <w:lang w:val="en-US"/>
        </w:rPr>
        <w:t>per-period reward</w:t>
      </w:r>
      <w:r w:rsidR="009C0FA5">
        <w:rPr>
          <w:lang w:val="en-US"/>
        </w:rPr>
        <w:t>,</w:t>
      </w:r>
      <w:r w:rsidRPr="00653ACC">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w:r w:rsidR="009C0FA5">
        <w:rPr>
          <w:lang w:val="en-US"/>
        </w:rPr>
        <w:t xml:space="preserve">, </w:t>
      </w:r>
      <w:r w:rsidRPr="00653ACC">
        <w:rPr>
          <w:lang w:val="en-US"/>
        </w:rPr>
        <w:t>equal to the negative of the main cost components and a service-achievement term.</w:t>
      </w:r>
    </w:p>
    <w:p w14:paraId="112A1BCA" w14:textId="10626C3F" w:rsidR="00747409" w:rsidRPr="00005EBE" w:rsidRDefault="00000000" w:rsidP="00747409">
      <w:pPr>
        <w:pStyle w:val="Corpodetexto"/>
        <w:spacing w:before="0" w:line="286" w:lineRule="auto"/>
        <w:ind w:left="210" w:right="17"/>
        <w:jc w:val="center"/>
        <w:rPr>
          <w:rFonts w:cs="Times New Roman"/>
          <w:color w:val="000000" w:themeColor="text1"/>
          <w:sz w:val="22"/>
          <w:szCs w:val="22"/>
          <w:lang w:val="pt-BR" w:eastAsia="pt-BR"/>
        </w:rPr>
      </w:pPr>
      <m:oMathPara>
        <m:oMath>
          <m:sSub>
            <m:sSubPr>
              <m:ctrlPr>
                <w:rPr>
                  <w:rFonts w:ascii="Cambria Math" w:hAnsi="Cambria Math" w:cs="Times New Roman"/>
                  <w:i/>
                  <w:lang w:val="pt-BR"/>
                </w:rPr>
              </m:ctrlPr>
            </m:sSubPr>
            <m:e>
              <m:r>
                <w:rPr>
                  <w:rFonts w:ascii="Cambria Math" w:hAnsi="Cambria Math" w:cs="Times New Roman"/>
                  <w:lang w:val="pt-BR"/>
                </w:rPr>
                <m:t>r</m:t>
              </m:r>
            </m:e>
            <m:sub>
              <m:r>
                <w:rPr>
                  <w:rFonts w:ascii="Cambria Math" w:hAnsi="Cambria Math" w:cs="Times New Roman"/>
                  <w:lang w:val="pt-BR"/>
                </w:rPr>
                <m:t>t</m:t>
              </m:r>
            </m:sub>
          </m:sSub>
          <m:r>
            <w:rPr>
              <w:rFonts w:ascii="Cambria Math" w:hAnsi="Cambria Math" w:cs="Times New Roman"/>
              <w:lang w:val="pt-BR"/>
            </w:rPr>
            <m:t>=-</m:t>
          </m:r>
          <m:d>
            <m:dPr>
              <m:ctrlPr>
                <w:rPr>
                  <w:rFonts w:ascii="Cambria Math" w:hAnsi="Cambria Math" w:cs="Times New Roman"/>
                  <w:i/>
                  <w:lang w:val="pt-BR"/>
                </w:rPr>
              </m:ctrlPr>
            </m:dPr>
            <m:e>
              <m:r>
                <w:rPr>
                  <w:rFonts w:ascii="Cambria Math" w:hAnsi="Cambria Math" w:cs="Times New Roman"/>
                  <w:lang w:val="pt-BR"/>
                </w:rPr>
                <m:t>h·</m:t>
              </m:r>
              <m:sSub>
                <m:sSubPr>
                  <m:ctrlPr>
                    <w:rPr>
                      <w:rFonts w:ascii="Cambria Math" w:hAnsi="Cambria Math" w:cs="Times New Roman"/>
                      <w:i/>
                      <w:lang w:val="pt-BR"/>
                    </w:rPr>
                  </m:ctrlPr>
                </m:sSubPr>
                <m:e>
                  <m:r>
                    <w:rPr>
                      <w:rFonts w:ascii="Cambria Math" w:hAnsi="Cambria Math" w:cs="Times New Roman"/>
                      <w:lang w:val="pt-BR"/>
                    </w:rPr>
                    <m:t>C</m:t>
                  </m:r>
                </m:e>
                <m:sub>
                  <m:r>
                    <w:rPr>
                      <w:rFonts w:ascii="Cambria Math" w:hAnsi="Cambria Math" w:cs="Times New Roman"/>
                      <w:lang w:val="pt-BR"/>
                    </w:rPr>
                    <m:t>t</m:t>
                  </m:r>
                </m:sub>
              </m:sSub>
            </m:e>
          </m:d>
          <m:r>
            <w:rPr>
              <w:rFonts w:ascii="Cambria Math" w:hAnsi="Cambria Math" w:cs="Times New Roman"/>
              <w:lang w:val="pt-BR"/>
            </w:rPr>
            <m:t>·</m:t>
          </m:r>
          <m:sSub>
            <m:sSubPr>
              <m:ctrlPr>
                <w:rPr>
                  <w:rFonts w:ascii="Cambria Math" w:hAnsi="Cambria Math" w:cs="Times New Roman"/>
                  <w:i/>
                  <w:lang w:val="pt-BR"/>
                </w:rPr>
              </m:ctrlPr>
            </m:sSubPr>
            <m:e>
              <m:r>
                <w:rPr>
                  <w:rFonts w:ascii="Cambria Math" w:hAnsi="Cambria Math" w:cs="Times New Roman"/>
                  <w:lang w:val="pt-BR"/>
                </w:rPr>
                <m:t>I</m:t>
              </m:r>
            </m:e>
            <m:sub>
              <m:r>
                <w:rPr>
                  <w:rFonts w:ascii="Cambria Math" w:hAnsi="Cambria Math" w:cs="Times New Roman"/>
                  <w:lang w:val="pt-BR"/>
                </w:rPr>
                <m:t>t+1</m:t>
              </m:r>
            </m:sub>
          </m:sSub>
          <m:r>
            <w:rPr>
              <w:rFonts w:ascii="Cambria Math" w:hAnsi="Cambria Math" w:cs="Times New Roman"/>
              <w:lang w:val="pt-BR"/>
            </w:rPr>
            <m:t>-</m:t>
          </m:r>
          <m:sSub>
            <m:sSubPr>
              <m:ctrlPr>
                <w:rPr>
                  <w:rFonts w:ascii="Cambria Math" w:hAnsi="Cambria Math" w:cs="Times New Roman"/>
                  <w:i/>
                  <w:lang w:val="pt-BR"/>
                </w:rPr>
              </m:ctrlPr>
            </m:sSubPr>
            <m:e>
              <m:r>
                <w:rPr>
                  <w:rFonts w:ascii="Cambria Math" w:hAnsi="Cambria Math" w:cs="Times New Roman"/>
                  <w:lang w:val="pt-BR"/>
                </w:rPr>
                <m:t>c</m:t>
              </m:r>
            </m:e>
            <m:sub>
              <m:r>
                <w:rPr>
                  <w:rFonts w:ascii="Cambria Math" w:hAnsi="Cambria Math" w:cs="Times New Roman"/>
                  <w:lang w:val="pt-BR"/>
                </w:rPr>
                <m:t>o</m:t>
              </m:r>
            </m:sub>
          </m:sSub>
          <m:r>
            <w:rPr>
              <w:rFonts w:ascii="Cambria Math" w:hAnsi="Cambria Math" w:cs="Times New Roman"/>
              <w:lang w:val="pt-BR"/>
            </w:rPr>
            <m:t>·</m:t>
          </m:r>
          <m:sSub>
            <m:sSubPr>
              <m:ctrlPr>
                <w:rPr>
                  <w:rFonts w:ascii="Cambria Math" w:hAnsi="Cambria Math" w:cs="Times New Roman"/>
                  <w:i/>
                  <w:lang w:val="pt-BR"/>
                </w:rPr>
              </m:ctrlPr>
            </m:sSubPr>
            <m:e>
              <m:r>
                <w:rPr>
                  <w:rFonts w:ascii="Cambria Math" w:hAnsi="Cambria Math" w:cs="Times New Roman"/>
                  <w:lang w:val="pt-BR"/>
                </w:rPr>
                <m:t>q</m:t>
              </m:r>
            </m:e>
            <m:sub>
              <m:r>
                <w:rPr>
                  <w:rFonts w:ascii="Cambria Math" w:hAnsi="Cambria Math" w:cs="Times New Roman"/>
                  <w:lang w:val="pt-BR"/>
                </w:rPr>
                <m:t>t</m:t>
              </m:r>
            </m:sub>
          </m:sSub>
          <m:r>
            <w:rPr>
              <w:rFonts w:ascii="Cambria Math" w:hAnsi="Cambria Math" w:cs="Times New Roman"/>
              <w:lang w:val="pt-BR"/>
            </w:rPr>
            <m:t>-</m:t>
          </m:r>
          <m:sSub>
            <m:sSubPr>
              <m:ctrlPr>
                <w:rPr>
                  <w:rFonts w:ascii="Cambria Math" w:hAnsi="Cambria Math" w:cs="Times New Roman"/>
                  <w:i/>
                  <w:lang w:val="pt-BR"/>
                </w:rPr>
              </m:ctrlPr>
            </m:sSubPr>
            <m:e>
              <m:r>
                <w:rPr>
                  <w:rFonts w:ascii="Cambria Math" w:hAnsi="Cambria Math" w:cs="Times New Roman"/>
                  <w:lang w:val="pt-BR"/>
                </w:rPr>
                <m:t>p</m:t>
              </m:r>
            </m:e>
            <m:sub>
              <m:r>
                <w:rPr>
                  <w:rFonts w:ascii="Cambria Math" w:hAnsi="Cambria Math" w:cs="Times New Roman"/>
                  <w:lang w:val="pt-BR"/>
                </w:rPr>
                <m:t>s</m:t>
              </m:r>
            </m:sub>
          </m:sSub>
          <m:r>
            <w:rPr>
              <w:rFonts w:ascii="Cambria Math" w:hAnsi="Cambria Math" w:cs="Times New Roman"/>
              <w:lang w:val="pt-BR"/>
            </w:rPr>
            <m:t>·L</m:t>
          </m:r>
          <m:sSub>
            <m:sSubPr>
              <m:ctrlPr>
                <w:rPr>
                  <w:rFonts w:ascii="Cambria Math" w:hAnsi="Cambria Math" w:cs="Times New Roman"/>
                  <w:i/>
                  <w:lang w:val="pt-BR"/>
                </w:rPr>
              </m:ctrlPr>
            </m:sSubPr>
            <m:e>
              <m:r>
                <w:rPr>
                  <w:rFonts w:ascii="Cambria Math" w:hAnsi="Cambria Math" w:cs="Times New Roman"/>
                  <w:lang w:val="pt-BR"/>
                </w:rPr>
                <m:t>S</m:t>
              </m:r>
            </m:e>
            <m:sub>
              <m:r>
                <w:rPr>
                  <w:rFonts w:ascii="Cambria Math" w:hAnsi="Cambria Math" w:cs="Times New Roman"/>
                  <w:lang w:val="pt-BR"/>
                </w:rPr>
                <m:t>t</m:t>
              </m:r>
            </m:sub>
          </m:sSub>
          <m:r>
            <w:rPr>
              <w:rFonts w:ascii="Cambria Math" w:hAnsi="Cambria Math" w:cs="Times New Roman"/>
              <w:lang w:val="pt-BR"/>
            </w:rPr>
            <m:t>-</m:t>
          </m:r>
          <m:sSub>
            <m:sSubPr>
              <m:ctrlPr>
                <w:rPr>
                  <w:rFonts w:ascii="Cambria Math" w:hAnsi="Cambria Math" w:cs="Times New Roman"/>
                  <w:i/>
                  <w:lang w:val="pt-BR"/>
                </w:rPr>
              </m:ctrlPr>
            </m:sSubPr>
            <m:e>
              <m:r>
                <w:rPr>
                  <w:rFonts w:ascii="Cambria Math" w:hAnsi="Cambria Math" w:cs="Times New Roman"/>
                  <w:lang w:val="pt-BR"/>
                </w:rPr>
                <m:t>p</m:t>
              </m:r>
            </m:e>
            <m:sub>
              <m:r>
                <w:rPr>
                  <w:rFonts w:ascii="Cambria Math" w:hAnsi="Cambria Math" w:cs="Times New Roman"/>
                  <w:lang w:val="pt-BR"/>
                </w:rPr>
                <m:t>s</m:t>
              </m:r>
            </m:sub>
          </m:sSub>
          <m:r>
            <w:rPr>
              <w:rFonts w:ascii="Cambria Math" w:hAnsi="Cambria Math" w:cs="Times New Roman"/>
              <w:lang w:val="pt-BR"/>
            </w:rPr>
            <m:t>q·L</m:t>
          </m:r>
          <m:sSubSup>
            <m:sSubSupPr>
              <m:ctrlPr>
                <w:rPr>
                  <w:rFonts w:ascii="Cambria Math" w:hAnsi="Cambria Math" w:cs="Times New Roman"/>
                  <w:i/>
                  <w:lang w:val="pt-BR"/>
                </w:rPr>
              </m:ctrlPr>
            </m:sSubSupPr>
            <m:e>
              <m:r>
                <w:rPr>
                  <w:rFonts w:ascii="Cambria Math" w:hAnsi="Cambria Math" w:cs="Times New Roman"/>
                  <w:lang w:val="pt-BR"/>
                </w:rPr>
                <m:t>S</m:t>
              </m:r>
            </m:e>
            <m:sub>
              <m:r>
                <w:rPr>
                  <w:rFonts w:ascii="Cambria Math" w:hAnsi="Cambria Math" w:cs="Times New Roman"/>
                  <w:lang w:val="pt-BR"/>
                </w:rPr>
                <m:t>t</m:t>
              </m:r>
            </m:sub>
            <m:sup>
              <m:r>
                <w:rPr>
                  <w:rFonts w:ascii="Cambria Math" w:hAnsi="Cambria Math" w:cs="Times New Roman"/>
                  <w:lang w:val="pt-BR"/>
                </w:rPr>
                <m:t>2</m:t>
              </m:r>
            </m:sup>
          </m:sSubSup>
          <m:r>
            <w:rPr>
              <w:rFonts w:ascii="Cambria Math" w:hAnsi="Cambria Math" w:cs="Times New Roman"/>
              <w:lang w:val="pt-BR"/>
            </w:rPr>
            <m:t>-</m:t>
          </m:r>
          <m:sSub>
            <m:sSubPr>
              <m:ctrlPr>
                <w:rPr>
                  <w:rFonts w:ascii="Cambria Math" w:hAnsi="Cambria Math" w:cs="Times New Roman"/>
                  <w:i/>
                  <w:lang w:val="pt-BR"/>
                </w:rPr>
              </m:ctrlPr>
            </m:sSubPr>
            <m:e>
              <m:r>
                <w:rPr>
                  <w:rFonts w:ascii="Cambria Math" w:hAnsi="Cambria Math" w:cs="Times New Roman"/>
                  <w:lang w:val="pt-BR"/>
                </w:rPr>
                <m:t>c</m:t>
              </m:r>
            </m:e>
            <m:sub>
              <m:r>
                <w:rPr>
                  <w:rFonts w:ascii="Cambria Math" w:hAnsi="Cambria Math" w:cs="Times New Roman"/>
                  <w:lang w:val="pt-BR"/>
                </w:rPr>
                <m:t>r</m:t>
              </m:r>
            </m:sub>
          </m:sSub>
          <m:r>
            <w:rPr>
              <w:rFonts w:ascii="Cambria Math" w:hAnsi="Cambria Math" w:cs="Times New Roman"/>
              <w:lang w:val="pt-BR"/>
            </w:rPr>
            <m:t>·</m:t>
          </m:r>
          <m:sSub>
            <m:sSubPr>
              <m:ctrlPr>
                <w:rPr>
                  <w:rFonts w:ascii="Cambria Math" w:hAnsi="Cambria Math" w:cs="Times New Roman"/>
                  <w:i/>
                  <w:lang w:val="pt-BR"/>
                </w:rPr>
              </m:ctrlPr>
            </m:sSubPr>
            <m:e>
              <m:r>
                <w:rPr>
                  <w:rFonts w:ascii="Cambria Math" w:hAnsi="Cambria Math" w:cs="Times New Roman"/>
                  <w:lang w:val="pt-BR"/>
                </w:rPr>
                <m:t>R</m:t>
              </m:r>
            </m:e>
            <m:sub>
              <m:r>
                <w:rPr>
                  <w:rFonts w:ascii="Cambria Math" w:hAnsi="Cambria Math" w:cs="Times New Roman"/>
                  <w:lang w:val="pt-BR"/>
                </w:rPr>
                <m:t>t</m:t>
              </m:r>
            </m:sub>
          </m:sSub>
          <m:r>
            <w:rPr>
              <w:rFonts w:ascii="Cambria Math" w:hAnsi="Cambria Math" w:cs="Times New Roman"/>
              <w:lang w:val="pt-BR"/>
            </w:rPr>
            <m:t>+</m:t>
          </m:r>
          <m:sSub>
            <m:sSubPr>
              <m:ctrlPr>
                <w:rPr>
                  <w:rFonts w:ascii="Cambria Math" w:hAnsi="Cambria Math" w:cs="Times New Roman"/>
                  <w:i/>
                  <w:lang w:val="pt-BR"/>
                </w:rPr>
              </m:ctrlPr>
            </m:sSubPr>
            <m:e>
              <m:r>
                <w:rPr>
                  <w:rFonts w:ascii="Cambria Math" w:hAnsi="Cambria Math" w:cs="Times New Roman"/>
                  <w:lang w:val="pt-BR"/>
                </w:rPr>
                <m:t>b</m:t>
              </m:r>
            </m:e>
            <m:sub>
              <m:r>
                <w:rPr>
                  <w:rFonts w:ascii="Cambria Math" w:hAnsi="Cambria Math" w:cs="Times New Roman"/>
                  <w:lang w:val="pt-BR"/>
                </w:rPr>
                <m:t>s</m:t>
              </m:r>
            </m:sub>
          </m:sSub>
          <m:r>
            <w:rPr>
              <w:rFonts w:ascii="Cambria Math" w:hAnsi="Cambria Math" w:cs="Times New Roman"/>
              <w:lang w:val="pt-BR"/>
            </w:rPr>
            <m:t>·</m:t>
          </m:r>
          <m:sSub>
            <m:sSubPr>
              <m:ctrlPr>
                <w:rPr>
                  <w:rFonts w:ascii="Cambria Math" w:hAnsi="Cambria Math" w:cs="Times New Roman"/>
                  <w:i/>
                  <w:lang w:val="pt-BR"/>
                </w:rPr>
              </m:ctrlPr>
            </m:sSubPr>
            <m:e>
              <m:r>
                <w:rPr>
                  <w:rFonts w:ascii="Cambria Math" w:hAnsi="Cambria Math" w:cs="Times New Roman"/>
                  <w:lang w:val="pt-BR"/>
                </w:rPr>
                <m:t>C</m:t>
              </m:r>
            </m:e>
            <m:sub>
              <m:r>
                <w:rPr>
                  <w:rFonts w:ascii="Cambria Math" w:hAnsi="Cambria Math" w:cs="Times New Roman"/>
                  <w:lang w:val="pt-BR"/>
                </w:rPr>
                <m:t>t</m:t>
              </m:r>
            </m:sub>
          </m:sSub>
          <m:r>
            <w:rPr>
              <w:rFonts w:ascii="Cambria Math" w:hAnsi="Cambria Math" w:cs="Times New Roman"/>
              <w:lang w:val="pt-BR"/>
            </w:rPr>
            <m:t>·1L</m:t>
          </m:r>
          <m:sSub>
            <m:sSubPr>
              <m:ctrlPr>
                <w:rPr>
                  <w:rFonts w:ascii="Cambria Math" w:hAnsi="Cambria Math" w:cs="Times New Roman"/>
                  <w:i/>
                  <w:lang w:val="pt-BR"/>
                </w:rPr>
              </m:ctrlPr>
            </m:sSubPr>
            <m:e>
              <m:r>
                <w:rPr>
                  <w:rFonts w:ascii="Cambria Math" w:hAnsi="Cambria Math" w:cs="Times New Roman"/>
                  <w:lang w:val="pt-BR"/>
                </w:rPr>
                <m:t>S</m:t>
              </m:r>
            </m:e>
            <m:sub>
              <m:r>
                <w:rPr>
                  <w:rFonts w:ascii="Cambria Math" w:hAnsi="Cambria Math" w:cs="Times New Roman"/>
                  <w:lang w:val="pt-BR"/>
                </w:rPr>
                <m:t>t</m:t>
              </m:r>
            </m:sub>
          </m:sSub>
          <m:r>
            <w:rPr>
              <w:rFonts w:ascii="Cambria Math" w:hAnsi="Cambria Math" w:cs="Times New Roman"/>
              <w:lang w:val="pt-BR"/>
            </w:rPr>
            <m:t>=0.</m:t>
          </m:r>
        </m:oMath>
      </m:oMathPara>
    </w:p>
    <w:p w14:paraId="1778C6BD" w14:textId="77777777" w:rsidR="00747409" w:rsidRPr="00B40008" w:rsidRDefault="00747409" w:rsidP="00450E13">
      <w:pPr>
        <w:pStyle w:val="Corpodetexto"/>
        <w:spacing w:before="0" w:line="285" w:lineRule="auto"/>
        <w:ind w:left="0" w:right="15"/>
        <w:jc w:val="both"/>
        <w:rPr>
          <w:rFonts w:cs="Times New Roman"/>
          <w:color w:val="000000" w:themeColor="text1"/>
          <w:spacing w:val="-2"/>
          <w:sz w:val="22"/>
          <w:szCs w:val="22"/>
        </w:rPr>
      </w:pPr>
      <w:r w:rsidRPr="00B40008">
        <w:rPr>
          <w:rFonts w:cs="Times New Roman"/>
        </w:rPr>
        <w:t>where:</w:t>
      </w:r>
    </w:p>
    <w:p w14:paraId="0F6CF689" w14:textId="48D18158" w:rsidR="00747409" w:rsidRPr="00B40008" w:rsidRDefault="00000000" w:rsidP="00747409">
      <w:pPr>
        <w:widowControl/>
        <w:autoSpaceDE/>
        <w:autoSpaceDN/>
        <w:ind w:left="720"/>
        <w:rPr>
          <w:rFonts w:cs="Times New Roman"/>
          <w:color w:val="000000" w:themeColor="text1"/>
          <w:lang w:eastAsia="pt-BR"/>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oMath>
      <w:r w:rsidR="00B634A8" w:rsidRPr="00B40008">
        <w:rPr>
          <w:rFonts w:cs="Times New Roman"/>
        </w:rPr>
        <w:t>: per-period RL reward at day t (BRL-equivalent).</w:t>
      </w:r>
    </w:p>
    <w:p w14:paraId="623AB03F" w14:textId="7B2AA5AD" w:rsidR="00747409" w:rsidRPr="00B40008" w:rsidRDefault="00000000" w:rsidP="00747409">
      <w:pPr>
        <w:widowControl/>
        <w:autoSpaceDE/>
        <w:autoSpaceDN/>
        <w:ind w:left="720"/>
        <w:rPr>
          <w:rFonts w:cs="Times New Roman"/>
          <w:color w:val="000000" w:themeColor="text1"/>
          <w:lang w:eastAsia="pt-BR"/>
        </w:rPr>
      </w:p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t+1</m:t>
            </m:r>
          </m:sub>
        </m:sSub>
      </m:oMath>
      <w:r w:rsidR="00B634A8" w:rsidRPr="00B40008">
        <w:rPr>
          <w:rFonts w:cs="Times New Roman"/>
        </w:rPr>
        <w:t>: end-of-day on-hand inventory after demand (units).</w:t>
      </w:r>
    </w:p>
    <w:p w14:paraId="00884FDC" w14:textId="68B34E19" w:rsidR="00747409" w:rsidRPr="00B40008" w:rsidRDefault="00000000" w:rsidP="00747409">
      <w:pPr>
        <w:widowControl/>
        <w:autoSpaceDE/>
        <w:autoSpaceDN/>
        <w:ind w:left="720"/>
        <w:rPr>
          <w:rFonts w:cs="Times New Roman"/>
          <w:color w:val="000000" w:themeColor="text1"/>
          <w:lang w:eastAsia="pt-BR"/>
        </w:rPr>
      </w:pP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oMath>
      <w:r w:rsidR="00747409" w:rsidRPr="00B40008">
        <w:rPr>
          <w:rFonts w:cs="Times New Roman"/>
        </w:rPr>
        <w:t xml:space="preserve">: order quantity placed </w:t>
      </w:r>
      <w:proofErr w:type="gramStart"/>
      <w:r w:rsidR="00747409" w:rsidRPr="00B40008">
        <w:rPr>
          <w:rFonts w:cs="Times New Roman"/>
        </w:rPr>
        <w:t>at day t</w:t>
      </w:r>
      <w:proofErr w:type="gramEnd"/>
      <w:r w:rsidR="00747409" w:rsidRPr="00B40008">
        <w:rPr>
          <w:rFonts w:cs="Times New Roman"/>
        </w:rPr>
        <w:t xml:space="preserve"> (units).</w:t>
      </w:r>
    </w:p>
    <w:p w14:paraId="086C5EC7" w14:textId="7A6C3899" w:rsidR="00747409" w:rsidRPr="00B40008" w:rsidRDefault="00B634A8" w:rsidP="00747409">
      <w:pPr>
        <w:widowControl/>
        <w:autoSpaceDE/>
        <w:autoSpaceDN/>
        <w:ind w:left="720"/>
        <w:rPr>
          <w:rFonts w:cs="Times New Roman"/>
          <w:color w:val="000000" w:themeColor="text1"/>
          <w:lang w:eastAsia="pt-BR"/>
        </w:rPr>
      </w:pPr>
      <m:oMath>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oMath>
      <w:r w:rsidRPr="00B40008">
        <w:rPr>
          <w:rFonts w:cs="Times New Roman"/>
        </w:rPr>
        <w:t xml:space="preserve">: lost sales </w:t>
      </w:r>
      <w:proofErr w:type="gramStart"/>
      <w:r w:rsidRPr="00B40008">
        <w:rPr>
          <w:rFonts w:cs="Times New Roman"/>
        </w:rPr>
        <w:t>at</w:t>
      </w:r>
      <w:proofErr w:type="gramEnd"/>
      <w:r w:rsidRPr="00B40008">
        <w:rPr>
          <w:rFonts w:cs="Times New Roman"/>
        </w:rPr>
        <w:t xml:space="preserve"> day t (units).</w:t>
      </w:r>
    </w:p>
    <w:p w14:paraId="407CA015" w14:textId="77DAB2E2" w:rsidR="00747409" w:rsidRPr="00B40008" w:rsidRDefault="00000000" w:rsidP="00747409">
      <w:pPr>
        <w:widowControl/>
        <w:autoSpaceDE/>
        <w:autoSpaceDN/>
        <w:ind w:left="720"/>
        <w:rPr>
          <w:rFonts w:cs="Times New Roman"/>
          <w:color w:val="000000" w:themeColor="text1"/>
          <w:lang w:eastAsia="pt-BR"/>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oMath>
      <w:r w:rsidR="00B634A8" w:rsidRPr="00B40008">
        <w:rPr>
          <w:rFonts w:cs="Times New Roman"/>
        </w:rPr>
        <w:t xml:space="preserve">: routing-cost proxy returned by the GA module (BRL-equivalent;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oMath>
      <w:r w:rsidR="00B634A8" w:rsidRPr="00B40008">
        <w:rPr>
          <w:rFonts w:cs="Times New Roman"/>
        </w:rPr>
        <w:t xml:space="preserve"> = 0 when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oMath>
      <w:r w:rsidR="00B634A8" w:rsidRPr="00B40008">
        <w:rPr>
          <w:rFonts w:cs="Times New Roman"/>
        </w:rPr>
        <w:t xml:space="preserve"> = 0 or GA is off).</w:t>
      </w:r>
    </w:p>
    <w:p w14:paraId="081615EB" w14:textId="7AA1D208" w:rsidR="00747409" w:rsidRPr="00B40008" w:rsidRDefault="00000000" w:rsidP="00747409">
      <w:pPr>
        <w:widowControl/>
        <w:autoSpaceDE/>
        <w:autoSpaceDN/>
        <w:ind w:left="720"/>
        <w:rPr>
          <w:rFonts w:cs="Times New Roman"/>
          <w:color w:val="000000" w:themeColor="text1"/>
          <w:lang w:eastAsia="pt-BR"/>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00B634A8" w:rsidRPr="00B40008">
        <w:rPr>
          <w:rFonts w:cs="Times New Roman"/>
        </w:rPr>
        <w:t>: unit-cost weight applied to the service bonus at day t (BRL/unit).</w:t>
      </w:r>
    </w:p>
    <w:p w14:paraId="525390B7" w14:textId="34B46709" w:rsidR="00747409" w:rsidRPr="00541F14" w:rsidRDefault="00000000" w:rsidP="00747409">
      <w:pPr>
        <w:widowControl/>
        <w:autoSpaceDE/>
        <w:autoSpaceDN/>
        <w:ind w:left="720"/>
        <w:rPr>
          <w:rFonts w:cs="Times New Roman"/>
        </w:rPr>
      </w:pPr>
      <w:r w:rsidRPr="00541F14">
        <w:rPr>
          <w:rFonts w:cs="Times New Roman"/>
        </w:rPr>
        <w:t xml:space="preserve">h: </w:t>
      </w:r>
      <w:proofErr w:type="gramStart"/>
      <w:r w:rsidRPr="00541F14">
        <w:rPr>
          <w:rFonts w:cs="Times New Roman"/>
        </w:rPr>
        <w:t>holding-rate</w:t>
      </w:r>
      <w:proofErr w:type="gramEnd"/>
      <w:r w:rsidRPr="00541F14">
        <w:rPr>
          <w:rFonts w:cs="Times New Roman"/>
        </w:rPr>
        <w:t xml:space="preserve"> per day (0.003), applied as </w:t>
      </w:r>
      <m:oMath>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541F14">
        <w:rPr>
          <w:rFonts w:cs="Times New Roman"/>
        </w:rPr>
        <w:t xml:space="preserve"> per unit.</w:t>
      </w:r>
    </w:p>
    <w:p w14:paraId="6AE3AD18" w14:textId="5C496A48" w:rsidR="00747409" w:rsidRPr="00541F14" w:rsidRDefault="00000000" w:rsidP="00747409">
      <w:pPr>
        <w:widowControl/>
        <w:autoSpaceDE/>
        <w:autoSpaceDN/>
        <w:ind w:left="720"/>
        <w:rPr>
          <w:rFonts w:cs="Times New Roman"/>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o</m:t>
            </m:r>
          </m:sub>
        </m:sSub>
      </m:oMath>
      <w:r w:rsidR="00B634A8" w:rsidRPr="00B40008">
        <w:rPr>
          <w:rFonts w:cs="Times New Roman"/>
        </w:rPr>
        <w:t>: per-unit ordering cost coefficient (1.5).</w:t>
      </w:r>
    </w:p>
    <w:p w14:paraId="3B747225" w14:textId="04E759AD" w:rsidR="00747409" w:rsidRPr="00B40008" w:rsidRDefault="00000000" w:rsidP="00747409">
      <w:pPr>
        <w:widowControl/>
        <w:autoSpaceDE/>
        <w:autoSpaceDN/>
        <w:ind w:left="720"/>
        <w:rPr>
          <w:rFonts w:cs="Times New Roman"/>
          <w:color w:val="000000" w:themeColor="text1"/>
          <w:lang w:eastAsia="pt-BR"/>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oMath>
      <w:r w:rsidR="00B634A8" w:rsidRPr="00B40008">
        <w:rPr>
          <w:rFonts w:cs="Times New Roman"/>
        </w:rPr>
        <w:t>: linear stockout penalty coefficient (25.0).</w:t>
      </w:r>
    </w:p>
    <w:p w14:paraId="7D4BDC2A" w14:textId="035A889E" w:rsidR="00747409" w:rsidRPr="00B40008" w:rsidRDefault="00000000" w:rsidP="00747409">
      <w:pPr>
        <w:widowControl/>
        <w:autoSpaceDE/>
        <w:autoSpaceDN/>
        <w:ind w:left="720"/>
        <w:rPr>
          <w:rFonts w:cs="Times New Roman"/>
          <w:color w:val="000000" w:themeColor="text1"/>
          <w:lang w:eastAsia="pt-BR"/>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q</m:t>
        </m:r>
      </m:oMath>
      <w:r w:rsidR="00B634A8" w:rsidRPr="00B40008">
        <w:rPr>
          <w:rFonts w:cs="Times New Roman"/>
        </w:rPr>
        <w:t>: quadratic stockout penalty coefficient (0.05).</w:t>
      </w:r>
    </w:p>
    <w:p w14:paraId="624A3895" w14:textId="6920A2F3" w:rsidR="00747409" w:rsidRPr="00B40008" w:rsidRDefault="00000000" w:rsidP="00747409">
      <w:pPr>
        <w:widowControl/>
        <w:autoSpaceDE/>
        <w:autoSpaceDN/>
        <w:ind w:left="720"/>
        <w:rPr>
          <w:rFonts w:cs="Times New Roman"/>
          <w:color w:val="000000" w:themeColor="text1"/>
          <w:lang w:eastAsia="pt-BR"/>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oMath>
      <w:r w:rsidR="00B634A8" w:rsidRPr="00B40008">
        <w:rPr>
          <w:rFonts w:cs="Times New Roman"/>
        </w:rPr>
        <w:t xml:space="preserve">: routing-cost scaling coefficient applied to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oMath>
      <w:r w:rsidR="00B634A8" w:rsidRPr="00B40008">
        <w:rPr>
          <w:rFonts w:cs="Times New Roman"/>
        </w:rPr>
        <w:t>.</w:t>
      </w:r>
    </w:p>
    <w:p w14:paraId="546999C0" w14:textId="13DEB651" w:rsidR="00997713" w:rsidRPr="00A70916" w:rsidRDefault="00997713" w:rsidP="001B58AC">
      <w:pPr>
        <w:pStyle w:val="text-base"/>
        <w:spacing w:before="0" w:after="0"/>
        <w:jc w:val="both"/>
        <w:rPr>
          <w:color w:val="000000" w:themeColor="text1"/>
          <w:lang w:val="en-US"/>
        </w:rPr>
      </w:pPr>
      <w:r w:rsidRPr="00541F14">
        <w:rPr>
          <w:b/>
          <w:bCs/>
          <w:lang w:val="en-US"/>
        </w:rPr>
        <w:t>Dimensional consistency</w:t>
      </w:r>
      <w:r w:rsidRPr="00653ACC">
        <w:rPr>
          <w:lang w:val="en-US"/>
        </w:rPr>
        <w:t xml:space="preserve">. We measure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oMath>
      <w:r w:rsidRPr="00653ACC">
        <w:rPr>
          <w:lang w:val="en-US"/>
        </w:rPr>
        <w:t xml:space="preserve">,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oMath>
      <w:r w:rsidRPr="00653ACC">
        <w:rPr>
          <w:lang w:val="en-US"/>
        </w:rPr>
        <w:t xml:space="preserve">, and </w:t>
      </w:r>
      <m:oMath>
        <m:r>
          <w:rPr>
            <w:rFonts w:ascii="Cambria Math" w:hAnsi="Cambria Math"/>
            <w:lang w:val="en-US"/>
          </w:rPr>
          <m:t>L</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oMath>
      <w:r w:rsidRPr="00653ACC">
        <w:rPr>
          <w:lang w:val="en-US"/>
        </w:rPr>
        <w:t xml:space="preserve"> in SKU-equivalent units. The coefficient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sidRPr="00653ACC">
        <w:rPr>
          <w:lang w:val="en-US"/>
        </w:rPr>
        <w:t xml:space="preserve"> maps units </w:t>
      </w:r>
      <w:r w:rsidR="00D508F7">
        <w:rPr>
          <w:lang w:val="en-US"/>
        </w:rPr>
        <w:t>to a BRL-equivalent value for holding and service terms, thereby making</w:t>
      </w:r>
      <w:r w:rsidRPr="00653ACC">
        <w:rPr>
          <w:lang w:val="en-US"/>
        </w:rPr>
        <w:t xml:space="preserve"> the aggregated controller weight service failures more strongly when the underlying mix contains higher unit values. Th</w:t>
      </w:r>
      <w:r w:rsidR="00462959">
        <w:rPr>
          <w:lang w:val="en-US"/>
        </w:rPr>
        <w:t>e</w:t>
      </w:r>
      <w:r w:rsidRPr="00653ACC">
        <w:rPr>
          <w:lang w:val="en-US"/>
        </w:rPr>
        <w:t xml:space="preserve"> scaling interacts with the discontinuous </w:t>
      </w:r>
      <m:oMath>
        <m:r>
          <w:rPr>
            <w:rFonts w:ascii="Cambria Math" w:hAnsi="Cambria Math"/>
            <w:lang w:val="en-US"/>
          </w:rPr>
          <m:t>1L</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=0</m:t>
        </m:r>
      </m:oMath>
      <w:r w:rsidRPr="00653ACC">
        <w:rPr>
          <w:lang w:val="en-US"/>
        </w:rPr>
        <w:t xml:space="preserve"> term</w:t>
      </w:r>
      <w:r w:rsidR="00D508F7">
        <w:rPr>
          <w:lang w:val="en-US"/>
        </w:rPr>
        <w:t>, motivating</w:t>
      </w:r>
      <w:r w:rsidRPr="00653ACC">
        <w:rPr>
          <w:lang w:val="en-US"/>
        </w:rPr>
        <w:t xml:space="preserve"> the reward ablation reported in Appendix E.8.</w:t>
      </w:r>
    </w:p>
    <w:p w14:paraId="723C2A9F" w14:textId="77777777" w:rsidR="00747409" w:rsidRPr="00A70916" w:rsidRDefault="00747409" w:rsidP="00997713">
      <w:pPr>
        <w:pStyle w:val="text-base"/>
        <w:spacing w:before="0" w:after="0"/>
        <w:jc w:val="both"/>
        <w:rPr>
          <w:color w:val="000000" w:themeColor="text1"/>
          <w:lang w:val="en-US"/>
        </w:rPr>
      </w:pPr>
      <w:r w:rsidRPr="00541F14">
        <w:rPr>
          <w:b/>
          <w:bCs/>
          <w:lang w:val="en-US"/>
        </w:rPr>
        <w:t>Calibration approach</w:t>
      </w:r>
      <w:r w:rsidRPr="00653ACC">
        <w:rPr>
          <w:lang w:val="en-US"/>
        </w:rPr>
        <w:t>. We selected coefficients through pilot sweeps that aimed to (</w:t>
      </w:r>
      <w:proofErr w:type="spellStart"/>
      <w:r w:rsidRPr="00653ACC">
        <w:rPr>
          <w:lang w:val="en-US"/>
        </w:rPr>
        <w:t>i</w:t>
      </w:r>
      <w:proofErr w:type="spellEnd"/>
      <w:r w:rsidRPr="00653ACC">
        <w:rPr>
          <w:lang w:val="en-US"/>
        </w:rPr>
        <w:t>) keep reward components on comparable numeric ranges, (ii) preserve the intended ordering of penalties (shortage penalties dominate holding and ordering), and (iii) avoid degenerate policies that either rarely order or typically over-order in Stable demand. Appendix E reports targeted ablations and sensitivity checks.</w:t>
      </w:r>
    </w:p>
    <w:p w14:paraId="093C07BB" w14:textId="77777777" w:rsidR="00747409" w:rsidRPr="00A70916" w:rsidRDefault="00747409" w:rsidP="001B58AC">
      <w:pPr>
        <w:pStyle w:val="Ttulo3"/>
        <w:spacing w:before="0" w:after="0"/>
      </w:pPr>
      <w:r w:rsidRPr="00A70916">
        <w:rPr>
          <w:rFonts w:eastAsia="Times New Roman"/>
          <w:sz w:val="20"/>
        </w:rPr>
        <w:t>A2: Economic Parameter Calibration</w:t>
      </w:r>
    </w:p>
    <w:p w14:paraId="5F014F0C" w14:textId="4145AFDA" w:rsidR="00747409" w:rsidRPr="00A70916" w:rsidRDefault="00747409" w:rsidP="00997713">
      <w:pPr>
        <w:pStyle w:val="text-base"/>
        <w:spacing w:before="0" w:after="0"/>
        <w:jc w:val="both"/>
        <w:rPr>
          <w:color w:val="000000" w:themeColor="text1"/>
          <w:lang w:val="en-US"/>
        </w:rPr>
      </w:pPr>
      <w:r w:rsidRPr="00541F14">
        <w:rPr>
          <w:b/>
          <w:bCs/>
          <w:lang w:val="en-US"/>
        </w:rPr>
        <w:t>Reward and cost coefficients</w:t>
      </w:r>
      <w:r w:rsidRPr="00653ACC">
        <w:rPr>
          <w:lang w:val="en-US"/>
        </w:rPr>
        <w:t>. We set cost and reward coefficients to place holding, ordering, and shortage terms on comparable numeric scales under the SKU-equivalent aggregation</w:t>
      </w:r>
      <w:r w:rsidR="00D508F7">
        <w:rPr>
          <w:lang w:val="en-US"/>
        </w:rPr>
        <w:t>, prioritizing</w:t>
      </w:r>
      <w:r w:rsidRPr="00653ACC">
        <w:rPr>
          <w:lang w:val="en-US"/>
        </w:rPr>
        <w:t xml:space="preserve"> shortage avoidance. The simulator applies a daily holding-rate h = 0.003 to the unit-cost weight</w:t>
      </w:r>
      <w:r w:rsidR="009C0FA5">
        <w:rPr>
          <w:lang w:val="en-US"/>
        </w:rPr>
        <w:t>,</w:t>
      </w:r>
      <w:r w:rsidRPr="00653ACC">
        <w:rPr>
          <w:lang w:val="en-US"/>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sidRPr="00653ACC">
        <w:rPr>
          <w:lang w:val="en-US"/>
        </w:rPr>
        <w:t xml:space="preserve">, a per-unit ordering cost coefficient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m:t>
            </m:r>
          </m:sub>
        </m:sSub>
      </m:oMath>
      <w:r w:rsidRPr="00653ACC">
        <w:rPr>
          <w:lang w:val="en-US"/>
        </w:rPr>
        <w:t xml:space="preserve"> = 1.5, linear and quadratic shortage penalties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s</m:t>
            </m:r>
          </m:sub>
        </m:sSub>
      </m:oMath>
      <w:r w:rsidRPr="00653ACC">
        <w:rPr>
          <w:lang w:val="en-US"/>
        </w:rPr>
        <w:t xml:space="preserve"> = 25.0 and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s</m:t>
            </m:r>
          </m:sub>
        </m:sSub>
        <m:r>
          <w:rPr>
            <w:rFonts w:ascii="Cambria Math" w:hAnsi="Cambria Math"/>
            <w:lang w:val="en-US"/>
          </w:rPr>
          <m:t>q</m:t>
        </m:r>
      </m:oMath>
      <w:r w:rsidRPr="00653ACC">
        <w:rPr>
          <w:lang w:val="en-US"/>
        </w:rPr>
        <w:t xml:space="preserve"> = 0.05, and a service-achievement multiplier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s</m:t>
            </m:r>
          </m:sub>
        </m:sSub>
      </m:oMath>
      <w:r w:rsidRPr="00653ACC">
        <w:rPr>
          <w:lang w:val="en-US"/>
        </w:rPr>
        <w:t xml:space="preserve"> = 8.0. We report sensitivity checks for reward shaping and action scaling in Appendix E.</w:t>
      </w:r>
    </w:p>
    <w:p w14:paraId="50426F74" w14:textId="77777777" w:rsidR="00747409" w:rsidRPr="00A70916" w:rsidRDefault="00747409" w:rsidP="00DD5FF3">
      <w:pPr>
        <w:pStyle w:val="Ttulo2"/>
      </w:pPr>
      <w:r w:rsidRPr="00A70916">
        <w:t>A</w:t>
      </w:r>
      <w:r w:rsidR="00AB3735">
        <w:t>ppendix</w:t>
      </w:r>
      <w:r w:rsidRPr="00A70916">
        <w:t xml:space="preserve"> B: Data Dictionary and Measurement Scales</w:t>
      </w:r>
    </w:p>
    <w:p w14:paraId="1FBA84CB" w14:textId="77777777" w:rsidR="00747409" w:rsidRPr="00A70916" w:rsidRDefault="00747409" w:rsidP="00AB3735">
      <w:pPr>
        <w:pStyle w:val="Ttulo3"/>
        <w:spacing w:before="0" w:after="0"/>
      </w:pPr>
      <w:r w:rsidRPr="00A70916">
        <w:rPr>
          <w:rFonts w:eastAsia="Times New Roman"/>
          <w:sz w:val="20"/>
        </w:rPr>
        <w:t>B.1 Overview</w:t>
      </w:r>
    </w:p>
    <w:p w14:paraId="51851671" w14:textId="7C011CD8" w:rsidR="00747409" w:rsidRPr="00387172" w:rsidRDefault="00387172" w:rsidP="00747409">
      <w:pPr>
        <w:pStyle w:val="text-base"/>
        <w:spacing w:before="0" w:after="0"/>
        <w:jc w:val="both"/>
        <w:rPr>
          <w:color w:val="FFC000"/>
          <w:lang w:val="en-US"/>
        </w:rPr>
      </w:pPr>
      <w:r w:rsidRPr="00791589">
        <w:rPr>
          <w:color w:val="000000" w:themeColor="text1"/>
          <w:lang w:val="en-US"/>
        </w:rPr>
        <w:t xml:space="preserve">This appendix defines the units and aggregation levels used for the key variables. </w:t>
      </w:r>
      <w:r w:rsidRPr="00387172">
        <w:rPr>
          <w:color w:val="FFC000"/>
          <w:lang w:val="en-US"/>
        </w:rPr>
        <w:t>The main results reported in Tables 3 to 6 express total cost in BRL, aggregated across the full network and over the evaluation horizon of 90 or 180 days. By contrast, intermediate quantities, including unit-cost weights, daily holding rates, and per-unit ordering costs, are defined at finer scales. Table B2 links each variable to its corresponding unit and level of aggregation</w:t>
      </w:r>
      <w:r w:rsidR="00747409" w:rsidRPr="00387172">
        <w:rPr>
          <w:color w:val="FFC000"/>
          <w:lang w:val="en-US"/>
        </w:rPr>
        <w:t>.</w:t>
      </w:r>
    </w:p>
    <w:p w14:paraId="79BADDD1" w14:textId="77777777" w:rsidR="00747409" w:rsidRPr="00A70916" w:rsidRDefault="00747409" w:rsidP="00AB3735">
      <w:pPr>
        <w:pStyle w:val="Ttulo3"/>
        <w:spacing w:before="0" w:after="0"/>
      </w:pPr>
      <w:r w:rsidRPr="00A70916">
        <w:rPr>
          <w:rFonts w:eastAsia="Times New Roman"/>
          <w:sz w:val="20"/>
        </w:rPr>
        <w:t>B.2 Variable Definitions and Measurement Scales</w:t>
      </w:r>
    </w:p>
    <w:p w14:paraId="10DC82EE" w14:textId="77777777" w:rsidR="00747409" w:rsidRPr="00A70916" w:rsidRDefault="00747409" w:rsidP="007F1654">
      <w:pPr>
        <w:pStyle w:val="Corpodetexto"/>
        <w:spacing w:before="0" w:beforeAutospacing="1" w:line="286" w:lineRule="auto"/>
        <w:ind w:left="216" w:right="14"/>
        <w:rPr>
          <w:rFonts w:cs="Times New Roman"/>
          <w:b/>
          <w:bCs/>
          <w:color w:val="000000" w:themeColor="text1"/>
          <w:sz w:val="22"/>
          <w:szCs w:val="22"/>
          <w:lang w:eastAsia="pt-BR"/>
        </w:rPr>
      </w:pPr>
      <w:r w:rsidRPr="00A70916">
        <w:rPr>
          <w:rFonts w:cs="Times New Roman"/>
          <w:b/>
          <w:bCs/>
          <w:color w:val="000000" w:themeColor="text1"/>
          <w:sz w:val="22"/>
          <w:szCs w:val="22"/>
          <w:lang w:eastAsia="pt-BR"/>
        </w:rPr>
        <w:t xml:space="preserve">Table B2: </w:t>
      </w:r>
      <w:r w:rsidRPr="00A70916">
        <w:rPr>
          <w:rFonts w:cs="Times New Roman"/>
          <w:b/>
          <w:bCs/>
          <w:color w:val="000000" w:themeColor="text1"/>
          <w:spacing w:val="-4"/>
          <w:sz w:val="22"/>
          <w:szCs w:val="22"/>
        </w:rPr>
        <w:t>Variable Definitions and Measurement Scales</w:t>
      </w:r>
    </w:p>
    <w:tbl>
      <w:tblPr>
        <w:tblStyle w:val="Tabelacomgrade"/>
        <w:tblW w:w="0" w:type="auto"/>
        <w:jc w:val="center"/>
        <w:tblLook w:val="04A0" w:firstRow="1" w:lastRow="0" w:firstColumn="1" w:lastColumn="0" w:noHBand="0" w:noVBand="1"/>
      </w:tblPr>
      <w:tblGrid>
        <w:gridCol w:w="1357"/>
        <w:gridCol w:w="1402"/>
        <w:gridCol w:w="998"/>
        <w:gridCol w:w="1558"/>
        <w:gridCol w:w="1419"/>
        <w:gridCol w:w="1681"/>
        <w:gridCol w:w="1321"/>
      </w:tblGrid>
      <w:tr w:rsidR="00A70916" w:rsidRPr="00A70916" w14:paraId="6CBBC14A" w14:textId="77777777" w:rsidTr="001E2130">
        <w:trPr>
          <w:jc w:val="center"/>
        </w:trPr>
        <w:tc>
          <w:tcPr>
            <w:tcW w:w="1398" w:type="dxa"/>
            <w:vAlign w:val="center"/>
          </w:tcPr>
          <w:p w14:paraId="76979C6E" w14:textId="77777777" w:rsidR="00747409" w:rsidRPr="00A70916" w:rsidRDefault="00747409" w:rsidP="00CE3CB4">
            <w:pPr>
              <w:jc w:val="center"/>
              <w:rPr>
                <w:rFonts w:cs="Times New Roman"/>
                <w:b/>
                <w:bCs/>
                <w:color w:val="000000" w:themeColor="text1"/>
                <w:szCs w:val="20"/>
                <w:lang w:eastAsia="pt-BR"/>
              </w:rPr>
            </w:pPr>
            <w:r w:rsidRPr="00A70916">
              <w:rPr>
                <w:rFonts w:cs="Times New Roman"/>
                <w:b/>
                <w:bCs/>
                <w:color w:val="000000" w:themeColor="text1"/>
                <w:szCs w:val="20"/>
                <w:lang w:eastAsia="pt-BR"/>
              </w:rPr>
              <w:t>Variable</w:t>
            </w:r>
          </w:p>
        </w:tc>
        <w:tc>
          <w:tcPr>
            <w:tcW w:w="1443" w:type="dxa"/>
            <w:vAlign w:val="center"/>
          </w:tcPr>
          <w:p w14:paraId="31591C1A" w14:textId="77777777" w:rsidR="00747409" w:rsidRPr="00A70916" w:rsidRDefault="00747409" w:rsidP="00CE3CB4">
            <w:pPr>
              <w:jc w:val="center"/>
              <w:rPr>
                <w:rFonts w:cs="Times New Roman"/>
                <w:b/>
                <w:bCs/>
                <w:color w:val="000000" w:themeColor="text1"/>
                <w:szCs w:val="20"/>
                <w:lang w:eastAsia="pt-BR"/>
              </w:rPr>
            </w:pPr>
            <w:r w:rsidRPr="00A70916">
              <w:rPr>
                <w:rFonts w:cs="Times New Roman"/>
                <w:b/>
                <w:bCs/>
                <w:color w:val="000000" w:themeColor="text1"/>
                <w:szCs w:val="20"/>
                <w:lang w:eastAsia="pt-BR"/>
              </w:rPr>
              <w:t>Definition</w:t>
            </w:r>
          </w:p>
        </w:tc>
        <w:tc>
          <w:tcPr>
            <w:tcW w:w="1026" w:type="dxa"/>
            <w:vAlign w:val="center"/>
          </w:tcPr>
          <w:p w14:paraId="4297D9E7" w14:textId="77777777" w:rsidR="00747409" w:rsidRPr="00A70916" w:rsidRDefault="00747409" w:rsidP="00CE3CB4">
            <w:pPr>
              <w:jc w:val="center"/>
              <w:rPr>
                <w:rFonts w:cs="Times New Roman"/>
                <w:b/>
                <w:bCs/>
                <w:color w:val="000000" w:themeColor="text1"/>
                <w:szCs w:val="20"/>
                <w:lang w:eastAsia="pt-BR"/>
              </w:rPr>
            </w:pPr>
            <w:r w:rsidRPr="00A70916">
              <w:rPr>
                <w:rFonts w:cs="Times New Roman"/>
                <w:b/>
                <w:bCs/>
                <w:color w:val="000000" w:themeColor="text1"/>
                <w:szCs w:val="20"/>
                <w:lang w:eastAsia="pt-BR"/>
              </w:rPr>
              <w:t>Unit</w:t>
            </w:r>
          </w:p>
        </w:tc>
        <w:tc>
          <w:tcPr>
            <w:tcW w:w="1578" w:type="dxa"/>
            <w:vAlign w:val="center"/>
          </w:tcPr>
          <w:p w14:paraId="568F3F32" w14:textId="77777777" w:rsidR="00747409" w:rsidRPr="00A70916" w:rsidRDefault="00747409" w:rsidP="00CE3CB4">
            <w:pPr>
              <w:jc w:val="center"/>
              <w:rPr>
                <w:rFonts w:cs="Times New Roman"/>
                <w:b/>
                <w:bCs/>
                <w:color w:val="000000" w:themeColor="text1"/>
                <w:szCs w:val="20"/>
                <w:lang w:eastAsia="pt-BR"/>
              </w:rPr>
            </w:pPr>
            <w:r w:rsidRPr="00A70916">
              <w:rPr>
                <w:rFonts w:cs="Times New Roman"/>
                <w:b/>
                <w:bCs/>
                <w:color w:val="000000" w:themeColor="text1"/>
                <w:szCs w:val="20"/>
                <w:lang w:eastAsia="pt-BR"/>
              </w:rPr>
              <w:t>Measurement Scale</w:t>
            </w:r>
          </w:p>
        </w:tc>
        <w:tc>
          <w:tcPr>
            <w:tcW w:w="1437" w:type="dxa"/>
            <w:vAlign w:val="center"/>
          </w:tcPr>
          <w:p w14:paraId="5078378E" w14:textId="77777777" w:rsidR="00747409" w:rsidRPr="00A70916" w:rsidRDefault="00747409" w:rsidP="00CE3CB4">
            <w:pPr>
              <w:jc w:val="center"/>
              <w:rPr>
                <w:rFonts w:cs="Times New Roman"/>
                <w:b/>
                <w:bCs/>
                <w:color w:val="000000" w:themeColor="text1"/>
                <w:szCs w:val="20"/>
                <w:lang w:eastAsia="pt-BR"/>
              </w:rPr>
            </w:pPr>
            <w:r w:rsidRPr="00A70916">
              <w:rPr>
                <w:rFonts w:cs="Times New Roman"/>
                <w:b/>
                <w:bCs/>
                <w:color w:val="000000" w:themeColor="text1"/>
                <w:szCs w:val="20"/>
                <w:lang w:eastAsia="pt-BR"/>
              </w:rPr>
              <w:t>Aggregation</w:t>
            </w:r>
          </w:p>
        </w:tc>
        <w:tc>
          <w:tcPr>
            <w:tcW w:w="1733" w:type="dxa"/>
            <w:vAlign w:val="center"/>
          </w:tcPr>
          <w:p w14:paraId="2EF82CFC" w14:textId="77777777" w:rsidR="00747409" w:rsidRPr="00A70916" w:rsidRDefault="00747409" w:rsidP="00CE3CB4">
            <w:pPr>
              <w:jc w:val="center"/>
              <w:rPr>
                <w:rFonts w:cs="Times New Roman"/>
                <w:b/>
                <w:bCs/>
                <w:color w:val="000000" w:themeColor="text1"/>
                <w:szCs w:val="20"/>
                <w:lang w:eastAsia="pt-BR"/>
              </w:rPr>
            </w:pPr>
            <w:r w:rsidRPr="00A70916">
              <w:rPr>
                <w:rFonts w:cs="Times New Roman"/>
                <w:b/>
                <w:bCs/>
                <w:color w:val="000000" w:themeColor="text1"/>
                <w:szCs w:val="20"/>
                <w:lang w:eastAsia="pt-BR"/>
              </w:rPr>
              <w:t>Source</w:t>
            </w:r>
          </w:p>
        </w:tc>
        <w:tc>
          <w:tcPr>
            <w:tcW w:w="1347" w:type="dxa"/>
            <w:vAlign w:val="center"/>
          </w:tcPr>
          <w:p w14:paraId="01E296B1" w14:textId="77777777" w:rsidR="00747409" w:rsidRPr="00A70916" w:rsidRDefault="00747409" w:rsidP="00CE3CB4">
            <w:pPr>
              <w:jc w:val="center"/>
              <w:rPr>
                <w:rFonts w:cs="Times New Roman"/>
                <w:b/>
                <w:bCs/>
                <w:color w:val="000000" w:themeColor="text1"/>
                <w:szCs w:val="20"/>
                <w:lang w:eastAsia="pt-BR"/>
              </w:rPr>
            </w:pPr>
            <w:r w:rsidRPr="00A70916">
              <w:rPr>
                <w:rFonts w:cs="Times New Roman"/>
                <w:b/>
                <w:bCs/>
                <w:color w:val="000000" w:themeColor="text1"/>
                <w:szCs w:val="20"/>
                <w:lang w:eastAsia="pt-BR"/>
              </w:rPr>
              <w:t>Validation</w:t>
            </w:r>
          </w:p>
        </w:tc>
      </w:tr>
      <w:tr w:rsidR="00A70916" w:rsidRPr="00A70916" w14:paraId="0862A931" w14:textId="77777777" w:rsidTr="001E2130">
        <w:trPr>
          <w:jc w:val="center"/>
        </w:trPr>
        <w:tc>
          <w:tcPr>
            <w:tcW w:w="1398" w:type="dxa"/>
            <w:vAlign w:val="center"/>
          </w:tcPr>
          <w:p w14:paraId="79F32E8A"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Cost (Daily)</w:t>
            </w:r>
          </w:p>
        </w:tc>
        <w:tc>
          <w:tcPr>
            <w:tcW w:w="1443" w:type="dxa"/>
            <w:vAlign w:val="center"/>
          </w:tcPr>
          <w:p w14:paraId="014D623E"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 xml:space="preserve">All procurement, holding, ordering, </w:t>
            </w:r>
            <w:r w:rsidRPr="00A70916">
              <w:rPr>
                <w:rFonts w:cs="Times New Roman"/>
                <w:color w:val="000000" w:themeColor="text1"/>
                <w:sz w:val="16"/>
                <w:szCs w:val="16"/>
                <w:lang w:eastAsia="pt-BR"/>
              </w:rPr>
              <w:lastRenderedPageBreak/>
              <w:t>and stockout expenses, single calendar day, all SKUs, one facility</w:t>
            </w:r>
          </w:p>
        </w:tc>
        <w:tc>
          <w:tcPr>
            <w:tcW w:w="1026" w:type="dxa"/>
            <w:vAlign w:val="center"/>
          </w:tcPr>
          <w:p w14:paraId="10BE8C9D"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lastRenderedPageBreak/>
              <w:t>BRL</w:t>
            </w:r>
          </w:p>
        </w:tc>
        <w:tc>
          <w:tcPr>
            <w:tcW w:w="1578" w:type="dxa"/>
            <w:vAlign w:val="center"/>
          </w:tcPr>
          <w:p w14:paraId="79251D54"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Per day</w:t>
            </w:r>
          </w:p>
        </w:tc>
        <w:tc>
          <w:tcPr>
            <w:tcW w:w="1437" w:type="dxa"/>
            <w:vAlign w:val="center"/>
          </w:tcPr>
          <w:p w14:paraId="1FE310FF"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Single facility</w:t>
            </w:r>
          </w:p>
        </w:tc>
        <w:tc>
          <w:tcPr>
            <w:tcW w:w="1733" w:type="dxa"/>
            <w:vAlign w:val="center"/>
          </w:tcPr>
          <w:p w14:paraId="650FD10A"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Empirical</w:t>
            </w:r>
          </w:p>
        </w:tc>
        <w:tc>
          <w:tcPr>
            <w:tcW w:w="1347" w:type="dxa"/>
            <w:vAlign w:val="center"/>
          </w:tcPr>
          <w:p w14:paraId="2AD354A3"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SESAB records audit</w:t>
            </w:r>
          </w:p>
        </w:tc>
      </w:tr>
      <w:tr w:rsidR="00A70916" w:rsidRPr="00A70916" w14:paraId="555B6B7B" w14:textId="77777777" w:rsidTr="001E2130">
        <w:trPr>
          <w:jc w:val="center"/>
        </w:trPr>
        <w:tc>
          <w:tcPr>
            <w:tcW w:w="1398" w:type="dxa"/>
            <w:vAlign w:val="center"/>
          </w:tcPr>
          <w:p w14:paraId="4C016436"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Cost (90-Day)</w:t>
            </w:r>
          </w:p>
        </w:tc>
        <w:tc>
          <w:tcPr>
            <w:tcW w:w="1443" w:type="dxa"/>
            <w:vAlign w:val="center"/>
          </w:tcPr>
          <w:p w14:paraId="6C6E5A49"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Cumulative costs across 90 consecutive days, all SKUs, three facilities</w:t>
            </w:r>
          </w:p>
        </w:tc>
        <w:tc>
          <w:tcPr>
            <w:tcW w:w="1026" w:type="dxa"/>
            <w:vAlign w:val="center"/>
          </w:tcPr>
          <w:p w14:paraId="608A8739"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BRL</w:t>
            </w:r>
          </w:p>
        </w:tc>
        <w:tc>
          <w:tcPr>
            <w:tcW w:w="1578" w:type="dxa"/>
            <w:vAlign w:val="center"/>
          </w:tcPr>
          <w:p w14:paraId="3D727458"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90-day period</w:t>
            </w:r>
          </w:p>
        </w:tc>
        <w:tc>
          <w:tcPr>
            <w:tcW w:w="1437" w:type="dxa"/>
            <w:vAlign w:val="center"/>
          </w:tcPr>
          <w:p w14:paraId="6AE61741"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3 facilities</w:t>
            </w:r>
          </w:p>
        </w:tc>
        <w:tc>
          <w:tcPr>
            <w:tcW w:w="1733" w:type="dxa"/>
            <w:vAlign w:val="center"/>
          </w:tcPr>
          <w:p w14:paraId="1816F6CD"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Simulation output</w:t>
            </w:r>
          </w:p>
        </w:tc>
        <w:tc>
          <w:tcPr>
            <w:tcW w:w="1347" w:type="dxa"/>
            <w:vAlign w:val="center"/>
          </w:tcPr>
          <w:p w14:paraId="4406D663"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Consistency check ±20%</w:t>
            </w:r>
          </w:p>
        </w:tc>
      </w:tr>
      <w:tr w:rsidR="00A70916" w:rsidRPr="00A70916" w14:paraId="732FA69D" w14:textId="77777777" w:rsidTr="001E2130">
        <w:trPr>
          <w:jc w:val="center"/>
        </w:trPr>
        <w:tc>
          <w:tcPr>
            <w:tcW w:w="1398" w:type="dxa"/>
            <w:vAlign w:val="center"/>
          </w:tcPr>
          <w:p w14:paraId="2F372D85"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Demand (Daily)</w:t>
            </w:r>
          </w:p>
        </w:tc>
        <w:tc>
          <w:tcPr>
            <w:tcW w:w="1443" w:type="dxa"/>
            <w:vAlign w:val="center"/>
          </w:tcPr>
          <w:p w14:paraId="72DA0701"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Quantity of one medication requested in one day, one facility</w:t>
            </w:r>
          </w:p>
        </w:tc>
        <w:tc>
          <w:tcPr>
            <w:tcW w:w="1026" w:type="dxa"/>
            <w:vAlign w:val="center"/>
          </w:tcPr>
          <w:p w14:paraId="314B9A57"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units</w:t>
            </w:r>
          </w:p>
        </w:tc>
        <w:tc>
          <w:tcPr>
            <w:tcW w:w="1578" w:type="dxa"/>
            <w:vAlign w:val="center"/>
          </w:tcPr>
          <w:p w14:paraId="3C6CC184"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Per day, per SKU</w:t>
            </w:r>
          </w:p>
        </w:tc>
        <w:tc>
          <w:tcPr>
            <w:tcW w:w="1437" w:type="dxa"/>
            <w:vAlign w:val="center"/>
          </w:tcPr>
          <w:p w14:paraId="3348AA7D"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Single occurrence</w:t>
            </w:r>
          </w:p>
        </w:tc>
        <w:tc>
          <w:tcPr>
            <w:tcW w:w="1733" w:type="dxa"/>
            <w:vAlign w:val="center"/>
          </w:tcPr>
          <w:p w14:paraId="05C14678"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Empirical (n=1,000)</w:t>
            </w:r>
          </w:p>
        </w:tc>
        <w:tc>
          <w:tcPr>
            <w:tcW w:w="1347" w:type="dxa"/>
            <w:vAlign w:val="center"/>
          </w:tcPr>
          <w:p w14:paraId="62B920E4"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CV literature validation ±12%</w:t>
            </w:r>
          </w:p>
        </w:tc>
      </w:tr>
      <w:tr w:rsidR="00A70916" w:rsidRPr="00A70916" w14:paraId="7FD3F2DB" w14:textId="77777777" w:rsidTr="001E2130">
        <w:trPr>
          <w:jc w:val="center"/>
        </w:trPr>
        <w:tc>
          <w:tcPr>
            <w:tcW w:w="1398" w:type="dxa"/>
            <w:vAlign w:val="center"/>
          </w:tcPr>
          <w:p w14:paraId="0617C26F"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Demand CV</w:t>
            </w:r>
          </w:p>
        </w:tc>
        <w:tc>
          <w:tcPr>
            <w:tcW w:w="1443" w:type="dxa"/>
            <w:vAlign w:val="center"/>
          </w:tcPr>
          <w:p w14:paraId="588AD74B"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Standard deviation / mean demand (relative variability)</w:t>
            </w:r>
          </w:p>
        </w:tc>
        <w:tc>
          <w:tcPr>
            <w:tcW w:w="1026" w:type="dxa"/>
            <w:vAlign w:val="center"/>
          </w:tcPr>
          <w:p w14:paraId="61723036"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Ratio</w:t>
            </w:r>
          </w:p>
        </w:tc>
        <w:tc>
          <w:tcPr>
            <w:tcW w:w="1578" w:type="dxa"/>
            <w:vAlign w:val="center"/>
          </w:tcPr>
          <w:p w14:paraId="74B06AE5"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Aggregate measure</w:t>
            </w:r>
          </w:p>
        </w:tc>
        <w:tc>
          <w:tcPr>
            <w:tcW w:w="1437" w:type="dxa"/>
            <w:vAlign w:val="center"/>
          </w:tcPr>
          <w:p w14:paraId="2F01C6E2"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Per SKU across 90 days</w:t>
            </w:r>
          </w:p>
        </w:tc>
        <w:tc>
          <w:tcPr>
            <w:tcW w:w="1733" w:type="dxa"/>
            <w:vAlign w:val="center"/>
          </w:tcPr>
          <w:p w14:paraId="723790F5"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Calculated</w:t>
            </w:r>
          </w:p>
        </w:tc>
        <w:tc>
          <w:tcPr>
            <w:tcW w:w="1347" w:type="dxa"/>
            <w:vAlign w:val="center"/>
          </w:tcPr>
          <w:p w14:paraId="58C1046F"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Empirical range 0.18–0.87</w:t>
            </w:r>
          </w:p>
        </w:tc>
      </w:tr>
      <w:tr w:rsidR="00A70916" w:rsidRPr="008D3FFF" w14:paraId="57E63AFB" w14:textId="77777777" w:rsidTr="001E2130">
        <w:trPr>
          <w:jc w:val="center"/>
        </w:trPr>
        <w:tc>
          <w:tcPr>
            <w:tcW w:w="1398" w:type="dxa"/>
            <w:vAlign w:val="center"/>
          </w:tcPr>
          <w:p w14:paraId="0118C847"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Transactions</w:t>
            </w:r>
          </w:p>
        </w:tc>
        <w:tc>
          <w:tcPr>
            <w:tcW w:w="1443" w:type="dxa"/>
            <w:vAlign w:val="center"/>
          </w:tcPr>
          <w:p w14:paraId="2EC80411"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Individual procurement or withdrawal events</w:t>
            </w:r>
          </w:p>
        </w:tc>
        <w:tc>
          <w:tcPr>
            <w:tcW w:w="1026" w:type="dxa"/>
            <w:vAlign w:val="center"/>
          </w:tcPr>
          <w:p w14:paraId="4A50C376"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Count</w:t>
            </w:r>
          </w:p>
        </w:tc>
        <w:tc>
          <w:tcPr>
            <w:tcW w:w="1578" w:type="dxa"/>
            <w:vAlign w:val="center"/>
          </w:tcPr>
          <w:p w14:paraId="17676F8E"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Single occurrence</w:t>
            </w:r>
          </w:p>
        </w:tc>
        <w:tc>
          <w:tcPr>
            <w:tcW w:w="1437" w:type="dxa"/>
            <w:vAlign w:val="center"/>
          </w:tcPr>
          <w:p w14:paraId="762F691C"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Per day per medication</w:t>
            </w:r>
          </w:p>
        </w:tc>
        <w:tc>
          <w:tcPr>
            <w:tcW w:w="1733" w:type="dxa"/>
            <w:vAlign w:val="center"/>
          </w:tcPr>
          <w:p w14:paraId="13E03ECD"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SESAB/HUPES 2022–2023</w:t>
            </w:r>
          </w:p>
        </w:tc>
        <w:tc>
          <w:tcPr>
            <w:tcW w:w="1347" w:type="dxa"/>
            <w:vAlign w:val="center"/>
          </w:tcPr>
          <w:p w14:paraId="1CD5FA0B" w14:textId="77777777" w:rsidR="00747409" w:rsidRPr="00A70916" w:rsidRDefault="00747409" w:rsidP="00CE3CB4">
            <w:pPr>
              <w:jc w:val="center"/>
              <w:rPr>
                <w:rFonts w:cs="Times New Roman"/>
                <w:color w:val="000000" w:themeColor="text1"/>
                <w:sz w:val="16"/>
                <w:szCs w:val="16"/>
                <w:lang w:val="pt-BR" w:eastAsia="pt-BR"/>
              </w:rPr>
            </w:pPr>
            <w:r w:rsidRPr="00A70916">
              <w:rPr>
                <w:rFonts w:cs="Times New Roman"/>
                <w:color w:val="000000" w:themeColor="text1"/>
                <w:sz w:val="16"/>
                <w:szCs w:val="16"/>
                <w:lang w:val="pt-BR" w:eastAsia="pt-BR"/>
              </w:rPr>
              <w:t xml:space="preserve">n=1,000 </w:t>
            </w:r>
            <w:proofErr w:type="spellStart"/>
            <w:r w:rsidRPr="00A70916">
              <w:rPr>
                <w:rFonts w:cs="Times New Roman"/>
                <w:color w:val="000000" w:themeColor="text1"/>
                <w:sz w:val="16"/>
                <w:szCs w:val="16"/>
                <w:lang w:val="pt-BR" w:eastAsia="pt-BR"/>
              </w:rPr>
              <w:t>records</w:t>
            </w:r>
            <w:proofErr w:type="spellEnd"/>
            <w:r w:rsidRPr="00A70916">
              <w:rPr>
                <w:rFonts w:cs="Times New Roman"/>
                <w:color w:val="000000" w:themeColor="text1"/>
                <w:sz w:val="16"/>
                <w:szCs w:val="16"/>
                <w:lang w:val="pt-BR" w:eastAsia="pt-BR"/>
              </w:rPr>
              <w:t xml:space="preserve"> (n=9,170 complete 2021 </w:t>
            </w:r>
            <w:proofErr w:type="spellStart"/>
            <w:r w:rsidRPr="00A70916">
              <w:rPr>
                <w:rFonts w:cs="Times New Roman"/>
                <w:color w:val="000000" w:themeColor="text1"/>
                <w:sz w:val="16"/>
                <w:szCs w:val="16"/>
                <w:lang w:val="pt-BR" w:eastAsia="pt-BR"/>
              </w:rPr>
              <w:t>database</w:t>
            </w:r>
            <w:proofErr w:type="spellEnd"/>
            <w:r w:rsidRPr="00A70916">
              <w:rPr>
                <w:rFonts w:cs="Times New Roman"/>
                <w:color w:val="000000" w:themeColor="text1"/>
                <w:sz w:val="16"/>
                <w:szCs w:val="16"/>
                <w:lang w:val="pt-BR" w:eastAsia="pt-BR"/>
              </w:rPr>
              <w:t>)</w:t>
            </w:r>
          </w:p>
        </w:tc>
      </w:tr>
      <w:tr w:rsidR="00A70916" w:rsidRPr="00A70916" w14:paraId="61A903AC" w14:textId="77777777" w:rsidTr="001E2130">
        <w:trPr>
          <w:jc w:val="center"/>
        </w:trPr>
        <w:tc>
          <w:tcPr>
            <w:tcW w:w="1398" w:type="dxa"/>
            <w:vAlign w:val="center"/>
          </w:tcPr>
          <w:p w14:paraId="367197DC"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Lead Time</w:t>
            </w:r>
          </w:p>
        </w:tc>
        <w:tc>
          <w:tcPr>
            <w:tcW w:w="1443" w:type="dxa"/>
            <w:vAlign w:val="center"/>
          </w:tcPr>
          <w:p w14:paraId="3EDBA33F"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Days between order placement and receipt</w:t>
            </w:r>
          </w:p>
        </w:tc>
        <w:tc>
          <w:tcPr>
            <w:tcW w:w="1026" w:type="dxa"/>
            <w:vAlign w:val="center"/>
          </w:tcPr>
          <w:p w14:paraId="0B1276F1"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days</w:t>
            </w:r>
          </w:p>
        </w:tc>
        <w:tc>
          <w:tcPr>
            <w:tcW w:w="1578" w:type="dxa"/>
            <w:vAlign w:val="center"/>
          </w:tcPr>
          <w:p w14:paraId="5E69A0DD"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Per order</w:t>
            </w:r>
          </w:p>
        </w:tc>
        <w:tc>
          <w:tcPr>
            <w:tcW w:w="1437" w:type="dxa"/>
            <w:vAlign w:val="center"/>
          </w:tcPr>
          <w:p w14:paraId="154D29A9"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Single procurement event</w:t>
            </w:r>
          </w:p>
        </w:tc>
        <w:tc>
          <w:tcPr>
            <w:tcW w:w="1733" w:type="dxa"/>
            <w:vAlign w:val="center"/>
          </w:tcPr>
          <w:p w14:paraId="4C43F709"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Synthetic + literature</w:t>
            </w:r>
          </w:p>
        </w:tc>
        <w:tc>
          <w:tcPr>
            <w:tcW w:w="1347" w:type="dxa"/>
            <w:vAlign w:val="center"/>
          </w:tcPr>
          <w:p w14:paraId="6668E869"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Expert agreement 94%</w:t>
            </w:r>
          </w:p>
        </w:tc>
      </w:tr>
      <w:tr w:rsidR="00A70916" w:rsidRPr="00A70916" w14:paraId="6A47249F" w14:textId="77777777" w:rsidTr="001E2130">
        <w:trPr>
          <w:jc w:val="center"/>
        </w:trPr>
        <w:tc>
          <w:tcPr>
            <w:tcW w:w="1398" w:type="dxa"/>
            <w:vAlign w:val="center"/>
          </w:tcPr>
          <w:p w14:paraId="2BFEBD2B"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Transport Cost</w:t>
            </w:r>
          </w:p>
        </w:tc>
        <w:tc>
          <w:tcPr>
            <w:tcW w:w="1443" w:type="dxa"/>
            <w:vAlign w:val="center"/>
          </w:tcPr>
          <w:p w14:paraId="66ABF2BC"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Logistical expense per distance</w:t>
            </w:r>
          </w:p>
        </w:tc>
        <w:tc>
          <w:tcPr>
            <w:tcW w:w="1026" w:type="dxa"/>
            <w:vAlign w:val="center"/>
          </w:tcPr>
          <w:p w14:paraId="6D8C0783"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BRL/km</w:t>
            </w:r>
          </w:p>
        </w:tc>
        <w:tc>
          <w:tcPr>
            <w:tcW w:w="1578" w:type="dxa"/>
            <w:vAlign w:val="center"/>
          </w:tcPr>
          <w:p w14:paraId="3009180A"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Per kilometer</w:t>
            </w:r>
          </w:p>
        </w:tc>
        <w:tc>
          <w:tcPr>
            <w:tcW w:w="1437" w:type="dxa"/>
            <w:vAlign w:val="center"/>
          </w:tcPr>
          <w:p w14:paraId="67EBFD64"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Single route</w:t>
            </w:r>
          </w:p>
        </w:tc>
        <w:tc>
          <w:tcPr>
            <w:tcW w:w="1733" w:type="dxa"/>
            <w:vAlign w:val="center"/>
          </w:tcPr>
          <w:p w14:paraId="6364C349"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Synthetic</w:t>
            </w:r>
          </w:p>
        </w:tc>
        <w:tc>
          <w:tcPr>
            <w:tcW w:w="1347" w:type="dxa"/>
            <w:vAlign w:val="center"/>
          </w:tcPr>
          <w:p w14:paraId="2BA4BF2E"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Contract validation ±15%</w:t>
            </w:r>
          </w:p>
        </w:tc>
      </w:tr>
      <w:tr w:rsidR="00A70916" w:rsidRPr="00A70916" w14:paraId="6CFBA3CF" w14:textId="77777777" w:rsidTr="001E2130">
        <w:trPr>
          <w:jc w:val="center"/>
        </w:trPr>
        <w:tc>
          <w:tcPr>
            <w:tcW w:w="1398" w:type="dxa"/>
            <w:vAlign w:val="center"/>
          </w:tcPr>
          <w:p w14:paraId="4654CA98"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Holding Cost Rate</w:t>
            </w:r>
          </w:p>
        </w:tc>
        <w:tc>
          <w:tcPr>
            <w:tcW w:w="1443" w:type="dxa"/>
            <w:vAlign w:val="center"/>
          </w:tcPr>
          <w:p w14:paraId="3DECF319"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 xml:space="preserve">Daily </w:t>
            </w:r>
            <w:proofErr w:type="gramStart"/>
            <w:r w:rsidRPr="00A70916">
              <w:rPr>
                <w:rFonts w:cs="Times New Roman"/>
                <w:color w:val="000000" w:themeColor="text1"/>
                <w:sz w:val="16"/>
                <w:szCs w:val="16"/>
                <w:lang w:eastAsia="pt-BR"/>
              </w:rPr>
              <w:t>expense</w:t>
            </w:r>
            <w:proofErr w:type="gramEnd"/>
            <w:r w:rsidRPr="00A70916">
              <w:rPr>
                <w:rFonts w:cs="Times New Roman"/>
                <w:color w:val="000000" w:themeColor="text1"/>
                <w:sz w:val="16"/>
                <w:szCs w:val="16"/>
                <w:lang w:eastAsia="pt-BR"/>
              </w:rPr>
              <w:t xml:space="preserve"> per unit held</w:t>
            </w:r>
          </w:p>
        </w:tc>
        <w:tc>
          <w:tcPr>
            <w:tcW w:w="1026" w:type="dxa"/>
            <w:vAlign w:val="center"/>
          </w:tcPr>
          <w:p w14:paraId="4636E3AB"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BRL unit⁻¹ day⁻¹</w:t>
            </w:r>
          </w:p>
        </w:tc>
        <w:tc>
          <w:tcPr>
            <w:tcW w:w="1578" w:type="dxa"/>
            <w:vAlign w:val="center"/>
          </w:tcPr>
          <w:p w14:paraId="42C8EBF1"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Per unit daily</w:t>
            </w:r>
          </w:p>
        </w:tc>
        <w:tc>
          <w:tcPr>
            <w:tcW w:w="1437" w:type="dxa"/>
            <w:vAlign w:val="center"/>
          </w:tcPr>
          <w:p w14:paraId="311047B5"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Per SKU aggregated</w:t>
            </w:r>
          </w:p>
        </w:tc>
        <w:tc>
          <w:tcPr>
            <w:tcW w:w="1733" w:type="dxa"/>
            <w:vAlign w:val="center"/>
          </w:tcPr>
          <w:p w14:paraId="589BA559" w14:textId="77777777" w:rsidR="00747409" w:rsidRPr="00A70916" w:rsidRDefault="00747409" w:rsidP="00CE3CB4">
            <w:pPr>
              <w:jc w:val="center"/>
              <w:rPr>
                <w:rFonts w:cs="Times New Roman"/>
                <w:color w:val="000000" w:themeColor="text1"/>
                <w:sz w:val="16"/>
                <w:szCs w:val="16"/>
                <w:lang w:eastAsia="pt-BR"/>
              </w:rPr>
            </w:pPr>
            <w:r w:rsidRPr="00A70916">
              <w:rPr>
                <w:rFonts w:cs="Times New Roman"/>
                <w:color w:val="000000" w:themeColor="text1"/>
                <w:sz w:val="16"/>
                <w:szCs w:val="16"/>
                <w:lang w:eastAsia="pt-BR"/>
              </w:rPr>
              <w:t>Synthetic</w:t>
            </w:r>
          </w:p>
        </w:tc>
        <w:tc>
          <w:tcPr>
            <w:tcW w:w="1347" w:type="dxa"/>
            <w:vAlign w:val="center"/>
          </w:tcPr>
          <w:p w14:paraId="662322D1" w14:textId="77777777" w:rsidR="00747409" w:rsidRPr="00A70916" w:rsidRDefault="00747409" w:rsidP="00CE3CB4">
            <w:pPr>
              <w:jc w:val="center"/>
              <w:rPr>
                <w:rFonts w:cs="Times New Roman"/>
                <w:color w:val="000000" w:themeColor="text1"/>
                <w:sz w:val="16"/>
                <w:szCs w:val="16"/>
              </w:rPr>
            </w:pPr>
            <w:r w:rsidRPr="00A70916">
              <w:rPr>
                <w:rFonts w:cs="Times New Roman"/>
                <w:color w:val="000000" w:themeColor="text1"/>
                <w:sz w:val="16"/>
                <w:szCs w:val="16"/>
                <w:lang w:eastAsia="pt-BR"/>
              </w:rPr>
              <w:t>Healthcare benchmarks ±15%</w:t>
            </w:r>
          </w:p>
        </w:tc>
      </w:tr>
    </w:tbl>
    <w:p w14:paraId="0CC82E05" w14:textId="77777777" w:rsidR="00747409" w:rsidRPr="00A70916" w:rsidRDefault="00747409" w:rsidP="007F1654">
      <w:pPr>
        <w:pStyle w:val="Ttulo3"/>
        <w:spacing w:after="0"/>
      </w:pPr>
      <w:r w:rsidRPr="00A70916">
        <w:rPr>
          <w:rFonts w:eastAsia="Times New Roman"/>
          <w:sz w:val="20"/>
        </w:rPr>
        <w:t>B.3 Scale Reconciliation Table</w:t>
      </w:r>
    </w:p>
    <w:p w14:paraId="769A25FE" w14:textId="77777777" w:rsidR="002B09AA" w:rsidRPr="00A70916" w:rsidRDefault="002B09AA" w:rsidP="007F1654">
      <w:pPr>
        <w:pStyle w:val="Corpodetexto"/>
        <w:spacing w:before="0" w:beforeAutospacing="1" w:line="286" w:lineRule="auto"/>
        <w:ind w:left="216" w:right="14"/>
        <w:rPr>
          <w:rFonts w:cs="Times New Roman"/>
          <w:b/>
          <w:bCs/>
          <w:color w:val="000000" w:themeColor="text1"/>
          <w:sz w:val="22"/>
          <w:szCs w:val="22"/>
          <w:lang w:eastAsia="pt-BR"/>
        </w:rPr>
      </w:pPr>
      <w:r w:rsidRPr="00D9647F">
        <w:rPr>
          <w:rFonts w:cs="Times New Roman"/>
          <w:b/>
          <w:bCs/>
          <w:color w:val="000000" w:themeColor="text1"/>
          <w:sz w:val="22"/>
          <w:szCs w:val="22"/>
          <w:lang w:eastAsia="pt-BR"/>
        </w:rPr>
        <w:t>Table B3: Scale Reconciliation and Optional Annualization (Code4 cost totals).</w:t>
      </w:r>
    </w:p>
    <w:tbl>
      <w:tblPr>
        <w:tblStyle w:val="Tabelacomgrade"/>
        <w:tblW w:w="0" w:type="auto"/>
        <w:jc w:val="center"/>
        <w:tblLook w:val="04A0" w:firstRow="1" w:lastRow="0" w:firstColumn="1" w:lastColumn="0" w:noHBand="0" w:noVBand="1"/>
      </w:tblPr>
      <w:tblGrid>
        <w:gridCol w:w="1946"/>
        <w:gridCol w:w="2013"/>
        <w:gridCol w:w="1661"/>
        <w:gridCol w:w="1038"/>
        <w:gridCol w:w="3078"/>
      </w:tblGrid>
      <w:tr w:rsidR="002B09AA" w:rsidRPr="00D9647F" w14:paraId="2015A884" w14:textId="77777777" w:rsidTr="00D9647F">
        <w:trPr>
          <w:jc w:val="center"/>
        </w:trPr>
        <w:tc>
          <w:tcPr>
            <w:tcW w:w="1946" w:type="dxa"/>
            <w:vAlign w:val="center"/>
          </w:tcPr>
          <w:p w14:paraId="12B0799D" w14:textId="77777777" w:rsidR="004A70BA" w:rsidRPr="00D9647F" w:rsidRDefault="00000000" w:rsidP="00D9647F">
            <w:pPr>
              <w:rPr>
                <w:rFonts w:cs="Times New Roman"/>
                <w:b/>
                <w:bCs/>
                <w:color w:val="000000" w:themeColor="text1"/>
                <w:sz w:val="18"/>
                <w:szCs w:val="18"/>
                <w:lang w:eastAsia="pt-BR"/>
              </w:rPr>
            </w:pPr>
            <w:r w:rsidRPr="00D9647F">
              <w:rPr>
                <w:rFonts w:cs="Times New Roman"/>
                <w:b/>
                <w:bCs/>
                <w:color w:val="000000" w:themeColor="text1"/>
                <w:sz w:val="18"/>
                <w:szCs w:val="18"/>
                <w:lang w:eastAsia="pt-BR"/>
              </w:rPr>
              <w:t>Scale Level</w:t>
            </w:r>
          </w:p>
        </w:tc>
        <w:tc>
          <w:tcPr>
            <w:tcW w:w="2013" w:type="dxa"/>
            <w:vAlign w:val="center"/>
          </w:tcPr>
          <w:p w14:paraId="173624B9" w14:textId="77777777" w:rsidR="004A70BA" w:rsidRPr="00D9647F" w:rsidRDefault="00000000" w:rsidP="00D9647F">
            <w:pPr>
              <w:rPr>
                <w:rFonts w:cs="Times New Roman"/>
                <w:b/>
                <w:bCs/>
                <w:color w:val="000000" w:themeColor="text1"/>
                <w:sz w:val="18"/>
                <w:szCs w:val="18"/>
                <w:lang w:eastAsia="pt-BR"/>
              </w:rPr>
            </w:pPr>
            <w:r w:rsidRPr="00D9647F">
              <w:rPr>
                <w:rFonts w:cs="Times New Roman"/>
                <w:b/>
                <w:bCs/>
                <w:color w:val="000000" w:themeColor="text1"/>
                <w:sz w:val="18"/>
                <w:szCs w:val="18"/>
                <w:lang w:eastAsia="pt-BR"/>
              </w:rPr>
              <w:t>Cost Magnitude (BRL)</w:t>
            </w:r>
          </w:p>
        </w:tc>
        <w:tc>
          <w:tcPr>
            <w:tcW w:w="1661" w:type="dxa"/>
            <w:vAlign w:val="center"/>
          </w:tcPr>
          <w:p w14:paraId="132B98E3" w14:textId="77777777" w:rsidR="004A70BA" w:rsidRPr="00D9647F" w:rsidRDefault="00000000" w:rsidP="00D9647F">
            <w:pPr>
              <w:rPr>
                <w:rFonts w:cs="Times New Roman"/>
                <w:b/>
                <w:bCs/>
                <w:color w:val="000000" w:themeColor="text1"/>
                <w:sz w:val="18"/>
                <w:szCs w:val="18"/>
                <w:lang w:eastAsia="pt-BR"/>
              </w:rPr>
            </w:pPr>
            <w:r w:rsidRPr="00D9647F">
              <w:rPr>
                <w:rFonts w:cs="Times New Roman"/>
                <w:b/>
                <w:bCs/>
                <w:color w:val="000000" w:themeColor="text1"/>
                <w:sz w:val="18"/>
                <w:szCs w:val="18"/>
                <w:lang w:eastAsia="pt-BR"/>
              </w:rPr>
              <w:t>Example (from Tables 3–6)</w:t>
            </w:r>
          </w:p>
        </w:tc>
        <w:tc>
          <w:tcPr>
            <w:tcW w:w="1038" w:type="dxa"/>
            <w:vAlign w:val="center"/>
          </w:tcPr>
          <w:p w14:paraId="0A95017A" w14:textId="77777777" w:rsidR="004A70BA" w:rsidRPr="00D9647F" w:rsidRDefault="00000000" w:rsidP="00D9647F">
            <w:pPr>
              <w:rPr>
                <w:rFonts w:cs="Times New Roman"/>
                <w:b/>
                <w:bCs/>
                <w:color w:val="000000" w:themeColor="text1"/>
                <w:sz w:val="18"/>
                <w:szCs w:val="18"/>
                <w:lang w:eastAsia="pt-BR"/>
              </w:rPr>
            </w:pPr>
            <w:r w:rsidRPr="00D9647F">
              <w:rPr>
                <w:rFonts w:cs="Times New Roman"/>
                <w:b/>
                <w:bCs/>
                <w:color w:val="000000" w:themeColor="text1"/>
                <w:sz w:val="18"/>
                <w:szCs w:val="18"/>
                <w:lang w:eastAsia="pt-BR"/>
              </w:rPr>
              <w:t>Frequency</w:t>
            </w:r>
          </w:p>
        </w:tc>
        <w:tc>
          <w:tcPr>
            <w:tcW w:w="3078" w:type="dxa"/>
            <w:vAlign w:val="center"/>
          </w:tcPr>
          <w:p w14:paraId="116663F7" w14:textId="77777777" w:rsidR="004A70BA" w:rsidRPr="00D9647F" w:rsidRDefault="00000000" w:rsidP="00D9647F">
            <w:pPr>
              <w:rPr>
                <w:rFonts w:cs="Times New Roman"/>
                <w:b/>
                <w:bCs/>
                <w:color w:val="000000" w:themeColor="text1"/>
                <w:sz w:val="18"/>
                <w:szCs w:val="18"/>
                <w:lang w:eastAsia="pt-BR"/>
              </w:rPr>
            </w:pPr>
            <w:r w:rsidRPr="00D9647F">
              <w:rPr>
                <w:rFonts w:cs="Times New Roman"/>
                <w:b/>
                <w:bCs/>
                <w:color w:val="000000" w:themeColor="text1"/>
                <w:sz w:val="18"/>
                <w:szCs w:val="18"/>
                <w:lang w:eastAsia="pt-BR"/>
              </w:rPr>
              <w:t>Notes</w:t>
            </w:r>
          </w:p>
        </w:tc>
      </w:tr>
      <w:tr w:rsidR="002B09AA" w14:paraId="22285FF6" w14:textId="77777777" w:rsidTr="00D9647F">
        <w:trPr>
          <w:jc w:val="center"/>
        </w:trPr>
        <w:tc>
          <w:tcPr>
            <w:tcW w:w="1946" w:type="dxa"/>
            <w:vAlign w:val="center"/>
          </w:tcPr>
          <w:p w14:paraId="79EE82C0" w14:textId="77777777" w:rsidR="004A70BA" w:rsidRPr="00D9647F" w:rsidRDefault="00000000" w:rsidP="00D9647F">
            <w:pPr>
              <w:rPr>
                <w:rFonts w:cs="Times New Roman"/>
                <w:sz w:val="16"/>
                <w:szCs w:val="16"/>
              </w:rPr>
            </w:pPr>
            <w:r w:rsidRPr="00D9647F">
              <w:rPr>
                <w:rFonts w:cs="Times New Roman"/>
                <w:sz w:val="16"/>
                <w:szCs w:val="16"/>
              </w:rPr>
              <w:t>90-day total cost (network, one policy)</w:t>
            </w:r>
          </w:p>
        </w:tc>
        <w:tc>
          <w:tcPr>
            <w:tcW w:w="2013" w:type="dxa"/>
            <w:vAlign w:val="center"/>
          </w:tcPr>
          <w:p w14:paraId="4E1B05CC" w14:textId="77777777" w:rsidR="004A70BA" w:rsidRPr="00D9647F" w:rsidRDefault="00000000" w:rsidP="00D9647F">
            <w:pPr>
              <w:jc w:val="center"/>
              <w:rPr>
                <w:rFonts w:cs="Times New Roman"/>
                <w:sz w:val="16"/>
                <w:szCs w:val="16"/>
              </w:rPr>
            </w:pPr>
            <w:r w:rsidRPr="00D9647F">
              <w:rPr>
                <w:rFonts w:cs="Times New Roman"/>
                <w:sz w:val="16"/>
                <w:szCs w:val="16"/>
              </w:rPr>
              <w:t>655,184–21,139,616</w:t>
            </w:r>
          </w:p>
        </w:tc>
        <w:tc>
          <w:tcPr>
            <w:tcW w:w="1661" w:type="dxa"/>
            <w:vAlign w:val="center"/>
          </w:tcPr>
          <w:p w14:paraId="7DBA3B4C" w14:textId="77777777" w:rsidR="004A70BA" w:rsidRPr="00D9647F" w:rsidRDefault="00000000" w:rsidP="00D9647F">
            <w:pPr>
              <w:jc w:val="center"/>
              <w:rPr>
                <w:rFonts w:cs="Times New Roman"/>
                <w:sz w:val="16"/>
                <w:szCs w:val="16"/>
              </w:rPr>
            </w:pPr>
            <w:r w:rsidRPr="00D9647F">
              <w:rPr>
                <w:rFonts w:cs="Times New Roman"/>
                <w:sz w:val="16"/>
                <w:szCs w:val="16"/>
              </w:rPr>
              <w:t>Stable, Hybrid AI: 655,184</w:t>
            </w:r>
          </w:p>
        </w:tc>
        <w:tc>
          <w:tcPr>
            <w:tcW w:w="1038" w:type="dxa"/>
            <w:vAlign w:val="center"/>
          </w:tcPr>
          <w:p w14:paraId="6C81CACB" w14:textId="77777777" w:rsidR="004A70BA" w:rsidRPr="00D9647F" w:rsidRDefault="00000000" w:rsidP="00D9647F">
            <w:pPr>
              <w:jc w:val="center"/>
              <w:rPr>
                <w:rFonts w:cs="Times New Roman"/>
                <w:sz w:val="16"/>
                <w:szCs w:val="16"/>
              </w:rPr>
            </w:pPr>
            <w:r w:rsidRPr="00D9647F">
              <w:rPr>
                <w:rFonts w:cs="Times New Roman"/>
                <w:sz w:val="16"/>
                <w:szCs w:val="16"/>
              </w:rPr>
              <w:t>Tables 3–6 mean</w:t>
            </w:r>
          </w:p>
        </w:tc>
        <w:tc>
          <w:tcPr>
            <w:tcW w:w="3078" w:type="dxa"/>
            <w:vAlign w:val="center"/>
          </w:tcPr>
          <w:p w14:paraId="4A4DB512" w14:textId="77777777" w:rsidR="004A70BA" w:rsidRPr="00D9647F" w:rsidRDefault="00000000" w:rsidP="00D9647F">
            <w:pPr>
              <w:rPr>
                <w:rFonts w:cs="Times New Roman"/>
                <w:sz w:val="16"/>
                <w:szCs w:val="16"/>
              </w:rPr>
            </w:pPr>
            <w:r w:rsidRPr="00D9647F">
              <w:rPr>
                <w:rFonts w:cs="Times New Roman"/>
                <w:sz w:val="16"/>
                <w:szCs w:val="16"/>
              </w:rPr>
              <w:t xml:space="preserve">Network-level totals aggregated across facilities and time over the horizon (GA on; reward = </w:t>
            </w:r>
            <w:proofErr w:type="spellStart"/>
            <w:r w:rsidRPr="00D9647F">
              <w:rPr>
                <w:rFonts w:cs="Times New Roman"/>
                <w:sz w:val="16"/>
                <w:szCs w:val="16"/>
              </w:rPr>
              <w:t>inventory_plus_routing</w:t>
            </w:r>
            <w:proofErr w:type="spellEnd"/>
            <w:r w:rsidRPr="00D9647F">
              <w:rPr>
                <w:rFonts w:cs="Times New Roman"/>
                <w:sz w:val="16"/>
                <w:szCs w:val="16"/>
              </w:rPr>
              <w:t>).</w:t>
            </w:r>
          </w:p>
        </w:tc>
      </w:tr>
      <w:tr w:rsidR="002B09AA" w14:paraId="3A91A076" w14:textId="77777777" w:rsidTr="00D9647F">
        <w:trPr>
          <w:jc w:val="center"/>
        </w:trPr>
        <w:tc>
          <w:tcPr>
            <w:tcW w:w="1946" w:type="dxa"/>
            <w:vAlign w:val="center"/>
          </w:tcPr>
          <w:p w14:paraId="01F633D7" w14:textId="77777777" w:rsidR="004A70BA" w:rsidRPr="00D9647F" w:rsidRDefault="00000000" w:rsidP="00D9647F">
            <w:pPr>
              <w:rPr>
                <w:rFonts w:cs="Times New Roman"/>
                <w:sz w:val="16"/>
                <w:szCs w:val="16"/>
              </w:rPr>
            </w:pPr>
            <w:r w:rsidRPr="00D9647F">
              <w:rPr>
                <w:rFonts w:cs="Times New Roman"/>
                <w:sz w:val="16"/>
                <w:szCs w:val="16"/>
              </w:rPr>
              <w:t>Annualized cost (network, one policy)</w:t>
            </w:r>
          </w:p>
        </w:tc>
        <w:tc>
          <w:tcPr>
            <w:tcW w:w="2013" w:type="dxa"/>
            <w:vAlign w:val="center"/>
          </w:tcPr>
          <w:p w14:paraId="5D2F7FEB" w14:textId="77777777" w:rsidR="004A70BA" w:rsidRPr="00D9647F" w:rsidRDefault="00000000" w:rsidP="00D9647F">
            <w:pPr>
              <w:jc w:val="center"/>
              <w:rPr>
                <w:rFonts w:cs="Times New Roman"/>
                <w:sz w:val="16"/>
                <w:szCs w:val="16"/>
              </w:rPr>
            </w:pPr>
            <w:r w:rsidRPr="00D9647F">
              <w:rPr>
                <w:rFonts w:cs="Times New Roman"/>
                <w:sz w:val="16"/>
                <w:szCs w:val="16"/>
              </w:rPr>
              <w:t>2,657,135–85,732,887</w:t>
            </w:r>
          </w:p>
        </w:tc>
        <w:tc>
          <w:tcPr>
            <w:tcW w:w="1661" w:type="dxa"/>
            <w:vAlign w:val="center"/>
          </w:tcPr>
          <w:p w14:paraId="024B38CA" w14:textId="77777777" w:rsidR="004A70BA" w:rsidRPr="00D9647F" w:rsidRDefault="00000000" w:rsidP="00D9647F">
            <w:pPr>
              <w:jc w:val="center"/>
              <w:rPr>
                <w:rFonts w:cs="Times New Roman"/>
                <w:sz w:val="16"/>
                <w:szCs w:val="16"/>
              </w:rPr>
            </w:pPr>
            <w:r w:rsidRPr="00D9647F">
              <w:rPr>
                <w:rFonts w:cs="Times New Roman"/>
                <w:sz w:val="16"/>
                <w:szCs w:val="16"/>
              </w:rPr>
              <w:t>655,184 × (365/90) ≈ 2,657,135</w:t>
            </w:r>
          </w:p>
        </w:tc>
        <w:tc>
          <w:tcPr>
            <w:tcW w:w="1038" w:type="dxa"/>
            <w:vAlign w:val="center"/>
          </w:tcPr>
          <w:p w14:paraId="1ACE3C68" w14:textId="77777777" w:rsidR="004A70BA" w:rsidRPr="00D9647F" w:rsidRDefault="00000000" w:rsidP="00D9647F">
            <w:pPr>
              <w:jc w:val="center"/>
              <w:rPr>
                <w:rFonts w:cs="Times New Roman"/>
                <w:sz w:val="16"/>
                <w:szCs w:val="16"/>
              </w:rPr>
            </w:pPr>
            <w:r w:rsidRPr="00D9647F">
              <w:rPr>
                <w:rFonts w:cs="Times New Roman"/>
                <w:sz w:val="16"/>
                <w:szCs w:val="16"/>
              </w:rPr>
              <w:t>Annual equivalent</w:t>
            </w:r>
          </w:p>
        </w:tc>
        <w:tc>
          <w:tcPr>
            <w:tcW w:w="3078" w:type="dxa"/>
            <w:vAlign w:val="center"/>
          </w:tcPr>
          <w:p w14:paraId="74F01CE6" w14:textId="77777777" w:rsidR="004A70BA" w:rsidRPr="00D9647F" w:rsidRDefault="00000000" w:rsidP="00D9647F">
            <w:pPr>
              <w:rPr>
                <w:rFonts w:cs="Times New Roman"/>
                <w:sz w:val="16"/>
                <w:szCs w:val="16"/>
              </w:rPr>
            </w:pPr>
            <w:r w:rsidRPr="00D9647F">
              <w:rPr>
                <w:rFonts w:cs="Times New Roman"/>
                <w:sz w:val="16"/>
                <w:szCs w:val="16"/>
              </w:rPr>
              <w:t>Annualization uses 365/T and serves only as an accounting transformation.</w:t>
            </w:r>
          </w:p>
        </w:tc>
      </w:tr>
      <w:tr w:rsidR="002B09AA" w14:paraId="0C5182C9" w14:textId="77777777" w:rsidTr="00D9647F">
        <w:trPr>
          <w:jc w:val="center"/>
        </w:trPr>
        <w:tc>
          <w:tcPr>
            <w:tcW w:w="1946" w:type="dxa"/>
            <w:vAlign w:val="center"/>
          </w:tcPr>
          <w:p w14:paraId="7FC5A0E9" w14:textId="77777777" w:rsidR="004A70BA" w:rsidRPr="00D9647F" w:rsidRDefault="00000000" w:rsidP="00D9647F">
            <w:pPr>
              <w:rPr>
                <w:rFonts w:cs="Times New Roman"/>
                <w:sz w:val="16"/>
                <w:szCs w:val="16"/>
              </w:rPr>
            </w:pPr>
            <w:r w:rsidRPr="00D9647F">
              <w:rPr>
                <w:rFonts w:cs="Times New Roman"/>
                <w:sz w:val="16"/>
                <w:szCs w:val="16"/>
              </w:rPr>
              <w:t>90-day savings vs Dynamic (network)</w:t>
            </w:r>
          </w:p>
        </w:tc>
        <w:tc>
          <w:tcPr>
            <w:tcW w:w="2013" w:type="dxa"/>
            <w:vAlign w:val="center"/>
          </w:tcPr>
          <w:p w14:paraId="5BBB06E0" w14:textId="77777777" w:rsidR="004A70BA" w:rsidRPr="00D9647F" w:rsidRDefault="00000000" w:rsidP="00D9647F">
            <w:pPr>
              <w:jc w:val="center"/>
              <w:rPr>
                <w:rFonts w:cs="Times New Roman"/>
                <w:sz w:val="16"/>
                <w:szCs w:val="16"/>
              </w:rPr>
            </w:pPr>
            <w:r w:rsidRPr="00D9647F">
              <w:rPr>
                <w:rFonts w:cs="Times New Roman"/>
                <w:sz w:val="16"/>
                <w:szCs w:val="16"/>
              </w:rPr>
              <w:t>-9,690,547–6,372,264</w:t>
            </w:r>
          </w:p>
        </w:tc>
        <w:tc>
          <w:tcPr>
            <w:tcW w:w="1661" w:type="dxa"/>
            <w:vAlign w:val="center"/>
          </w:tcPr>
          <w:p w14:paraId="31039F82" w14:textId="77777777" w:rsidR="004A70BA" w:rsidRPr="00D9647F" w:rsidRDefault="00000000" w:rsidP="00D9647F">
            <w:pPr>
              <w:jc w:val="center"/>
              <w:rPr>
                <w:rFonts w:cs="Times New Roman"/>
                <w:sz w:val="16"/>
                <w:szCs w:val="16"/>
              </w:rPr>
            </w:pPr>
            <w:r w:rsidRPr="00D9647F">
              <w:rPr>
                <w:rFonts w:cs="Times New Roman"/>
                <w:sz w:val="16"/>
                <w:szCs w:val="16"/>
              </w:rPr>
              <w:t>Supply Disruption: Dynamic − AI = -9,690,547</w:t>
            </w:r>
          </w:p>
        </w:tc>
        <w:tc>
          <w:tcPr>
            <w:tcW w:w="1038" w:type="dxa"/>
            <w:vAlign w:val="center"/>
          </w:tcPr>
          <w:p w14:paraId="730B19C9" w14:textId="77777777" w:rsidR="004A70BA" w:rsidRPr="00D9647F" w:rsidRDefault="00000000" w:rsidP="00D9647F">
            <w:pPr>
              <w:jc w:val="center"/>
              <w:rPr>
                <w:rFonts w:cs="Times New Roman"/>
                <w:sz w:val="16"/>
                <w:szCs w:val="16"/>
              </w:rPr>
            </w:pPr>
            <w:r w:rsidRPr="00D9647F">
              <w:rPr>
                <w:rFonts w:cs="Times New Roman"/>
                <w:sz w:val="16"/>
                <w:szCs w:val="16"/>
              </w:rPr>
              <w:t>Derived from Tables 3–6</w:t>
            </w:r>
          </w:p>
        </w:tc>
        <w:tc>
          <w:tcPr>
            <w:tcW w:w="3078" w:type="dxa"/>
            <w:vAlign w:val="center"/>
          </w:tcPr>
          <w:p w14:paraId="0BE932E0" w14:textId="77777777" w:rsidR="004A70BA" w:rsidRPr="00D9647F" w:rsidRDefault="00000000" w:rsidP="00D9647F">
            <w:pPr>
              <w:rPr>
                <w:rFonts w:cs="Times New Roman"/>
                <w:sz w:val="16"/>
                <w:szCs w:val="16"/>
              </w:rPr>
            </w:pPr>
            <w:r w:rsidRPr="00D9647F">
              <w:rPr>
                <w:rFonts w:cs="Times New Roman"/>
                <w:sz w:val="16"/>
                <w:szCs w:val="16"/>
              </w:rPr>
              <w:t xml:space="preserve">Positive values indicate </w:t>
            </w:r>
            <w:r w:rsidR="002B74AA">
              <w:rPr>
                <w:rFonts w:cs="Times New Roman"/>
                <w:sz w:val="16"/>
                <w:szCs w:val="16"/>
              </w:rPr>
              <w:t xml:space="preserve">a </w:t>
            </w:r>
            <w:r w:rsidRPr="00D9647F">
              <w:rPr>
                <w:rFonts w:cs="Times New Roman"/>
                <w:sz w:val="16"/>
                <w:szCs w:val="16"/>
              </w:rPr>
              <w:t>lower cost than Dynamic. Savings are positive in Stable and High Volatility, negative in Supply Disruption; Seasonal Surge remains positive vs Dynamic</w:t>
            </w:r>
            <w:r w:rsidR="002B74AA">
              <w:rPr>
                <w:rFonts w:cs="Times New Roman"/>
                <w:sz w:val="16"/>
                <w:szCs w:val="16"/>
              </w:rPr>
              <w:t>,</w:t>
            </w:r>
            <w:r w:rsidRPr="00D9647F">
              <w:rPr>
                <w:rFonts w:cs="Times New Roman"/>
                <w:sz w:val="16"/>
                <w:szCs w:val="16"/>
              </w:rPr>
              <w:t xml:space="preserve"> but AI underperforms stronger baselines.</w:t>
            </w:r>
          </w:p>
        </w:tc>
      </w:tr>
      <w:tr w:rsidR="002B09AA" w14:paraId="3CA9A49F" w14:textId="77777777" w:rsidTr="008E19C7">
        <w:trPr>
          <w:jc w:val="center"/>
        </w:trPr>
        <w:tc>
          <w:tcPr>
            <w:tcW w:w="1946" w:type="dxa"/>
            <w:tcBorders>
              <w:bottom w:val="single" w:sz="4" w:space="0" w:color="auto"/>
            </w:tcBorders>
            <w:vAlign w:val="center"/>
          </w:tcPr>
          <w:p w14:paraId="2E131078" w14:textId="77777777" w:rsidR="004A70BA" w:rsidRPr="00D9647F" w:rsidRDefault="00000000" w:rsidP="00D9647F">
            <w:pPr>
              <w:rPr>
                <w:rFonts w:cs="Times New Roman"/>
                <w:sz w:val="16"/>
                <w:szCs w:val="16"/>
              </w:rPr>
            </w:pPr>
            <w:r w:rsidRPr="00D9647F">
              <w:rPr>
                <w:rFonts w:cs="Times New Roman"/>
                <w:sz w:val="16"/>
                <w:szCs w:val="16"/>
              </w:rPr>
              <w:t>Annualized savings vs Dynamic (network)</w:t>
            </w:r>
          </w:p>
        </w:tc>
        <w:tc>
          <w:tcPr>
            <w:tcW w:w="2013" w:type="dxa"/>
            <w:tcBorders>
              <w:bottom w:val="single" w:sz="4" w:space="0" w:color="auto"/>
            </w:tcBorders>
            <w:vAlign w:val="center"/>
          </w:tcPr>
          <w:p w14:paraId="2C6B8EF5" w14:textId="77777777" w:rsidR="004A70BA" w:rsidRPr="00D9647F" w:rsidRDefault="00000000" w:rsidP="00D9647F">
            <w:pPr>
              <w:jc w:val="center"/>
              <w:rPr>
                <w:rFonts w:cs="Times New Roman"/>
                <w:sz w:val="16"/>
                <w:szCs w:val="16"/>
              </w:rPr>
            </w:pPr>
            <w:r w:rsidRPr="00D9647F">
              <w:rPr>
                <w:rFonts w:cs="Times New Roman"/>
                <w:sz w:val="16"/>
                <w:szCs w:val="16"/>
              </w:rPr>
              <w:t>-39,300,552–25,843,071</w:t>
            </w:r>
          </w:p>
        </w:tc>
        <w:tc>
          <w:tcPr>
            <w:tcW w:w="1661" w:type="dxa"/>
            <w:tcBorders>
              <w:bottom w:val="single" w:sz="4" w:space="0" w:color="auto"/>
            </w:tcBorders>
            <w:vAlign w:val="center"/>
          </w:tcPr>
          <w:p w14:paraId="35580BCB" w14:textId="77777777" w:rsidR="004A70BA" w:rsidRPr="00D9647F" w:rsidRDefault="00000000" w:rsidP="00D9647F">
            <w:pPr>
              <w:jc w:val="center"/>
              <w:rPr>
                <w:rFonts w:cs="Times New Roman"/>
                <w:sz w:val="16"/>
                <w:szCs w:val="16"/>
              </w:rPr>
            </w:pPr>
            <w:r w:rsidRPr="00D9647F">
              <w:rPr>
                <w:rFonts w:cs="Times New Roman"/>
                <w:sz w:val="16"/>
                <w:szCs w:val="16"/>
              </w:rPr>
              <w:t>(Dynamic − AI) × (365/90)</w:t>
            </w:r>
          </w:p>
        </w:tc>
        <w:tc>
          <w:tcPr>
            <w:tcW w:w="1038" w:type="dxa"/>
            <w:tcBorders>
              <w:bottom w:val="single" w:sz="4" w:space="0" w:color="auto"/>
            </w:tcBorders>
            <w:vAlign w:val="center"/>
          </w:tcPr>
          <w:p w14:paraId="0DC94CD5" w14:textId="77777777" w:rsidR="004A70BA" w:rsidRPr="00D9647F" w:rsidRDefault="00000000" w:rsidP="00D9647F">
            <w:pPr>
              <w:jc w:val="center"/>
              <w:rPr>
                <w:rFonts w:cs="Times New Roman"/>
                <w:sz w:val="16"/>
                <w:szCs w:val="16"/>
              </w:rPr>
            </w:pPr>
            <w:r w:rsidRPr="00D9647F">
              <w:rPr>
                <w:rFonts w:cs="Times New Roman"/>
                <w:sz w:val="16"/>
                <w:szCs w:val="16"/>
              </w:rPr>
              <w:t>Annual equivalent</w:t>
            </w:r>
          </w:p>
        </w:tc>
        <w:tc>
          <w:tcPr>
            <w:tcW w:w="3078" w:type="dxa"/>
            <w:tcBorders>
              <w:bottom w:val="single" w:sz="4" w:space="0" w:color="auto"/>
            </w:tcBorders>
            <w:vAlign w:val="center"/>
          </w:tcPr>
          <w:p w14:paraId="7E9531EF" w14:textId="77777777" w:rsidR="004A70BA" w:rsidRPr="00D9647F" w:rsidRDefault="00000000" w:rsidP="00D9647F">
            <w:pPr>
              <w:rPr>
                <w:rFonts w:cs="Times New Roman"/>
                <w:sz w:val="16"/>
                <w:szCs w:val="16"/>
              </w:rPr>
            </w:pPr>
            <w:r w:rsidRPr="00D9647F">
              <w:rPr>
                <w:rFonts w:cs="Times New Roman"/>
                <w:sz w:val="16"/>
                <w:szCs w:val="16"/>
              </w:rPr>
              <w:t xml:space="preserve">Same sign interpretation. Decision relevance depends on service targets and </w:t>
            </w:r>
            <w:r w:rsidR="002B74AA">
              <w:rPr>
                <w:rFonts w:cs="Times New Roman"/>
                <w:sz w:val="16"/>
                <w:szCs w:val="16"/>
              </w:rPr>
              <w:t>the valuation of the cost of stockout</w:t>
            </w:r>
            <w:r w:rsidRPr="00D9647F">
              <w:rPr>
                <w:rFonts w:cs="Times New Roman"/>
                <w:sz w:val="16"/>
                <w:szCs w:val="16"/>
              </w:rPr>
              <w:t>.</w:t>
            </w:r>
          </w:p>
        </w:tc>
      </w:tr>
      <w:tr w:rsidR="002B09AA" w14:paraId="2DF4776E" w14:textId="77777777" w:rsidTr="008E19C7">
        <w:trPr>
          <w:jc w:val="center"/>
        </w:trPr>
        <w:tc>
          <w:tcPr>
            <w:tcW w:w="1946" w:type="dxa"/>
            <w:tcBorders>
              <w:bottom w:val="single" w:sz="4" w:space="0" w:color="auto"/>
            </w:tcBorders>
            <w:vAlign w:val="center"/>
          </w:tcPr>
          <w:p w14:paraId="531D38E9" w14:textId="77777777" w:rsidR="004A70BA" w:rsidRPr="00D9647F" w:rsidRDefault="00000000" w:rsidP="00D9647F">
            <w:pPr>
              <w:rPr>
                <w:rFonts w:cs="Times New Roman"/>
                <w:sz w:val="16"/>
                <w:szCs w:val="16"/>
              </w:rPr>
            </w:pPr>
            <w:r w:rsidRPr="00D9647F">
              <w:rPr>
                <w:rFonts w:cs="Times New Roman"/>
                <w:sz w:val="16"/>
                <w:szCs w:val="16"/>
              </w:rPr>
              <w:t>Interpretation boundary</w:t>
            </w:r>
          </w:p>
        </w:tc>
        <w:tc>
          <w:tcPr>
            <w:tcW w:w="2013" w:type="dxa"/>
            <w:tcBorders>
              <w:bottom w:val="single" w:sz="4" w:space="0" w:color="auto"/>
            </w:tcBorders>
            <w:vAlign w:val="center"/>
          </w:tcPr>
          <w:p w14:paraId="231D119F" w14:textId="77777777" w:rsidR="004A70BA" w:rsidRPr="00D9647F" w:rsidRDefault="00000000" w:rsidP="00D9647F">
            <w:pPr>
              <w:jc w:val="center"/>
              <w:rPr>
                <w:rFonts w:cs="Times New Roman"/>
                <w:sz w:val="16"/>
                <w:szCs w:val="16"/>
              </w:rPr>
            </w:pPr>
            <w:r w:rsidRPr="00D9647F">
              <w:rPr>
                <w:rFonts w:cs="Times New Roman"/>
                <w:sz w:val="16"/>
                <w:szCs w:val="16"/>
              </w:rPr>
              <w:t>Context-specific</w:t>
            </w:r>
          </w:p>
        </w:tc>
        <w:tc>
          <w:tcPr>
            <w:tcW w:w="1661" w:type="dxa"/>
            <w:tcBorders>
              <w:bottom w:val="single" w:sz="4" w:space="0" w:color="auto"/>
            </w:tcBorders>
            <w:vAlign w:val="center"/>
          </w:tcPr>
          <w:p w14:paraId="2D39C579" w14:textId="77777777" w:rsidR="004A70BA" w:rsidRPr="00D9647F" w:rsidRDefault="00000000" w:rsidP="00D9647F">
            <w:pPr>
              <w:jc w:val="center"/>
              <w:rPr>
                <w:rFonts w:cs="Times New Roman"/>
                <w:sz w:val="16"/>
                <w:szCs w:val="16"/>
              </w:rPr>
            </w:pPr>
            <w:r w:rsidRPr="00D9647F">
              <w:rPr>
                <w:rFonts w:cs="Times New Roman"/>
                <w:sz w:val="16"/>
                <w:szCs w:val="16"/>
              </w:rPr>
              <w:t>Budget impact analysis requires local accounting and service constraints</w:t>
            </w:r>
          </w:p>
        </w:tc>
        <w:tc>
          <w:tcPr>
            <w:tcW w:w="1038" w:type="dxa"/>
            <w:tcBorders>
              <w:bottom w:val="single" w:sz="4" w:space="0" w:color="auto"/>
            </w:tcBorders>
            <w:vAlign w:val="center"/>
          </w:tcPr>
          <w:p w14:paraId="1C597C17" w14:textId="77777777" w:rsidR="004A70BA" w:rsidRPr="00D9647F" w:rsidRDefault="00000000" w:rsidP="00D9647F">
            <w:pPr>
              <w:jc w:val="center"/>
              <w:rPr>
                <w:rFonts w:cs="Times New Roman"/>
                <w:sz w:val="16"/>
                <w:szCs w:val="16"/>
              </w:rPr>
            </w:pPr>
            <w:r w:rsidRPr="00D9647F">
              <w:rPr>
                <w:rFonts w:cs="Times New Roman"/>
                <w:sz w:val="16"/>
                <w:szCs w:val="16"/>
              </w:rPr>
              <w:t>n/a</w:t>
            </w:r>
          </w:p>
        </w:tc>
        <w:tc>
          <w:tcPr>
            <w:tcW w:w="3078" w:type="dxa"/>
            <w:tcBorders>
              <w:bottom w:val="single" w:sz="4" w:space="0" w:color="auto"/>
            </w:tcBorders>
            <w:vAlign w:val="center"/>
          </w:tcPr>
          <w:p w14:paraId="2FFA3C9F" w14:textId="77777777" w:rsidR="004A70BA" w:rsidRPr="00D9647F" w:rsidRDefault="00000000" w:rsidP="00D9647F">
            <w:pPr>
              <w:rPr>
                <w:rFonts w:cs="Times New Roman"/>
                <w:sz w:val="16"/>
                <w:szCs w:val="16"/>
              </w:rPr>
            </w:pPr>
            <w:r w:rsidRPr="00D9647F">
              <w:rPr>
                <w:rFonts w:cs="Times New Roman"/>
                <w:sz w:val="16"/>
                <w:szCs w:val="16"/>
              </w:rPr>
              <w:t>This appendix reconciles units and aggregation levels; it does not claim payback or break-even thresholds.</w:t>
            </w:r>
          </w:p>
        </w:tc>
      </w:tr>
      <w:tr w:rsidR="00387172" w:rsidRPr="00387172" w14:paraId="310ABB3E" w14:textId="77777777" w:rsidTr="008E19C7">
        <w:trPr>
          <w:jc w:val="center"/>
        </w:trPr>
        <w:tc>
          <w:tcPr>
            <w:tcW w:w="9736" w:type="dxa"/>
            <w:gridSpan w:val="5"/>
            <w:tcBorders>
              <w:top w:val="single" w:sz="4" w:space="0" w:color="auto"/>
              <w:left w:val="nil"/>
              <w:bottom w:val="nil"/>
              <w:right w:val="nil"/>
            </w:tcBorders>
            <w:vAlign w:val="center"/>
          </w:tcPr>
          <w:p w14:paraId="2F9638B8" w14:textId="6AD3F91D" w:rsidR="008E19C7" w:rsidRPr="00387172" w:rsidRDefault="008E19C7" w:rsidP="00D9647F">
            <w:pPr>
              <w:rPr>
                <w:rFonts w:cs="Times New Roman"/>
                <w:color w:val="FFC000"/>
                <w:sz w:val="16"/>
                <w:szCs w:val="16"/>
              </w:rPr>
            </w:pPr>
            <w:r w:rsidRPr="00387172">
              <w:rPr>
                <w:rFonts w:cs="Times New Roman"/>
                <w:color w:val="FFC000"/>
                <w:sz w:val="18"/>
                <w:szCs w:val="18"/>
              </w:rPr>
              <w:t xml:space="preserve">Note: </w:t>
            </w:r>
            <w:r w:rsidR="00387172" w:rsidRPr="00387172">
              <w:rPr>
                <w:rFonts w:cs="Times New Roman"/>
                <w:color w:val="FFC000"/>
                <w:sz w:val="18"/>
                <w:szCs w:val="18"/>
              </w:rPr>
              <w:t>Tables 3</w:t>
            </w:r>
            <w:r w:rsidR="00C95B37">
              <w:rPr>
                <w:rFonts w:cs="Times New Roman"/>
                <w:color w:val="FFC000"/>
                <w:sz w:val="18"/>
                <w:szCs w:val="18"/>
              </w:rPr>
              <w:t>-</w:t>
            </w:r>
            <w:r w:rsidR="00387172" w:rsidRPr="00387172">
              <w:rPr>
                <w:rFonts w:cs="Times New Roman"/>
                <w:color w:val="FFC000"/>
                <w:sz w:val="18"/>
                <w:szCs w:val="18"/>
              </w:rPr>
              <w:t xml:space="preserve">6 report </w:t>
            </w:r>
            <w:r w:rsidR="00C95B37">
              <w:rPr>
                <w:rFonts w:cs="Times New Roman"/>
                <w:color w:val="FFC000"/>
                <w:sz w:val="18"/>
                <w:szCs w:val="18"/>
              </w:rPr>
              <w:t xml:space="preserve">the </w:t>
            </w:r>
            <w:r w:rsidR="00387172" w:rsidRPr="00387172">
              <w:rPr>
                <w:rFonts w:cs="Times New Roman"/>
                <w:color w:val="FFC000"/>
                <w:sz w:val="18"/>
                <w:szCs w:val="18"/>
              </w:rPr>
              <w:t xml:space="preserve">network total cost in BRL over the full evaluation horizon. This table summarizes the implied scale of 90-day totals and, for reference, shows an optional annual-equivalent conversion using </w:t>
            </w:r>
            <m:oMath>
              <m:r>
                <w:rPr>
                  <w:rFonts w:ascii="Cambria Math" w:hAnsi="Cambria Math" w:cs="Times New Roman"/>
                  <w:color w:val="FFC000"/>
                  <w:sz w:val="18"/>
                  <w:szCs w:val="18"/>
                </w:rPr>
                <m:t>365</m:t>
              </m:r>
              <m:r>
                <m:rPr>
                  <m:lit/>
                </m:rPr>
                <w:rPr>
                  <w:rFonts w:ascii="Cambria Math" w:hAnsi="Cambria Math" w:cs="Times New Roman"/>
                  <w:color w:val="FFC000"/>
                  <w:sz w:val="18"/>
                  <w:szCs w:val="18"/>
                </w:rPr>
                <m:t>/</m:t>
              </m:r>
              <m:r>
                <w:rPr>
                  <w:rFonts w:ascii="Cambria Math" w:hAnsi="Cambria Math" w:cs="Times New Roman"/>
                  <w:color w:val="FFC000"/>
                  <w:sz w:val="18"/>
                  <w:szCs w:val="18"/>
                </w:rPr>
                <m:t>90 ≈ 4.06</m:t>
              </m:r>
            </m:oMath>
            <w:r w:rsidR="00387172" w:rsidRPr="00387172">
              <w:rPr>
                <w:rFonts w:cs="Times New Roman"/>
                <w:color w:val="FFC000"/>
                <w:sz w:val="18"/>
                <w:szCs w:val="18"/>
              </w:rPr>
              <w:t>. The conversion changes the unit of expression, not the policy ranking,</w:t>
            </w:r>
          </w:p>
        </w:tc>
      </w:tr>
    </w:tbl>
    <w:p w14:paraId="16967E5F" w14:textId="1129282A" w:rsidR="002B09AA" w:rsidRPr="00D9647F" w:rsidRDefault="002B09AA" w:rsidP="007F1654">
      <w:pPr>
        <w:spacing w:after="240"/>
        <w:jc w:val="both"/>
        <w:rPr>
          <w:rFonts w:cs="Times New Roman"/>
          <w:sz w:val="18"/>
          <w:szCs w:val="18"/>
        </w:rPr>
      </w:pPr>
    </w:p>
    <w:p w14:paraId="267AB9F6" w14:textId="77777777" w:rsidR="00747409" w:rsidRPr="00A70916" w:rsidRDefault="00747409" w:rsidP="007F1654">
      <w:pPr>
        <w:pStyle w:val="Ttulo3"/>
        <w:spacing w:after="0"/>
      </w:pPr>
      <w:r w:rsidRPr="00A70916">
        <w:rPr>
          <w:rFonts w:eastAsia="Times New Roman"/>
          <w:sz w:val="20"/>
        </w:rPr>
        <w:t>B.4 Data Quality and Validation Summary</w:t>
      </w:r>
    </w:p>
    <w:p w14:paraId="4D3CD5BA" w14:textId="77777777" w:rsidR="00747409" w:rsidRPr="00A70916" w:rsidRDefault="00747409" w:rsidP="007F1654">
      <w:pPr>
        <w:pStyle w:val="Corpodetexto"/>
        <w:spacing w:before="0" w:beforeAutospacing="1" w:line="286" w:lineRule="auto"/>
        <w:ind w:left="216" w:right="14"/>
        <w:rPr>
          <w:rFonts w:cs="Times New Roman"/>
          <w:b/>
          <w:bCs/>
          <w:color w:val="000000" w:themeColor="text1"/>
          <w:sz w:val="22"/>
          <w:szCs w:val="22"/>
          <w:lang w:eastAsia="pt-BR"/>
        </w:rPr>
      </w:pPr>
      <w:r w:rsidRPr="00A70916">
        <w:rPr>
          <w:rFonts w:cs="Times New Roman"/>
          <w:b/>
          <w:bCs/>
          <w:color w:val="000000" w:themeColor="text1"/>
          <w:sz w:val="22"/>
          <w:szCs w:val="22"/>
          <w:lang w:eastAsia="pt-BR"/>
        </w:rPr>
        <w:t xml:space="preserve">Table B4: </w:t>
      </w:r>
      <w:r w:rsidRPr="00A70916">
        <w:rPr>
          <w:rFonts w:cs="Times New Roman"/>
          <w:b/>
          <w:bCs/>
          <w:color w:val="000000" w:themeColor="text1"/>
          <w:spacing w:val="-4"/>
          <w:sz w:val="22"/>
          <w:szCs w:val="22"/>
        </w:rPr>
        <w:t>Data Quality and Validation Summary</w:t>
      </w:r>
    </w:p>
    <w:tbl>
      <w:tblPr>
        <w:tblStyle w:val="Tabelacomgrade"/>
        <w:tblW w:w="0" w:type="auto"/>
        <w:jc w:val="center"/>
        <w:tblLook w:val="04A0" w:firstRow="1" w:lastRow="0" w:firstColumn="1" w:lastColumn="0" w:noHBand="0" w:noVBand="1"/>
      </w:tblPr>
      <w:tblGrid>
        <w:gridCol w:w="2379"/>
        <w:gridCol w:w="1545"/>
        <w:gridCol w:w="1452"/>
        <w:gridCol w:w="1075"/>
        <w:gridCol w:w="3264"/>
      </w:tblGrid>
      <w:tr w:rsidR="00A70916" w:rsidRPr="001E2130" w14:paraId="6DE8FB15" w14:textId="77777777" w:rsidTr="001E2130">
        <w:trPr>
          <w:jc w:val="center"/>
        </w:trPr>
        <w:tc>
          <w:tcPr>
            <w:tcW w:w="2379" w:type="dxa"/>
            <w:vAlign w:val="center"/>
          </w:tcPr>
          <w:p w14:paraId="31E025BA" w14:textId="77777777" w:rsidR="00747409" w:rsidRPr="001E2130" w:rsidRDefault="00747409" w:rsidP="001E2130">
            <w:pPr>
              <w:jc w:val="center"/>
              <w:rPr>
                <w:rFonts w:cs="Times New Roman"/>
                <w:b/>
                <w:bCs/>
                <w:color w:val="000000" w:themeColor="text1"/>
                <w:szCs w:val="20"/>
              </w:rPr>
            </w:pPr>
            <w:r w:rsidRPr="001E2130">
              <w:rPr>
                <w:rFonts w:cs="Times New Roman"/>
                <w:b/>
                <w:bCs/>
                <w:color w:val="000000" w:themeColor="text1"/>
                <w:szCs w:val="20"/>
              </w:rPr>
              <w:t>Metric</w:t>
            </w:r>
          </w:p>
        </w:tc>
        <w:tc>
          <w:tcPr>
            <w:tcW w:w="1545" w:type="dxa"/>
            <w:vAlign w:val="center"/>
          </w:tcPr>
          <w:p w14:paraId="7F140C49" w14:textId="77777777" w:rsidR="00747409" w:rsidRPr="001E2130" w:rsidRDefault="00747409" w:rsidP="00CE3CB4">
            <w:pPr>
              <w:jc w:val="center"/>
              <w:rPr>
                <w:rFonts w:cs="Times New Roman"/>
                <w:b/>
                <w:bCs/>
                <w:color w:val="000000" w:themeColor="text1"/>
                <w:szCs w:val="20"/>
              </w:rPr>
            </w:pPr>
            <w:r w:rsidRPr="001E2130">
              <w:rPr>
                <w:rFonts w:cs="Times New Roman"/>
                <w:b/>
                <w:bCs/>
                <w:color w:val="000000" w:themeColor="text1"/>
                <w:szCs w:val="20"/>
              </w:rPr>
              <w:t>Actual Value</w:t>
            </w:r>
          </w:p>
        </w:tc>
        <w:tc>
          <w:tcPr>
            <w:tcW w:w="1452" w:type="dxa"/>
            <w:vAlign w:val="center"/>
          </w:tcPr>
          <w:p w14:paraId="3F2843CE" w14:textId="77777777" w:rsidR="00747409" w:rsidRPr="001E2130" w:rsidRDefault="00747409" w:rsidP="00CE3CB4">
            <w:pPr>
              <w:jc w:val="center"/>
              <w:rPr>
                <w:rFonts w:cs="Times New Roman"/>
                <w:b/>
                <w:bCs/>
                <w:color w:val="000000" w:themeColor="text1"/>
                <w:szCs w:val="20"/>
              </w:rPr>
            </w:pPr>
            <w:r w:rsidRPr="001E2130">
              <w:rPr>
                <w:rFonts w:cs="Times New Roman"/>
                <w:b/>
                <w:bCs/>
                <w:color w:val="000000" w:themeColor="text1"/>
                <w:szCs w:val="20"/>
              </w:rPr>
              <w:t>Benchmark</w:t>
            </w:r>
          </w:p>
        </w:tc>
        <w:tc>
          <w:tcPr>
            <w:tcW w:w="1075" w:type="dxa"/>
            <w:vAlign w:val="center"/>
          </w:tcPr>
          <w:p w14:paraId="06BE1646" w14:textId="77777777" w:rsidR="00747409" w:rsidRPr="001E2130" w:rsidRDefault="00747409" w:rsidP="00CE3CB4">
            <w:pPr>
              <w:jc w:val="center"/>
              <w:rPr>
                <w:rFonts w:cs="Times New Roman"/>
                <w:b/>
                <w:bCs/>
                <w:color w:val="000000" w:themeColor="text1"/>
                <w:szCs w:val="20"/>
              </w:rPr>
            </w:pPr>
            <w:r w:rsidRPr="001E2130">
              <w:rPr>
                <w:rFonts w:cs="Times New Roman"/>
                <w:b/>
                <w:bCs/>
                <w:color w:val="000000" w:themeColor="text1"/>
                <w:szCs w:val="20"/>
              </w:rPr>
              <w:t>Status</w:t>
            </w:r>
          </w:p>
        </w:tc>
        <w:tc>
          <w:tcPr>
            <w:tcW w:w="3264" w:type="dxa"/>
            <w:vAlign w:val="center"/>
          </w:tcPr>
          <w:p w14:paraId="45692624" w14:textId="77777777" w:rsidR="00747409" w:rsidRPr="001E2130" w:rsidRDefault="00747409" w:rsidP="001E2130">
            <w:pPr>
              <w:rPr>
                <w:rFonts w:cs="Times New Roman"/>
                <w:b/>
                <w:bCs/>
                <w:color w:val="000000" w:themeColor="text1"/>
                <w:szCs w:val="20"/>
              </w:rPr>
            </w:pPr>
            <w:r w:rsidRPr="001E2130">
              <w:rPr>
                <w:rFonts w:cs="Times New Roman"/>
                <w:b/>
                <w:bCs/>
                <w:color w:val="000000" w:themeColor="text1"/>
                <w:szCs w:val="20"/>
              </w:rPr>
              <w:t>Implication</w:t>
            </w:r>
          </w:p>
        </w:tc>
      </w:tr>
      <w:tr w:rsidR="00A70916" w:rsidRPr="001C4BA5" w14:paraId="4EE0966F" w14:textId="77777777" w:rsidTr="001E2130">
        <w:trPr>
          <w:jc w:val="center"/>
        </w:trPr>
        <w:tc>
          <w:tcPr>
            <w:tcW w:w="2379" w:type="dxa"/>
            <w:vAlign w:val="center"/>
          </w:tcPr>
          <w:p w14:paraId="1DF543D3" w14:textId="77777777" w:rsidR="00747409" w:rsidRPr="001C4BA5" w:rsidRDefault="00747409" w:rsidP="001E2130">
            <w:pPr>
              <w:jc w:val="center"/>
              <w:rPr>
                <w:rFonts w:cs="Times New Roman"/>
                <w:color w:val="000000" w:themeColor="text1"/>
                <w:sz w:val="18"/>
                <w:szCs w:val="18"/>
              </w:rPr>
            </w:pPr>
            <w:r w:rsidRPr="001C4BA5">
              <w:rPr>
                <w:rFonts w:cs="Times New Roman"/>
                <w:color w:val="000000" w:themeColor="text1"/>
                <w:sz w:val="18"/>
                <w:szCs w:val="18"/>
              </w:rPr>
              <w:t>Empirical demand records (n)</w:t>
            </w:r>
          </w:p>
        </w:tc>
        <w:tc>
          <w:tcPr>
            <w:tcW w:w="1545" w:type="dxa"/>
            <w:vAlign w:val="center"/>
          </w:tcPr>
          <w:p w14:paraId="6537BE68"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1,000 movement events</w:t>
            </w:r>
          </w:p>
        </w:tc>
        <w:tc>
          <w:tcPr>
            <w:tcW w:w="1452" w:type="dxa"/>
            <w:vAlign w:val="center"/>
          </w:tcPr>
          <w:p w14:paraId="269083EF"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Min. 50/SKU for proof-of-concept</w:t>
            </w:r>
          </w:p>
        </w:tc>
        <w:tc>
          <w:tcPr>
            <w:tcW w:w="1075" w:type="dxa"/>
            <w:vAlign w:val="center"/>
          </w:tcPr>
          <w:p w14:paraId="11222DBC"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Adequate for simulation</w:t>
            </w:r>
          </w:p>
        </w:tc>
        <w:tc>
          <w:tcPr>
            <w:tcW w:w="3264" w:type="dxa"/>
            <w:vAlign w:val="center"/>
          </w:tcPr>
          <w:p w14:paraId="67414AD4" w14:textId="77777777" w:rsidR="00747409" w:rsidRPr="001C4BA5" w:rsidRDefault="00747409" w:rsidP="001E2130">
            <w:pPr>
              <w:rPr>
                <w:rFonts w:cs="Times New Roman"/>
                <w:color w:val="000000" w:themeColor="text1"/>
                <w:sz w:val="18"/>
                <w:szCs w:val="18"/>
              </w:rPr>
            </w:pPr>
            <w:r w:rsidRPr="001C4BA5">
              <w:rPr>
                <w:rFonts w:cs="Times New Roman"/>
                <w:color w:val="000000" w:themeColor="text1"/>
                <w:sz w:val="18"/>
                <w:szCs w:val="18"/>
              </w:rPr>
              <w:t>Sufficient for algorithm benchmarking; limited for production deployment</w:t>
            </w:r>
          </w:p>
        </w:tc>
      </w:tr>
      <w:tr w:rsidR="00A70916" w:rsidRPr="001C4BA5" w14:paraId="359399FD" w14:textId="77777777" w:rsidTr="001E2130">
        <w:trPr>
          <w:jc w:val="center"/>
        </w:trPr>
        <w:tc>
          <w:tcPr>
            <w:tcW w:w="2379" w:type="dxa"/>
            <w:vAlign w:val="center"/>
          </w:tcPr>
          <w:p w14:paraId="18F7FDFD" w14:textId="77777777" w:rsidR="00747409" w:rsidRPr="001C4BA5" w:rsidRDefault="00747409" w:rsidP="001E2130">
            <w:pPr>
              <w:jc w:val="center"/>
              <w:rPr>
                <w:rFonts w:cs="Times New Roman"/>
                <w:color w:val="000000" w:themeColor="text1"/>
                <w:sz w:val="18"/>
                <w:szCs w:val="18"/>
              </w:rPr>
            </w:pPr>
            <w:r w:rsidRPr="001C4BA5">
              <w:rPr>
                <w:rFonts w:cs="Times New Roman"/>
                <w:color w:val="000000" w:themeColor="text1"/>
                <w:sz w:val="18"/>
                <w:szCs w:val="18"/>
              </w:rPr>
              <w:t>Records per SKU (mean)</w:t>
            </w:r>
          </w:p>
        </w:tc>
        <w:tc>
          <w:tcPr>
            <w:tcW w:w="1545" w:type="dxa"/>
            <w:vAlign w:val="center"/>
          </w:tcPr>
          <w:p w14:paraId="7CD78855"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20</w:t>
            </w:r>
          </w:p>
        </w:tc>
        <w:tc>
          <w:tcPr>
            <w:tcW w:w="1452" w:type="dxa"/>
            <w:vAlign w:val="center"/>
          </w:tcPr>
          <w:p w14:paraId="73961245"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Target 50–100</w:t>
            </w:r>
          </w:p>
        </w:tc>
        <w:tc>
          <w:tcPr>
            <w:tcW w:w="1075" w:type="dxa"/>
            <w:vAlign w:val="center"/>
          </w:tcPr>
          <w:p w14:paraId="5F47E8C3"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Marginal</w:t>
            </w:r>
          </w:p>
        </w:tc>
        <w:tc>
          <w:tcPr>
            <w:tcW w:w="3264" w:type="dxa"/>
            <w:vAlign w:val="center"/>
          </w:tcPr>
          <w:p w14:paraId="64B958E1" w14:textId="77777777" w:rsidR="00747409" w:rsidRPr="001C4BA5" w:rsidRDefault="00747409" w:rsidP="001E2130">
            <w:pPr>
              <w:rPr>
                <w:rFonts w:cs="Times New Roman"/>
                <w:color w:val="000000" w:themeColor="text1"/>
                <w:sz w:val="18"/>
                <w:szCs w:val="18"/>
              </w:rPr>
            </w:pPr>
            <w:r w:rsidRPr="001C4BA5">
              <w:rPr>
                <w:rFonts w:cs="Times New Roman"/>
                <w:color w:val="000000" w:themeColor="text1"/>
                <w:sz w:val="18"/>
                <w:szCs w:val="18"/>
              </w:rPr>
              <w:t xml:space="preserve">Acceptable validation </w:t>
            </w:r>
            <w:proofErr w:type="gramStart"/>
            <w:r w:rsidRPr="001C4BA5">
              <w:rPr>
                <w:rFonts w:cs="Times New Roman"/>
                <w:color w:val="000000" w:themeColor="text1"/>
                <w:sz w:val="18"/>
                <w:szCs w:val="18"/>
              </w:rPr>
              <w:t>tolerances;</w:t>
            </w:r>
            <w:proofErr w:type="gramEnd"/>
            <w:r w:rsidRPr="001C4BA5">
              <w:rPr>
                <w:rFonts w:cs="Times New Roman"/>
                <w:color w:val="000000" w:themeColor="text1"/>
                <w:sz w:val="18"/>
                <w:szCs w:val="18"/>
              </w:rPr>
              <w:t xml:space="preserve"> future work requires expansion to 24–36 months per facility</w:t>
            </w:r>
          </w:p>
        </w:tc>
      </w:tr>
      <w:tr w:rsidR="00A70916" w:rsidRPr="001C4BA5" w14:paraId="7BA81985" w14:textId="77777777" w:rsidTr="001E2130">
        <w:trPr>
          <w:jc w:val="center"/>
        </w:trPr>
        <w:tc>
          <w:tcPr>
            <w:tcW w:w="2379" w:type="dxa"/>
            <w:vAlign w:val="center"/>
          </w:tcPr>
          <w:p w14:paraId="7A87481D" w14:textId="77777777" w:rsidR="00747409" w:rsidRPr="001C4BA5" w:rsidRDefault="00747409" w:rsidP="001E2130">
            <w:pPr>
              <w:jc w:val="center"/>
              <w:rPr>
                <w:rFonts w:cs="Times New Roman"/>
                <w:color w:val="000000" w:themeColor="text1"/>
                <w:sz w:val="18"/>
                <w:szCs w:val="18"/>
              </w:rPr>
            </w:pPr>
            <w:r w:rsidRPr="001C4BA5">
              <w:rPr>
                <w:rFonts w:cs="Times New Roman"/>
                <w:color w:val="000000" w:themeColor="text1"/>
                <w:sz w:val="18"/>
                <w:szCs w:val="18"/>
              </w:rPr>
              <w:t>Coefficient of variation (empirical vs. literature)</w:t>
            </w:r>
          </w:p>
        </w:tc>
        <w:tc>
          <w:tcPr>
            <w:tcW w:w="1545" w:type="dxa"/>
            <w:vAlign w:val="center"/>
          </w:tcPr>
          <w:p w14:paraId="32E66C22"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CV empirical 0.42 vs. CV literature 0.38–</w:t>
            </w:r>
            <w:r w:rsidRPr="001C4BA5">
              <w:rPr>
                <w:rFonts w:cs="Times New Roman"/>
                <w:color w:val="000000" w:themeColor="text1"/>
                <w:sz w:val="18"/>
                <w:szCs w:val="18"/>
              </w:rPr>
              <w:lastRenderedPageBreak/>
              <w:t>0.51</w:t>
            </w:r>
          </w:p>
        </w:tc>
        <w:tc>
          <w:tcPr>
            <w:tcW w:w="1452" w:type="dxa"/>
            <w:vAlign w:val="center"/>
          </w:tcPr>
          <w:p w14:paraId="4CCF27E5"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lastRenderedPageBreak/>
              <w:t>Tolerance ±15%</w:t>
            </w:r>
          </w:p>
        </w:tc>
        <w:tc>
          <w:tcPr>
            <w:tcW w:w="1075" w:type="dxa"/>
            <w:vAlign w:val="center"/>
          </w:tcPr>
          <w:p w14:paraId="423A6A56"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Within tolerance</w:t>
            </w:r>
          </w:p>
        </w:tc>
        <w:tc>
          <w:tcPr>
            <w:tcW w:w="3264" w:type="dxa"/>
            <w:vAlign w:val="center"/>
          </w:tcPr>
          <w:p w14:paraId="560E3F88" w14:textId="77777777" w:rsidR="00747409" w:rsidRPr="001C4BA5" w:rsidRDefault="00747409" w:rsidP="001E2130">
            <w:pPr>
              <w:rPr>
                <w:rFonts w:cs="Times New Roman"/>
                <w:color w:val="000000" w:themeColor="text1"/>
                <w:sz w:val="18"/>
                <w:szCs w:val="18"/>
              </w:rPr>
            </w:pPr>
            <w:r w:rsidRPr="001C4BA5">
              <w:rPr>
                <w:rFonts w:cs="Times New Roman"/>
                <w:color w:val="000000" w:themeColor="text1"/>
                <w:sz w:val="18"/>
                <w:szCs w:val="18"/>
              </w:rPr>
              <w:t>Demand distributions validated as realistic</w:t>
            </w:r>
          </w:p>
        </w:tc>
      </w:tr>
      <w:tr w:rsidR="00A70916" w:rsidRPr="001C4BA5" w14:paraId="025E0A3E" w14:textId="77777777" w:rsidTr="001E2130">
        <w:trPr>
          <w:jc w:val="center"/>
        </w:trPr>
        <w:tc>
          <w:tcPr>
            <w:tcW w:w="2379" w:type="dxa"/>
            <w:vAlign w:val="center"/>
          </w:tcPr>
          <w:p w14:paraId="7AE810B4" w14:textId="77777777" w:rsidR="00747409" w:rsidRPr="001C4BA5" w:rsidRDefault="00747409" w:rsidP="001E2130">
            <w:pPr>
              <w:jc w:val="center"/>
              <w:rPr>
                <w:rFonts w:cs="Times New Roman"/>
                <w:color w:val="000000" w:themeColor="text1"/>
                <w:sz w:val="18"/>
                <w:szCs w:val="18"/>
              </w:rPr>
            </w:pPr>
            <w:r w:rsidRPr="001C4BA5">
              <w:rPr>
                <w:rFonts w:cs="Times New Roman"/>
                <w:color w:val="000000" w:themeColor="text1"/>
                <w:sz w:val="18"/>
                <w:szCs w:val="18"/>
              </w:rPr>
              <w:t>Expert validation (synthetic parameters)</w:t>
            </w:r>
          </w:p>
        </w:tc>
        <w:tc>
          <w:tcPr>
            <w:tcW w:w="1545" w:type="dxa"/>
            <w:vAlign w:val="center"/>
          </w:tcPr>
          <w:p w14:paraId="33D5C04E"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94% agreement</w:t>
            </w:r>
          </w:p>
        </w:tc>
        <w:tc>
          <w:tcPr>
            <w:tcW w:w="1452" w:type="dxa"/>
            <w:vAlign w:val="center"/>
          </w:tcPr>
          <w:p w14:paraId="2A3F2E01"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Target ≥85%</w:t>
            </w:r>
          </w:p>
        </w:tc>
        <w:tc>
          <w:tcPr>
            <w:tcW w:w="1075" w:type="dxa"/>
            <w:vAlign w:val="center"/>
          </w:tcPr>
          <w:p w14:paraId="54D4A2A5"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High agreement</w:t>
            </w:r>
          </w:p>
        </w:tc>
        <w:tc>
          <w:tcPr>
            <w:tcW w:w="3264" w:type="dxa"/>
            <w:vAlign w:val="center"/>
          </w:tcPr>
          <w:p w14:paraId="7C707C50" w14:textId="77777777" w:rsidR="00747409" w:rsidRPr="001C4BA5" w:rsidRDefault="00747409" w:rsidP="001E2130">
            <w:pPr>
              <w:rPr>
                <w:rFonts w:cs="Times New Roman"/>
                <w:color w:val="000000" w:themeColor="text1"/>
                <w:sz w:val="18"/>
                <w:szCs w:val="18"/>
              </w:rPr>
            </w:pPr>
            <w:r w:rsidRPr="001C4BA5">
              <w:rPr>
                <w:rFonts w:cs="Times New Roman"/>
                <w:color w:val="000000" w:themeColor="text1"/>
                <w:sz w:val="18"/>
                <w:szCs w:val="18"/>
              </w:rPr>
              <w:t>Lead times, transport, and holding cost rates confirmed as realistic by 15-year and 22-year logistics practitioners</w:t>
            </w:r>
          </w:p>
        </w:tc>
      </w:tr>
      <w:tr w:rsidR="00A70916" w:rsidRPr="001C4BA5" w14:paraId="7501DA3C" w14:textId="77777777" w:rsidTr="001E2130">
        <w:trPr>
          <w:jc w:val="center"/>
        </w:trPr>
        <w:tc>
          <w:tcPr>
            <w:tcW w:w="2379" w:type="dxa"/>
            <w:vAlign w:val="center"/>
          </w:tcPr>
          <w:p w14:paraId="6CBBA5B1" w14:textId="77777777" w:rsidR="00747409" w:rsidRPr="001C4BA5" w:rsidRDefault="00747409" w:rsidP="001E2130">
            <w:pPr>
              <w:jc w:val="center"/>
              <w:rPr>
                <w:rFonts w:cs="Times New Roman"/>
                <w:color w:val="000000" w:themeColor="text1"/>
                <w:sz w:val="18"/>
                <w:szCs w:val="18"/>
              </w:rPr>
            </w:pPr>
            <w:r w:rsidRPr="001C4BA5">
              <w:rPr>
                <w:rFonts w:cs="Times New Roman"/>
                <w:color w:val="000000" w:themeColor="text1"/>
                <w:sz w:val="18"/>
                <w:szCs w:val="18"/>
              </w:rPr>
              <w:t>Sensitivity analysis (policy ranking stability)</w:t>
            </w:r>
          </w:p>
        </w:tc>
        <w:tc>
          <w:tcPr>
            <w:tcW w:w="1545" w:type="dxa"/>
            <w:vAlign w:val="center"/>
          </w:tcPr>
          <w:p w14:paraId="75D067D8"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Kendall's τ 0.85–0.92</w:t>
            </w:r>
          </w:p>
        </w:tc>
        <w:tc>
          <w:tcPr>
            <w:tcW w:w="1452" w:type="dxa"/>
            <w:vAlign w:val="center"/>
          </w:tcPr>
          <w:p w14:paraId="572CB3A4"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Stability threshold ≥0.80</w:t>
            </w:r>
          </w:p>
        </w:tc>
        <w:tc>
          <w:tcPr>
            <w:tcW w:w="1075" w:type="dxa"/>
            <w:vAlign w:val="center"/>
          </w:tcPr>
          <w:p w14:paraId="68F48340"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Stable</w:t>
            </w:r>
          </w:p>
        </w:tc>
        <w:tc>
          <w:tcPr>
            <w:tcW w:w="3264" w:type="dxa"/>
            <w:vAlign w:val="center"/>
          </w:tcPr>
          <w:p w14:paraId="075C24F1" w14:textId="77777777" w:rsidR="00747409" w:rsidRPr="001C4BA5" w:rsidRDefault="00747409" w:rsidP="001E2130">
            <w:pPr>
              <w:rPr>
                <w:rFonts w:cs="Times New Roman"/>
                <w:color w:val="000000" w:themeColor="text1"/>
                <w:sz w:val="18"/>
                <w:szCs w:val="18"/>
              </w:rPr>
            </w:pPr>
            <w:r w:rsidRPr="001C4BA5">
              <w:rPr>
                <w:rFonts w:cs="Times New Roman"/>
                <w:color w:val="000000" w:themeColor="text1"/>
                <w:sz w:val="18"/>
                <w:szCs w:val="18"/>
              </w:rPr>
              <w:t>Policy rankings to ±20% parameter perturbations</w:t>
            </w:r>
          </w:p>
        </w:tc>
      </w:tr>
      <w:tr w:rsidR="00A70916" w:rsidRPr="001C4BA5" w14:paraId="0550AE6E" w14:textId="77777777" w:rsidTr="001E2130">
        <w:trPr>
          <w:jc w:val="center"/>
        </w:trPr>
        <w:tc>
          <w:tcPr>
            <w:tcW w:w="2379" w:type="dxa"/>
            <w:vAlign w:val="center"/>
          </w:tcPr>
          <w:p w14:paraId="631E21D6" w14:textId="77777777" w:rsidR="00747409" w:rsidRPr="001C4BA5" w:rsidRDefault="00747409" w:rsidP="001E2130">
            <w:pPr>
              <w:jc w:val="center"/>
              <w:rPr>
                <w:rFonts w:cs="Times New Roman"/>
                <w:color w:val="000000" w:themeColor="text1"/>
                <w:sz w:val="18"/>
                <w:szCs w:val="18"/>
              </w:rPr>
            </w:pPr>
            <w:r w:rsidRPr="001C4BA5">
              <w:rPr>
                <w:rFonts w:cs="Times New Roman"/>
                <w:color w:val="000000" w:themeColor="text1"/>
                <w:sz w:val="18"/>
                <w:szCs w:val="18"/>
              </w:rPr>
              <w:t>Bootstrap resampling (confidence intervals)</w:t>
            </w:r>
          </w:p>
        </w:tc>
        <w:tc>
          <w:tcPr>
            <w:tcW w:w="1545" w:type="dxa"/>
            <w:vAlign w:val="center"/>
          </w:tcPr>
          <w:p w14:paraId="1604FA44"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1,000 resamples per policy</w:t>
            </w:r>
          </w:p>
        </w:tc>
        <w:tc>
          <w:tcPr>
            <w:tcW w:w="1452" w:type="dxa"/>
            <w:vAlign w:val="center"/>
          </w:tcPr>
          <w:p w14:paraId="5801CF47"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Standard in applied OR</w:t>
            </w:r>
          </w:p>
        </w:tc>
        <w:tc>
          <w:tcPr>
            <w:tcW w:w="1075" w:type="dxa"/>
            <w:vAlign w:val="center"/>
          </w:tcPr>
          <w:p w14:paraId="5879C90F" w14:textId="77777777" w:rsidR="00747409" w:rsidRPr="001C4BA5" w:rsidRDefault="00747409" w:rsidP="00CE3CB4">
            <w:pPr>
              <w:jc w:val="center"/>
              <w:rPr>
                <w:rFonts w:cs="Times New Roman"/>
                <w:color w:val="000000" w:themeColor="text1"/>
                <w:sz w:val="18"/>
                <w:szCs w:val="18"/>
              </w:rPr>
            </w:pPr>
            <w:r w:rsidRPr="001C4BA5">
              <w:rPr>
                <w:rFonts w:cs="Times New Roman"/>
                <w:color w:val="000000" w:themeColor="text1"/>
                <w:sz w:val="18"/>
                <w:szCs w:val="18"/>
              </w:rPr>
              <w:t>Adequate</w:t>
            </w:r>
          </w:p>
        </w:tc>
        <w:tc>
          <w:tcPr>
            <w:tcW w:w="3264" w:type="dxa"/>
            <w:vAlign w:val="center"/>
          </w:tcPr>
          <w:p w14:paraId="53231E5D" w14:textId="77777777" w:rsidR="00747409" w:rsidRPr="001C4BA5" w:rsidRDefault="00747409" w:rsidP="001E2130">
            <w:pPr>
              <w:rPr>
                <w:rFonts w:cs="Times New Roman"/>
                <w:color w:val="000000" w:themeColor="text1"/>
                <w:sz w:val="18"/>
                <w:szCs w:val="18"/>
              </w:rPr>
            </w:pPr>
            <w:r w:rsidRPr="001C4BA5">
              <w:rPr>
                <w:rFonts w:cs="Times New Roman"/>
                <w:color w:val="000000" w:themeColor="text1"/>
                <w:sz w:val="18"/>
                <w:szCs w:val="18"/>
              </w:rPr>
              <w:t>95% CIs computed for all scenario-level policy comparisons (Tables 3–6)</w:t>
            </w:r>
          </w:p>
        </w:tc>
      </w:tr>
    </w:tbl>
    <w:p w14:paraId="034060DF" w14:textId="77777777" w:rsidR="00747409" w:rsidRDefault="00747409" w:rsidP="007F1654">
      <w:pPr>
        <w:pStyle w:val="Ttulo3"/>
        <w:spacing w:after="0"/>
      </w:pPr>
      <w:r w:rsidRPr="00A70916">
        <w:rPr>
          <w:rFonts w:eastAsia="Times New Roman"/>
          <w:sz w:val="20"/>
        </w:rPr>
        <w:t>B.5 Aggregation Process Flowchart</w:t>
      </w:r>
    </w:p>
    <w:p w14:paraId="57D0F33F" w14:textId="77777777" w:rsidR="00747409" w:rsidRPr="00A70916" w:rsidRDefault="00747409" w:rsidP="007F1654">
      <w:pPr>
        <w:pStyle w:val="Ttulo3"/>
        <w:spacing w:after="0"/>
      </w:pPr>
      <w:r w:rsidRPr="00A70916">
        <w:rPr>
          <w:rFonts w:eastAsia="Times New Roman"/>
          <w:sz w:val="20"/>
        </w:rPr>
        <w:t>B.6 Critical Scale Clarifications</w:t>
      </w:r>
    </w:p>
    <w:p w14:paraId="0610A67D" w14:textId="7C135571" w:rsidR="00747409" w:rsidRPr="00791589" w:rsidRDefault="00747409" w:rsidP="00E91127">
      <w:pPr>
        <w:pStyle w:val="text-base"/>
        <w:spacing w:before="0" w:after="0"/>
        <w:jc w:val="both"/>
        <w:rPr>
          <w:color w:val="000000" w:themeColor="text1"/>
          <w:lang w:val="en-US"/>
        </w:rPr>
      </w:pPr>
      <w:r w:rsidRPr="00C95B37">
        <w:rPr>
          <w:color w:val="FFC000"/>
          <w:lang w:val="en-US"/>
        </w:rPr>
        <w:t>Scale consistency note</w:t>
      </w:r>
      <w:r w:rsidR="00C95B37">
        <w:rPr>
          <w:color w:val="FFC000"/>
          <w:lang w:val="en-US"/>
        </w:rPr>
        <w:t>:</w:t>
      </w:r>
      <w:r w:rsidRPr="00C95B37">
        <w:rPr>
          <w:color w:val="FFC000"/>
          <w:lang w:val="en-US"/>
        </w:rPr>
        <w:t xml:space="preserve"> </w:t>
      </w:r>
      <w:r w:rsidR="00C95B37" w:rsidRPr="00C95B37">
        <w:rPr>
          <w:color w:val="FFC000"/>
          <w:lang w:val="en-US"/>
        </w:rPr>
        <w:t>Tables 3</w:t>
      </w:r>
      <w:r w:rsidR="00C95B37">
        <w:rPr>
          <w:color w:val="FFC000"/>
          <w:lang w:val="en-US"/>
        </w:rPr>
        <w:t>-</w:t>
      </w:r>
      <w:r w:rsidR="00C95B37" w:rsidRPr="00C95B37">
        <w:rPr>
          <w:color w:val="FFC000"/>
          <w:lang w:val="en-US"/>
        </w:rPr>
        <w:t xml:space="preserve">6 report total cost at the network level, aggregated across facilities and over the full evaluation horizon. The simulator makes inventory decisions at an aggregated SKU-equivalent level and accumulates costs across the network as the horizon unfolds. </w:t>
      </w:r>
      <w:r w:rsidR="00C95B37" w:rsidRPr="00791589">
        <w:rPr>
          <w:color w:val="000000" w:themeColor="text1"/>
          <w:lang w:val="en-US"/>
        </w:rPr>
        <w:t>The reported values should therefore be read as horizon-level network aggregates, not as per-facility or per-day amounts</w:t>
      </w:r>
      <w:r w:rsidRPr="00791589">
        <w:rPr>
          <w:color w:val="000000" w:themeColor="text1"/>
          <w:lang w:val="en-US"/>
        </w:rPr>
        <w:t>.</w:t>
      </w:r>
    </w:p>
    <w:p w14:paraId="47CFB16C" w14:textId="77777777" w:rsidR="00747409" w:rsidRPr="00A70916" w:rsidRDefault="00747409" w:rsidP="00E91127">
      <w:pPr>
        <w:pStyle w:val="text-base"/>
        <w:spacing w:before="0" w:after="0"/>
        <w:jc w:val="both"/>
        <w:rPr>
          <w:color w:val="000000" w:themeColor="text1"/>
          <w:lang w:val="en-US"/>
        </w:rPr>
      </w:pPr>
      <w:r w:rsidRPr="00653ACC">
        <w:rPr>
          <w:lang w:val="en-US"/>
        </w:rPr>
        <w:t>The real-world dataset driving all simulations is derived from 1,000 movements across 50 SKUs from the SESAB/HUPES purchasing systems for 2022 and 2023. This dataset was selected based on a percentage of entries per field per movement of more than 90%, with no blank entries, and notation of SESAB/HUPES validation. Therefore, it will be a consistent baseline across all 100 Monte Carlo runs and across all policy scenarios. A historical dataset of 9,170 movements from SESAB/HUPES for the full calendar year of 2021 was available; however, it was not used in the primary analysis of simulations</w:t>
      </w:r>
      <w:r w:rsidR="00D508F7">
        <w:rPr>
          <w:lang w:val="en-US"/>
        </w:rPr>
        <w:t>, which is intende</w:t>
      </w:r>
      <w:r w:rsidRPr="00653ACC">
        <w:rPr>
          <w:lang w:val="en-US"/>
        </w:rPr>
        <w:t>d to ensure consistent replication across scenarios. The historical dataset will be acknowledged for future consideration regarding volume and feasibility, should future work aim to use a more extensive dataset for 24 to 36 months of operational analysis to substantiate these results before implementation in the field.</w:t>
      </w:r>
    </w:p>
    <w:p w14:paraId="05D655ED" w14:textId="77777777" w:rsidR="00747409" w:rsidRPr="00A70916" w:rsidRDefault="00747409" w:rsidP="00E91127">
      <w:pPr>
        <w:pStyle w:val="text-base"/>
        <w:spacing w:before="0" w:after="0"/>
        <w:jc w:val="both"/>
        <w:rPr>
          <w:color w:val="000000" w:themeColor="text1"/>
          <w:lang w:val="en-US"/>
        </w:rPr>
      </w:pPr>
      <w:r w:rsidRPr="00A70916">
        <w:rPr>
          <w:color w:val="000000" w:themeColor="text1"/>
          <w:lang w:val="en-US"/>
        </w:rPr>
        <w:t>While Table 3's demand distributions are empirically derived (realized average medicine taken daily per SKU from the 1,000 movements reported), the supply parameters (lead times, transportation costs, holding cost percentages) are synthetic, parameterized via literature review and expert triangulation with 15 and 22-year SUS supply chain professionals (94% agreement of validation). Thus, the costs in Table 3 are not entirely empirical distributions compiled from transaction journals (in the stockroom) or entirely synthetic, but rather representative of simulation outcomes generated from empirical demand distributions and synthetic supply parameters via Monte Carlo sampling. The external validity of this study depends on observed demand distributions and clinical variation. In contrast, its internal validity relies on uniform supply parameters across all tested policies and replications, enabling appropriately causal generalizations about which algorithm was effective.</w:t>
      </w:r>
    </w:p>
    <w:p w14:paraId="0AAB28D6" w14:textId="77777777" w:rsidR="00747409" w:rsidRPr="00A70916" w:rsidRDefault="00747409" w:rsidP="00AB3735">
      <w:pPr>
        <w:pStyle w:val="Ttulo3"/>
        <w:spacing w:before="0" w:after="0"/>
        <w:rPr>
          <w:lang w:eastAsia="pt-BR"/>
        </w:rPr>
      </w:pPr>
      <w:r>
        <w:rPr>
          <w:rFonts w:eastAsia="Times New Roman"/>
          <w:sz w:val="20"/>
        </w:rPr>
        <w:t>B.7 Synthetic Parameter Bias Quantification</w:t>
      </w:r>
    </w:p>
    <w:p w14:paraId="634A5502" w14:textId="77777777" w:rsidR="00747409" w:rsidRPr="00A70916" w:rsidRDefault="00747409" w:rsidP="00E91127">
      <w:pPr>
        <w:pStyle w:val="text-base"/>
        <w:spacing w:before="0" w:after="0"/>
        <w:jc w:val="both"/>
        <w:rPr>
          <w:color w:val="000000" w:themeColor="text1"/>
          <w:lang w:val="en-US"/>
        </w:rPr>
      </w:pPr>
      <w:r w:rsidRPr="00F34B55">
        <w:rPr>
          <w:lang w:val="en-US"/>
        </w:rPr>
        <w:t xml:space="preserve">The chosen parameters for the hybrid AI architecture include four synthetic variables (lead time, transport cost, holding rate, and stockout penalty), which are based on expert consensus and a literature review rather than actual SUS running data. Therefore, the comparison in Table B7 indicates whether each synthetic parameter is </w:t>
      </w:r>
      <w:proofErr w:type="gramStart"/>
      <w:r w:rsidRPr="00F34B55">
        <w:rPr>
          <w:lang w:val="en-US"/>
        </w:rPr>
        <w:t>&gt;,&lt;</w:t>
      </w:r>
      <w:proofErr w:type="gramEnd"/>
      <w:r w:rsidRPr="00F34B55">
        <w:rPr>
          <w:lang w:val="en-US"/>
        </w:rPr>
        <w:t>, or ≠ equal to the empirically discovered or literature-based value.</w:t>
      </w:r>
    </w:p>
    <w:p w14:paraId="35AC2191" w14:textId="77777777" w:rsidR="00747409" w:rsidRPr="00A70916" w:rsidRDefault="00747409" w:rsidP="007F1654">
      <w:pPr>
        <w:pStyle w:val="Corpodetexto"/>
        <w:spacing w:before="0" w:line="286" w:lineRule="auto"/>
        <w:ind w:left="216" w:right="14"/>
        <w:rPr>
          <w:rFonts w:cs="Times New Roman"/>
          <w:b/>
          <w:bCs/>
          <w:color w:val="000000" w:themeColor="text1"/>
          <w:sz w:val="22"/>
          <w:szCs w:val="22"/>
          <w:lang w:eastAsia="pt-BR"/>
        </w:rPr>
      </w:pPr>
      <w:r w:rsidRPr="00A70916">
        <w:rPr>
          <w:rFonts w:cs="Times New Roman"/>
          <w:b/>
          <w:bCs/>
          <w:color w:val="000000" w:themeColor="text1"/>
          <w:sz w:val="22"/>
          <w:szCs w:val="22"/>
          <w:lang w:eastAsia="pt-BR"/>
        </w:rPr>
        <w:t>Table B7: Synthetic Parameter Bias Quantification</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1909"/>
        <w:gridCol w:w="1918"/>
        <w:gridCol w:w="1560"/>
        <w:gridCol w:w="1984"/>
      </w:tblGrid>
      <w:tr w:rsidR="00A70916" w:rsidRPr="00A70916" w14:paraId="6D81750A" w14:textId="77777777" w:rsidTr="00CE3CB4">
        <w:trPr>
          <w:trHeight w:val="290"/>
          <w:jc w:val="center"/>
        </w:trPr>
        <w:tc>
          <w:tcPr>
            <w:tcW w:w="1701" w:type="dxa"/>
            <w:noWrap/>
            <w:vAlign w:val="bottom"/>
            <w:hideMark/>
          </w:tcPr>
          <w:p w14:paraId="27908A79" w14:textId="77777777" w:rsidR="00747409" w:rsidRPr="001E2130" w:rsidRDefault="00747409" w:rsidP="00CE3CB4">
            <w:pPr>
              <w:widowControl/>
              <w:autoSpaceDE/>
              <w:autoSpaceDN/>
              <w:rPr>
                <w:rFonts w:cs="Times New Roman"/>
                <w:b/>
                <w:bCs/>
                <w:color w:val="000000" w:themeColor="text1"/>
                <w:szCs w:val="20"/>
                <w:lang w:val="pt-BR" w:eastAsia="pt-BR"/>
              </w:rPr>
            </w:pPr>
            <w:proofErr w:type="spellStart"/>
            <w:r w:rsidRPr="001E2130">
              <w:rPr>
                <w:rFonts w:cs="Times New Roman"/>
                <w:b/>
                <w:bCs/>
                <w:color w:val="000000" w:themeColor="text1"/>
                <w:szCs w:val="20"/>
                <w:lang w:val="pt-BR" w:eastAsia="pt-BR"/>
              </w:rPr>
              <w:t>Parameter</w:t>
            </w:r>
            <w:proofErr w:type="spellEnd"/>
          </w:p>
        </w:tc>
        <w:tc>
          <w:tcPr>
            <w:tcW w:w="1909" w:type="dxa"/>
            <w:noWrap/>
            <w:vAlign w:val="bottom"/>
            <w:hideMark/>
          </w:tcPr>
          <w:p w14:paraId="6F1D12C7" w14:textId="77777777" w:rsidR="00747409" w:rsidRPr="001E2130" w:rsidRDefault="00747409" w:rsidP="00541F14">
            <w:pPr>
              <w:widowControl/>
              <w:autoSpaceDE/>
              <w:autoSpaceDN/>
              <w:jc w:val="center"/>
              <w:rPr>
                <w:rFonts w:cs="Times New Roman"/>
                <w:b/>
                <w:bCs/>
                <w:color w:val="000000" w:themeColor="text1"/>
                <w:szCs w:val="20"/>
                <w:lang w:val="pt-BR" w:eastAsia="pt-BR"/>
              </w:rPr>
            </w:pPr>
            <w:proofErr w:type="spellStart"/>
            <w:r w:rsidRPr="001E2130">
              <w:rPr>
                <w:rFonts w:cs="Times New Roman"/>
                <w:b/>
                <w:bCs/>
                <w:color w:val="000000" w:themeColor="text1"/>
                <w:szCs w:val="20"/>
                <w:lang w:val="pt-BR" w:eastAsia="pt-BR"/>
              </w:rPr>
              <w:t>Synthetic</w:t>
            </w:r>
            <w:proofErr w:type="spellEnd"/>
            <w:r w:rsidRPr="001E2130">
              <w:rPr>
                <w:rFonts w:cs="Times New Roman"/>
                <w:b/>
                <w:bCs/>
                <w:color w:val="000000" w:themeColor="text1"/>
                <w:szCs w:val="20"/>
                <w:lang w:val="pt-BR" w:eastAsia="pt-BR"/>
              </w:rPr>
              <w:t xml:space="preserve"> </w:t>
            </w:r>
            <w:proofErr w:type="spellStart"/>
            <w:r w:rsidRPr="001E2130">
              <w:rPr>
                <w:rFonts w:cs="Times New Roman"/>
                <w:b/>
                <w:bCs/>
                <w:color w:val="000000" w:themeColor="text1"/>
                <w:szCs w:val="20"/>
                <w:lang w:val="pt-BR" w:eastAsia="pt-BR"/>
              </w:rPr>
              <w:t>Value</w:t>
            </w:r>
            <w:proofErr w:type="spellEnd"/>
          </w:p>
        </w:tc>
        <w:tc>
          <w:tcPr>
            <w:tcW w:w="1918" w:type="dxa"/>
            <w:noWrap/>
            <w:vAlign w:val="bottom"/>
            <w:hideMark/>
          </w:tcPr>
          <w:p w14:paraId="49665FCB" w14:textId="77777777" w:rsidR="00747409" w:rsidRPr="001E2130" w:rsidRDefault="00747409" w:rsidP="00541F14">
            <w:pPr>
              <w:widowControl/>
              <w:autoSpaceDE/>
              <w:autoSpaceDN/>
              <w:jc w:val="center"/>
              <w:rPr>
                <w:rFonts w:cs="Times New Roman"/>
                <w:b/>
                <w:bCs/>
                <w:color w:val="000000" w:themeColor="text1"/>
                <w:szCs w:val="20"/>
                <w:lang w:val="pt-BR" w:eastAsia="pt-BR"/>
              </w:rPr>
            </w:pPr>
            <w:proofErr w:type="spellStart"/>
            <w:r w:rsidRPr="001E2130">
              <w:rPr>
                <w:rFonts w:cs="Times New Roman"/>
                <w:b/>
                <w:bCs/>
                <w:color w:val="000000" w:themeColor="text1"/>
                <w:szCs w:val="20"/>
                <w:lang w:val="pt-BR" w:eastAsia="pt-BR"/>
              </w:rPr>
              <w:t>Literature</w:t>
            </w:r>
            <w:proofErr w:type="spellEnd"/>
            <w:r w:rsidRPr="001E2130">
              <w:rPr>
                <w:rFonts w:cs="Times New Roman"/>
                <w:b/>
                <w:bCs/>
                <w:color w:val="000000" w:themeColor="text1"/>
                <w:szCs w:val="20"/>
                <w:lang w:val="pt-BR" w:eastAsia="pt-BR"/>
              </w:rPr>
              <w:t xml:space="preserve"> Range</w:t>
            </w:r>
          </w:p>
        </w:tc>
        <w:tc>
          <w:tcPr>
            <w:tcW w:w="1560" w:type="dxa"/>
            <w:noWrap/>
            <w:vAlign w:val="bottom"/>
            <w:hideMark/>
          </w:tcPr>
          <w:p w14:paraId="7775C031" w14:textId="77777777" w:rsidR="00747409" w:rsidRPr="001E2130" w:rsidRDefault="00747409" w:rsidP="00541F14">
            <w:pPr>
              <w:widowControl/>
              <w:autoSpaceDE/>
              <w:autoSpaceDN/>
              <w:jc w:val="center"/>
              <w:rPr>
                <w:rFonts w:cs="Times New Roman"/>
                <w:b/>
                <w:bCs/>
                <w:color w:val="000000" w:themeColor="text1"/>
                <w:szCs w:val="20"/>
                <w:lang w:val="pt-BR" w:eastAsia="pt-BR"/>
              </w:rPr>
            </w:pPr>
            <w:r w:rsidRPr="001E2130">
              <w:rPr>
                <w:rFonts w:cs="Times New Roman"/>
                <w:b/>
                <w:bCs/>
                <w:color w:val="000000" w:themeColor="text1"/>
                <w:szCs w:val="20"/>
                <w:lang w:val="pt-BR" w:eastAsia="pt-BR"/>
              </w:rPr>
              <w:t>Bias</w:t>
            </w:r>
          </w:p>
        </w:tc>
        <w:tc>
          <w:tcPr>
            <w:tcW w:w="1984" w:type="dxa"/>
            <w:noWrap/>
            <w:vAlign w:val="bottom"/>
            <w:hideMark/>
          </w:tcPr>
          <w:p w14:paraId="7B5B02A5" w14:textId="77777777" w:rsidR="00747409" w:rsidRPr="001E2130" w:rsidRDefault="00747409" w:rsidP="00541F14">
            <w:pPr>
              <w:widowControl/>
              <w:autoSpaceDE/>
              <w:autoSpaceDN/>
              <w:jc w:val="center"/>
              <w:rPr>
                <w:rFonts w:cs="Times New Roman"/>
                <w:b/>
                <w:bCs/>
                <w:color w:val="000000" w:themeColor="text1"/>
                <w:szCs w:val="20"/>
                <w:lang w:val="pt-BR" w:eastAsia="pt-BR"/>
              </w:rPr>
            </w:pPr>
            <w:proofErr w:type="spellStart"/>
            <w:r w:rsidRPr="001E2130">
              <w:rPr>
                <w:rFonts w:cs="Times New Roman"/>
                <w:b/>
                <w:bCs/>
                <w:color w:val="000000" w:themeColor="text1"/>
                <w:szCs w:val="20"/>
                <w:lang w:val="pt-BR" w:eastAsia="pt-BR"/>
              </w:rPr>
              <w:t>Validation</w:t>
            </w:r>
            <w:proofErr w:type="spellEnd"/>
            <w:r w:rsidRPr="001E2130">
              <w:rPr>
                <w:rFonts w:cs="Times New Roman"/>
                <w:b/>
                <w:bCs/>
                <w:color w:val="000000" w:themeColor="text1"/>
                <w:szCs w:val="20"/>
                <w:lang w:val="pt-BR" w:eastAsia="pt-BR"/>
              </w:rPr>
              <w:t xml:space="preserve"> Status</w:t>
            </w:r>
          </w:p>
        </w:tc>
      </w:tr>
      <w:tr w:rsidR="00A70916" w:rsidRPr="00A70916" w14:paraId="4F9B5FEB" w14:textId="77777777" w:rsidTr="00CE3CB4">
        <w:trPr>
          <w:trHeight w:val="290"/>
          <w:jc w:val="center"/>
        </w:trPr>
        <w:tc>
          <w:tcPr>
            <w:tcW w:w="1701" w:type="dxa"/>
            <w:noWrap/>
            <w:vAlign w:val="bottom"/>
            <w:hideMark/>
          </w:tcPr>
          <w:p w14:paraId="1A73FFA4" w14:textId="77777777" w:rsidR="00747409" w:rsidRPr="00EE5E5C" w:rsidRDefault="00747409" w:rsidP="00CE3CB4">
            <w:pPr>
              <w:widowControl/>
              <w:autoSpaceDE/>
              <w:autoSpaceDN/>
              <w:rPr>
                <w:rFonts w:cs="Times New Roman"/>
                <w:color w:val="000000" w:themeColor="text1"/>
                <w:sz w:val="18"/>
                <w:szCs w:val="18"/>
                <w:lang w:val="pt-BR" w:eastAsia="pt-BR"/>
              </w:rPr>
            </w:pPr>
            <w:r w:rsidRPr="00EE5E5C">
              <w:rPr>
                <w:rFonts w:cs="Times New Roman"/>
                <w:color w:val="000000" w:themeColor="text1"/>
                <w:sz w:val="18"/>
                <w:szCs w:val="18"/>
                <w:lang w:val="pt-BR" w:eastAsia="pt-BR"/>
              </w:rPr>
              <w:t xml:space="preserve">Unit </w:t>
            </w:r>
            <w:proofErr w:type="spellStart"/>
            <w:r w:rsidRPr="00EE5E5C">
              <w:rPr>
                <w:rFonts w:cs="Times New Roman"/>
                <w:color w:val="000000" w:themeColor="text1"/>
                <w:sz w:val="18"/>
                <w:szCs w:val="18"/>
                <w:lang w:val="pt-BR" w:eastAsia="pt-BR"/>
              </w:rPr>
              <w:t>cost</w:t>
            </w:r>
            <w:proofErr w:type="spellEnd"/>
          </w:p>
        </w:tc>
        <w:tc>
          <w:tcPr>
            <w:tcW w:w="1909" w:type="dxa"/>
            <w:noWrap/>
            <w:vAlign w:val="bottom"/>
            <w:hideMark/>
          </w:tcPr>
          <w:p w14:paraId="6F22E58E"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μ=3.3 σ=0.7</w:t>
            </w:r>
          </w:p>
        </w:tc>
        <w:tc>
          <w:tcPr>
            <w:tcW w:w="1918" w:type="dxa"/>
            <w:noWrap/>
            <w:vAlign w:val="bottom"/>
            <w:hideMark/>
          </w:tcPr>
          <w:p w14:paraId="28CD7485" w14:textId="77777777" w:rsidR="00747409" w:rsidRPr="00EE5E5C" w:rsidRDefault="00747409" w:rsidP="00541F14">
            <w:pPr>
              <w:widowControl/>
              <w:autoSpaceDE/>
              <w:autoSpaceDN/>
              <w:jc w:val="center"/>
              <w:rPr>
                <w:rFonts w:cs="Times New Roman"/>
                <w:color w:val="000000" w:themeColor="text1"/>
                <w:sz w:val="18"/>
                <w:szCs w:val="18"/>
                <w:lang w:val="pt-BR" w:eastAsia="pt-BR"/>
              </w:rPr>
            </w:pPr>
            <w:proofErr w:type="spellStart"/>
            <w:r w:rsidRPr="00EE5E5C">
              <w:rPr>
                <w:rFonts w:cs="Times New Roman"/>
                <w:color w:val="000000" w:themeColor="text1"/>
                <w:sz w:val="18"/>
                <w:szCs w:val="18"/>
                <w:lang w:val="pt-BR" w:eastAsia="pt-BR"/>
              </w:rPr>
              <w:t>MoH</w:t>
            </w:r>
            <w:proofErr w:type="spellEnd"/>
            <w:r w:rsidRPr="00EE5E5C">
              <w:rPr>
                <w:rFonts w:cs="Times New Roman"/>
                <w:color w:val="000000" w:themeColor="text1"/>
                <w:sz w:val="18"/>
                <w:szCs w:val="18"/>
                <w:lang w:val="pt-BR" w:eastAsia="pt-BR"/>
              </w:rPr>
              <w:t xml:space="preserve"> </w:t>
            </w:r>
            <w:proofErr w:type="spellStart"/>
            <w:r w:rsidRPr="00EE5E5C">
              <w:rPr>
                <w:rFonts w:cs="Times New Roman"/>
                <w:color w:val="000000" w:themeColor="text1"/>
                <w:sz w:val="18"/>
                <w:szCs w:val="18"/>
                <w:lang w:val="pt-BR" w:eastAsia="pt-BR"/>
              </w:rPr>
              <w:t>database</w:t>
            </w:r>
            <w:proofErr w:type="spellEnd"/>
          </w:p>
        </w:tc>
        <w:tc>
          <w:tcPr>
            <w:tcW w:w="1560" w:type="dxa"/>
            <w:noWrap/>
            <w:vAlign w:val="bottom"/>
            <w:hideMark/>
          </w:tcPr>
          <w:p w14:paraId="6CFBD693"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±0%</w:t>
            </w:r>
          </w:p>
        </w:tc>
        <w:tc>
          <w:tcPr>
            <w:tcW w:w="1984" w:type="dxa"/>
            <w:noWrap/>
            <w:vAlign w:val="bottom"/>
            <w:hideMark/>
          </w:tcPr>
          <w:p w14:paraId="1463B174" w14:textId="77777777" w:rsidR="00747409" w:rsidRPr="00EE5E5C" w:rsidRDefault="00747409" w:rsidP="00541F14">
            <w:pPr>
              <w:widowControl/>
              <w:autoSpaceDE/>
              <w:autoSpaceDN/>
              <w:jc w:val="center"/>
              <w:rPr>
                <w:rFonts w:cs="Times New Roman"/>
                <w:color w:val="000000" w:themeColor="text1"/>
                <w:sz w:val="18"/>
                <w:szCs w:val="18"/>
                <w:lang w:val="pt-BR" w:eastAsia="pt-BR"/>
              </w:rPr>
            </w:pPr>
            <w:proofErr w:type="spellStart"/>
            <w:r w:rsidRPr="00EE5E5C">
              <w:rPr>
                <w:rFonts w:cs="Times New Roman"/>
                <w:color w:val="000000" w:themeColor="text1"/>
                <w:sz w:val="18"/>
                <w:szCs w:val="18"/>
                <w:lang w:val="pt-BR" w:eastAsia="pt-BR"/>
              </w:rPr>
              <w:t>Empirical</w:t>
            </w:r>
            <w:proofErr w:type="spellEnd"/>
          </w:p>
        </w:tc>
      </w:tr>
      <w:tr w:rsidR="00A70916" w:rsidRPr="00A70916" w14:paraId="074B1B1F" w14:textId="77777777" w:rsidTr="00CE3CB4">
        <w:trPr>
          <w:trHeight w:val="290"/>
          <w:jc w:val="center"/>
        </w:trPr>
        <w:tc>
          <w:tcPr>
            <w:tcW w:w="1701" w:type="dxa"/>
            <w:noWrap/>
            <w:vAlign w:val="bottom"/>
            <w:hideMark/>
          </w:tcPr>
          <w:p w14:paraId="16BB9DBB" w14:textId="77777777" w:rsidR="00747409" w:rsidRPr="00EE5E5C" w:rsidRDefault="00747409" w:rsidP="00CE3CB4">
            <w:pPr>
              <w:widowControl/>
              <w:autoSpaceDE/>
              <w:autoSpaceDN/>
              <w:rPr>
                <w:rFonts w:cs="Times New Roman"/>
                <w:color w:val="000000" w:themeColor="text1"/>
                <w:sz w:val="18"/>
                <w:szCs w:val="18"/>
                <w:lang w:val="pt-BR" w:eastAsia="pt-BR"/>
              </w:rPr>
            </w:pPr>
            <w:r w:rsidRPr="00EE5E5C">
              <w:rPr>
                <w:rFonts w:cs="Times New Roman"/>
                <w:color w:val="000000" w:themeColor="text1"/>
                <w:sz w:val="18"/>
                <w:szCs w:val="18"/>
                <w:lang w:val="pt-BR" w:eastAsia="pt-BR"/>
              </w:rPr>
              <w:t>Lead time</w:t>
            </w:r>
          </w:p>
        </w:tc>
        <w:tc>
          <w:tcPr>
            <w:tcW w:w="1909" w:type="dxa"/>
            <w:noWrap/>
            <w:vAlign w:val="bottom"/>
            <w:hideMark/>
          </w:tcPr>
          <w:p w14:paraId="369EBCDE" w14:textId="77777777" w:rsidR="00747409" w:rsidRPr="00EE5E5C" w:rsidRDefault="00747409" w:rsidP="00541F14">
            <w:pPr>
              <w:widowControl/>
              <w:autoSpaceDE/>
              <w:autoSpaceDN/>
              <w:jc w:val="center"/>
              <w:rPr>
                <w:rFonts w:cs="Times New Roman"/>
                <w:color w:val="000000" w:themeColor="text1"/>
                <w:sz w:val="18"/>
                <w:szCs w:val="18"/>
                <w:lang w:val="pt-BR" w:eastAsia="pt-BR"/>
              </w:rPr>
            </w:pPr>
            <w:proofErr w:type="gramStart"/>
            <w:r w:rsidRPr="00EE5E5C">
              <w:rPr>
                <w:rFonts w:cs="Times New Roman"/>
                <w:color w:val="000000" w:themeColor="text1"/>
                <w:sz w:val="18"/>
                <w:szCs w:val="18"/>
                <w:lang w:val="pt-BR" w:eastAsia="pt-BR"/>
              </w:rPr>
              <w:t>N(</w:t>
            </w:r>
            <w:proofErr w:type="gramEnd"/>
            <w:r w:rsidRPr="00EE5E5C">
              <w:rPr>
                <w:rFonts w:cs="Times New Roman"/>
                <w:color w:val="000000" w:themeColor="text1"/>
                <w:sz w:val="18"/>
                <w:szCs w:val="18"/>
                <w:lang w:val="pt-BR" w:eastAsia="pt-BR"/>
              </w:rPr>
              <w:t>7.2 1.8)</w:t>
            </w:r>
          </w:p>
        </w:tc>
        <w:tc>
          <w:tcPr>
            <w:tcW w:w="1918" w:type="dxa"/>
            <w:noWrap/>
            <w:vAlign w:val="bottom"/>
            <w:hideMark/>
          </w:tcPr>
          <w:p w14:paraId="02C05164"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7.2±2.1 (</w:t>
            </w:r>
            <w:proofErr w:type="spellStart"/>
            <w:r w:rsidRPr="00EE5E5C">
              <w:rPr>
                <w:rFonts w:cs="Times New Roman"/>
                <w:color w:val="000000" w:themeColor="text1"/>
                <w:sz w:val="18"/>
                <w:szCs w:val="18"/>
                <w:lang w:val="pt-BR" w:eastAsia="pt-BR"/>
              </w:rPr>
              <w:t>observed</w:t>
            </w:r>
            <w:proofErr w:type="spellEnd"/>
            <w:r w:rsidRPr="00EE5E5C">
              <w:rPr>
                <w:rFonts w:cs="Times New Roman"/>
                <w:color w:val="000000" w:themeColor="text1"/>
                <w:sz w:val="18"/>
                <w:szCs w:val="18"/>
                <w:lang w:val="pt-BR" w:eastAsia="pt-BR"/>
              </w:rPr>
              <w:t>)</w:t>
            </w:r>
          </w:p>
        </w:tc>
        <w:tc>
          <w:tcPr>
            <w:tcW w:w="1560" w:type="dxa"/>
            <w:noWrap/>
            <w:vAlign w:val="bottom"/>
            <w:hideMark/>
          </w:tcPr>
          <w:p w14:paraId="26FF1A68"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±3%</w:t>
            </w:r>
          </w:p>
        </w:tc>
        <w:tc>
          <w:tcPr>
            <w:tcW w:w="1984" w:type="dxa"/>
            <w:noWrap/>
            <w:vAlign w:val="bottom"/>
            <w:hideMark/>
          </w:tcPr>
          <w:p w14:paraId="23A4E0A7"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Expert 94%</w:t>
            </w:r>
          </w:p>
        </w:tc>
      </w:tr>
      <w:tr w:rsidR="00A70916" w:rsidRPr="00A70916" w14:paraId="38AD67F1" w14:textId="77777777" w:rsidTr="00CE3CB4">
        <w:trPr>
          <w:trHeight w:val="290"/>
          <w:jc w:val="center"/>
        </w:trPr>
        <w:tc>
          <w:tcPr>
            <w:tcW w:w="1701" w:type="dxa"/>
            <w:noWrap/>
            <w:vAlign w:val="bottom"/>
            <w:hideMark/>
          </w:tcPr>
          <w:p w14:paraId="675C2D6E" w14:textId="77777777" w:rsidR="00747409" w:rsidRPr="00EE5E5C" w:rsidRDefault="00747409" w:rsidP="00CE3CB4">
            <w:pPr>
              <w:widowControl/>
              <w:autoSpaceDE/>
              <w:autoSpaceDN/>
              <w:rPr>
                <w:rFonts w:cs="Times New Roman"/>
                <w:color w:val="000000" w:themeColor="text1"/>
                <w:sz w:val="18"/>
                <w:szCs w:val="18"/>
                <w:lang w:val="pt-BR" w:eastAsia="pt-BR"/>
              </w:rPr>
            </w:pPr>
            <w:proofErr w:type="spellStart"/>
            <w:r w:rsidRPr="00EE5E5C">
              <w:rPr>
                <w:rFonts w:cs="Times New Roman"/>
                <w:color w:val="000000" w:themeColor="text1"/>
                <w:sz w:val="18"/>
                <w:szCs w:val="18"/>
                <w:lang w:val="pt-BR" w:eastAsia="pt-BR"/>
              </w:rPr>
              <w:t>Transport</w:t>
            </w:r>
            <w:proofErr w:type="spellEnd"/>
          </w:p>
        </w:tc>
        <w:tc>
          <w:tcPr>
            <w:tcW w:w="1909" w:type="dxa"/>
            <w:noWrap/>
            <w:vAlign w:val="bottom"/>
            <w:hideMark/>
          </w:tcPr>
          <w:p w14:paraId="5647C581"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0.85 BRL/km</w:t>
            </w:r>
          </w:p>
        </w:tc>
        <w:tc>
          <w:tcPr>
            <w:tcW w:w="1918" w:type="dxa"/>
            <w:noWrap/>
            <w:vAlign w:val="bottom"/>
            <w:hideMark/>
          </w:tcPr>
          <w:p w14:paraId="1A70B8F6"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0.78–0.95</w:t>
            </w:r>
          </w:p>
        </w:tc>
        <w:tc>
          <w:tcPr>
            <w:tcW w:w="1560" w:type="dxa"/>
            <w:noWrap/>
            <w:vAlign w:val="bottom"/>
            <w:hideMark/>
          </w:tcPr>
          <w:p w14:paraId="717479B3"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 xml:space="preserve">±9% </w:t>
            </w:r>
            <w:proofErr w:type="spellStart"/>
            <w:r w:rsidRPr="00EE5E5C">
              <w:rPr>
                <w:rFonts w:cs="Times New Roman"/>
                <w:color w:val="000000" w:themeColor="text1"/>
                <w:sz w:val="18"/>
                <w:szCs w:val="18"/>
                <w:lang w:val="pt-BR" w:eastAsia="pt-BR"/>
              </w:rPr>
              <w:t>to</w:t>
            </w:r>
            <w:proofErr w:type="spellEnd"/>
            <w:r w:rsidRPr="00EE5E5C">
              <w:rPr>
                <w:rFonts w:cs="Times New Roman"/>
                <w:color w:val="000000" w:themeColor="text1"/>
                <w:sz w:val="18"/>
                <w:szCs w:val="18"/>
                <w:lang w:val="pt-BR" w:eastAsia="pt-BR"/>
              </w:rPr>
              <w:t xml:space="preserve"> +12%</w:t>
            </w:r>
          </w:p>
        </w:tc>
        <w:tc>
          <w:tcPr>
            <w:tcW w:w="1984" w:type="dxa"/>
            <w:noWrap/>
            <w:vAlign w:val="bottom"/>
            <w:hideMark/>
          </w:tcPr>
          <w:p w14:paraId="1C6DBB0B" w14:textId="77777777" w:rsidR="00747409" w:rsidRPr="00EE5E5C" w:rsidRDefault="00747409" w:rsidP="00541F14">
            <w:pPr>
              <w:widowControl/>
              <w:autoSpaceDE/>
              <w:autoSpaceDN/>
              <w:jc w:val="center"/>
              <w:rPr>
                <w:rFonts w:cs="Times New Roman"/>
                <w:color w:val="000000" w:themeColor="text1"/>
                <w:sz w:val="18"/>
                <w:szCs w:val="18"/>
                <w:lang w:val="pt-BR" w:eastAsia="pt-BR"/>
              </w:rPr>
            </w:pPr>
            <w:proofErr w:type="spellStart"/>
            <w:r w:rsidRPr="00EE5E5C">
              <w:rPr>
                <w:rFonts w:cs="Times New Roman"/>
                <w:color w:val="000000" w:themeColor="text1"/>
                <w:sz w:val="18"/>
                <w:szCs w:val="18"/>
                <w:lang w:val="pt-BR" w:eastAsia="pt-BR"/>
              </w:rPr>
              <w:t>Contract</w:t>
            </w:r>
            <w:proofErr w:type="spellEnd"/>
            <w:r w:rsidRPr="00EE5E5C">
              <w:rPr>
                <w:rFonts w:cs="Times New Roman"/>
                <w:color w:val="000000" w:themeColor="text1"/>
                <w:sz w:val="18"/>
                <w:szCs w:val="18"/>
                <w:lang w:val="pt-BR" w:eastAsia="pt-BR"/>
              </w:rPr>
              <w:t xml:space="preserve"> ±15%</w:t>
            </w:r>
          </w:p>
        </w:tc>
      </w:tr>
      <w:tr w:rsidR="00A70916" w:rsidRPr="00A70916" w14:paraId="03D5FD24" w14:textId="77777777" w:rsidTr="00CE3CB4">
        <w:trPr>
          <w:trHeight w:val="290"/>
          <w:jc w:val="center"/>
        </w:trPr>
        <w:tc>
          <w:tcPr>
            <w:tcW w:w="1701" w:type="dxa"/>
            <w:noWrap/>
            <w:vAlign w:val="bottom"/>
            <w:hideMark/>
          </w:tcPr>
          <w:p w14:paraId="6F79654F" w14:textId="77777777" w:rsidR="00747409" w:rsidRPr="00EE5E5C" w:rsidRDefault="00747409" w:rsidP="00CE3CB4">
            <w:pPr>
              <w:widowControl/>
              <w:autoSpaceDE/>
              <w:autoSpaceDN/>
              <w:rPr>
                <w:rFonts w:cs="Times New Roman"/>
                <w:color w:val="000000" w:themeColor="text1"/>
                <w:sz w:val="18"/>
                <w:szCs w:val="18"/>
                <w:lang w:val="pt-BR" w:eastAsia="pt-BR"/>
              </w:rPr>
            </w:pPr>
            <w:r w:rsidRPr="00EE5E5C">
              <w:rPr>
                <w:rFonts w:cs="Times New Roman"/>
                <w:color w:val="000000" w:themeColor="text1"/>
                <w:sz w:val="18"/>
                <w:szCs w:val="18"/>
                <w:lang w:val="pt-BR" w:eastAsia="pt-BR"/>
              </w:rPr>
              <w:t>Holding rate</w:t>
            </w:r>
          </w:p>
        </w:tc>
        <w:tc>
          <w:tcPr>
            <w:tcW w:w="1909" w:type="dxa"/>
            <w:noWrap/>
            <w:vAlign w:val="bottom"/>
            <w:hideMark/>
          </w:tcPr>
          <w:p w14:paraId="1F3082F5"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0.003/</w:t>
            </w:r>
            <w:proofErr w:type="spellStart"/>
            <w:r w:rsidRPr="00EE5E5C">
              <w:rPr>
                <w:rFonts w:cs="Times New Roman"/>
                <w:color w:val="000000" w:themeColor="text1"/>
                <w:sz w:val="18"/>
                <w:szCs w:val="18"/>
                <w:lang w:val="pt-BR" w:eastAsia="pt-BR"/>
              </w:rPr>
              <w:t>unit</w:t>
            </w:r>
            <w:proofErr w:type="spellEnd"/>
            <w:r w:rsidRPr="00EE5E5C">
              <w:rPr>
                <w:rFonts w:cs="Times New Roman"/>
                <w:color w:val="000000" w:themeColor="text1"/>
                <w:sz w:val="18"/>
                <w:szCs w:val="18"/>
                <w:lang w:val="pt-BR" w:eastAsia="pt-BR"/>
              </w:rPr>
              <w:t>/</w:t>
            </w:r>
            <w:proofErr w:type="spellStart"/>
            <w:r w:rsidRPr="00EE5E5C">
              <w:rPr>
                <w:rFonts w:cs="Times New Roman"/>
                <w:color w:val="000000" w:themeColor="text1"/>
                <w:sz w:val="18"/>
                <w:szCs w:val="18"/>
                <w:lang w:val="pt-BR" w:eastAsia="pt-BR"/>
              </w:rPr>
              <w:t>day</w:t>
            </w:r>
            <w:proofErr w:type="spellEnd"/>
          </w:p>
        </w:tc>
        <w:tc>
          <w:tcPr>
            <w:tcW w:w="1918" w:type="dxa"/>
            <w:noWrap/>
            <w:vAlign w:val="bottom"/>
            <w:hideMark/>
          </w:tcPr>
          <w:p w14:paraId="231CC334"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0.0025–0.0035</w:t>
            </w:r>
          </w:p>
        </w:tc>
        <w:tc>
          <w:tcPr>
            <w:tcW w:w="1560" w:type="dxa"/>
            <w:noWrap/>
            <w:vAlign w:val="bottom"/>
            <w:hideMark/>
          </w:tcPr>
          <w:p w14:paraId="21795F56"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±17%</w:t>
            </w:r>
          </w:p>
        </w:tc>
        <w:tc>
          <w:tcPr>
            <w:tcW w:w="1984" w:type="dxa"/>
            <w:noWrap/>
            <w:vAlign w:val="bottom"/>
            <w:hideMark/>
          </w:tcPr>
          <w:p w14:paraId="484B179F"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Benchmarks ±15%</w:t>
            </w:r>
          </w:p>
        </w:tc>
      </w:tr>
      <w:tr w:rsidR="00A70916" w:rsidRPr="00A70916" w14:paraId="1357E766" w14:textId="77777777" w:rsidTr="00CE3CB4">
        <w:trPr>
          <w:trHeight w:val="290"/>
          <w:jc w:val="center"/>
        </w:trPr>
        <w:tc>
          <w:tcPr>
            <w:tcW w:w="1701" w:type="dxa"/>
            <w:noWrap/>
            <w:vAlign w:val="bottom"/>
            <w:hideMark/>
          </w:tcPr>
          <w:p w14:paraId="435D0167" w14:textId="77777777" w:rsidR="00747409" w:rsidRPr="00EE5E5C" w:rsidRDefault="00747409" w:rsidP="00CE3CB4">
            <w:pPr>
              <w:widowControl/>
              <w:autoSpaceDE/>
              <w:autoSpaceDN/>
              <w:rPr>
                <w:rFonts w:cs="Times New Roman"/>
                <w:color w:val="000000" w:themeColor="text1"/>
                <w:sz w:val="18"/>
                <w:szCs w:val="18"/>
                <w:lang w:val="pt-BR" w:eastAsia="pt-BR"/>
              </w:rPr>
            </w:pPr>
            <w:proofErr w:type="spellStart"/>
            <w:r w:rsidRPr="00EE5E5C">
              <w:rPr>
                <w:rFonts w:cs="Times New Roman"/>
                <w:color w:val="000000" w:themeColor="text1"/>
                <w:sz w:val="18"/>
                <w:szCs w:val="18"/>
                <w:lang w:val="pt-BR" w:eastAsia="pt-BR"/>
              </w:rPr>
              <w:t>Stockout</w:t>
            </w:r>
            <w:proofErr w:type="spellEnd"/>
            <w:r w:rsidRPr="00EE5E5C">
              <w:rPr>
                <w:rFonts w:cs="Times New Roman"/>
                <w:color w:val="000000" w:themeColor="text1"/>
                <w:sz w:val="18"/>
                <w:szCs w:val="18"/>
                <w:lang w:val="pt-BR" w:eastAsia="pt-BR"/>
              </w:rPr>
              <w:t xml:space="preserve"> </w:t>
            </w:r>
            <w:proofErr w:type="spellStart"/>
            <w:r w:rsidRPr="00EE5E5C">
              <w:rPr>
                <w:rFonts w:cs="Times New Roman"/>
                <w:color w:val="000000" w:themeColor="text1"/>
                <w:sz w:val="18"/>
                <w:szCs w:val="18"/>
                <w:lang w:val="pt-BR" w:eastAsia="pt-BR"/>
              </w:rPr>
              <w:t>penalty</w:t>
            </w:r>
            <w:proofErr w:type="spellEnd"/>
          </w:p>
        </w:tc>
        <w:tc>
          <w:tcPr>
            <w:tcW w:w="1909" w:type="dxa"/>
            <w:noWrap/>
            <w:vAlign w:val="bottom"/>
            <w:hideMark/>
          </w:tcPr>
          <w:p w14:paraId="620BB684"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25.0</w:t>
            </w:r>
          </w:p>
        </w:tc>
        <w:tc>
          <w:tcPr>
            <w:tcW w:w="1918" w:type="dxa"/>
            <w:noWrap/>
            <w:vAlign w:val="bottom"/>
            <w:hideMark/>
          </w:tcPr>
          <w:p w14:paraId="7665C795"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20–35 (</w:t>
            </w:r>
            <w:proofErr w:type="spellStart"/>
            <w:r w:rsidRPr="00EE5E5C">
              <w:rPr>
                <w:rFonts w:cs="Times New Roman"/>
                <w:color w:val="000000" w:themeColor="text1"/>
                <w:sz w:val="18"/>
                <w:szCs w:val="18"/>
                <w:lang w:val="pt-BR" w:eastAsia="pt-BR"/>
              </w:rPr>
              <w:t>implicit</w:t>
            </w:r>
            <w:proofErr w:type="spellEnd"/>
            <w:r w:rsidRPr="00EE5E5C">
              <w:rPr>
                <w:rFonts w:cs="Times New Roman"/>
                <w:color w:val="000000" w:themeColor="text1"/>
                <w:sz w:val="18"/>
                <w:szCs w:val="18"/>
                <w:lang w:val="pt-BR" w:eastAsia="pt-BR"/>
              </w:rPr>
              <w:t>)</w:t>
            </w:r>
          </w:p>
        </w:tc>
        <w:tc>
          <w:tcPr>
            <w:tcW w:w="1560" w:type="dxa"/>
            <w:noWrap/>
            <w:vAlign w:val="bottom"/>
            <w:hideMark/>
          </w:tcPr>
          <w:p w14:paraId="39A692F8"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±28%</w:t>
            </w:r>
          </w:p>
        </w:tc>
        <w:tc>
          <w:tcPr>
            <w:tcW w:w="1984" w:type="dxa"/>
            <w:noWrap/>
            <w:vAlign w:val="bottom"/>
            <w:hideMark/>
          </w:tcPr>
          <w:p w14:paraId="4661070A" w14:textId="77777777" w:rsidR="00747409" w:rsidRPr="00EE5E5C" w:rsidRDefault="00747409" w:rsidP="00541F14">
            <w:pPr>
              <w:widowControl/>
              <w:autoSpaceDE/>
              <w:autoSpaceDN/>
              <w:jc w:val="center"/>
              <w:rPr>
                <w:rFonts w:cs="Times New Roman"/>
                <w:color w:val="000000" w:themeColor="text1"/>
                <w:sz w:val="18"/>
                <w:szCs w:val="18"/>
                <w:lang w:val="pt-BR" w:eastAsia="pt-BR"/>
              </w:rPr>
            </w:pPr>
            <w:r w:rsidRPr="00EE5E5C">
              <w:rPr>
                <w:rFonts w:cs="Times New Roman"/>
                <w:color w:val="000000" w:themeColor="text1"/>
                <w:sz w:val="18"/>
                <w:szCs w:val="18"/>
                <w:lang w:val="pt-BR" w:eastAsia="pt-BR"/>
              </w:rPr>
              <w:t>Expert consensus</w:t>
            </w:r>
          </w:p>
        </w:tc>
      </w:tr>
    </w:tbl>
    <w:p w14:paraId="2E54E296" w14:textId="3F3330F0" w:rsidR="00747409" w:rsidRPr="00A70916" w:rsidRDefault="00747409" w:rsidP="00747409">
      <w:pPr>
        <w:pStyle w:val="text-base"/>
        <w:spacing w:before="0" w:after="0"/>
        <w:jc w:val="both"/>
        <w:rPr>
          <w:color w:val="000000" w:themeColor="text1"/>
          <w:lang w:val="en-US"/>
        </w:rPr>
      </w:pPr>
      <w:r w:rsidRPr="005B3F97">
        <w:rPr>
          <w:lang w:val="en-US"/>
        </w:rPr>
        <w:t xml:space="preserve">All synthesized parameters fall within observed or expert-validated parameters or ranges in the literature (±94% minimum agreement among two independent experts, with 15–22 years of SUS experience). The largest deviation from the benchmark range occurs for the stockout penalty (±28%), which represents an implicit valuation of clinical service loss rather than a directly observed accounting quantity. We did not run a full parameter-sensitivity sweep </w:t>
      </w:r>
      <w:r w:rsidR="00667011">
        <w:rPr>
          <w:lang w:val="en-US"/>
        </w:rPr>
        <w:t>within the current computational budget</w:t>
      </w:r>
      <w:r w:rsidR="00D1615B">
        <w:rPr>
          <w:lang w:val="en-US"/>
        </w:rPr>
        <w:t xml:space="preserve">. The </w:t>
      </w:r>
      <w:r w:rsidR="00667011">
        <w:rPr>
          <w:lang w:val="en-US"/>
        </w:rPr>
        <w:t>confirmatory work should vary the stockout penalty by at least ±30% and report the rank stability of policy outcomes (e.g.</w:t>
      </w:r>
      <w:r w:rsidRPr="005B3F97">
        <w:rPr>
          <w:lang w:val="en-US"/>
        </w:rPr>
        <w:t xml:space="preserve">, Kendall’s </w:t>
      </w:r>
      <w:r>
        <w:t>τ</w:t>
      </w:r>
      <w:r w:rsidRPr="005B3F97">
        <w:rPr>
          <w:lang w:val="en-US"/>
        </w:rPr>
        <w:t xml:space="preserve"> on policy rankings)</w:t>
      </w:r>
      <w:r w:rsidR="005F1157">
        <w:rPr>
          <w:lang w:val="en-US"/>
        </w:rPr>
        <w:t>.</w:t>
      </w:r>
      <w:r w:rsidRPr="005B3F97">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s</m:t>
            </m:r>
          </m:sub>
        </m:sSub>
      </m:oMath>
      <w:r w:rsidRPr="005B3F97">
        <w:rPr>
          <w:lang w:val="en-US"/>
        </w:rPr>
        <w:t xml:space="preserve"> directly shapes ordering incentives under disruption.</w:t>
      </w:r>
    </w:p>
    <w:p w14:paraId="0985669E" w14:textId="77777777" w:rsidR="00747409" w:rsidRPr="00A70916" w:rsidRDefault="00747409" w:rsidP="00AB3735">
      <w:pPr>
        <w:pStyle w:val="Ttulo3"/>
        <w:spacing w:before="0" w:after="0"/>
        <w:rPr>
          <w:lang w:eastAsia="pt-BR"/>
        </w:rPr>
      </w:pPr>
      <w:r w:rsidRPr="00A70916">
        <w:rPr>
          <w:rFonts w:eastAsia="Times New Roman"/>
          <w:sz w:val="20"/>
          <w:lang w:eastAsia="pt-BR"/>
        </w:rPr>
        <w:lastRenderedPageBreak/>
        <w:t>B.8 Parameter Transferability Assessment for Cross-Context Deployment</w:t>
      </w:r>
    </w:p>
    <w:p w14:paraId="5DBE71DF" w14:textId="77777777" w:rsidR="00747409" w:rsidRPr="00A70916" w:rsidRDefault="00747409" w:rsidP="00747409">
      <w:pPr>
        <w:pStyle w:val="text-base"/>
        <w:spacing w:before="0" w:after="0"/>
        <w:jc w:val="both"/>
        <w:rPr>
          <w:color w:val="000000" w:themeColor="text1"/>
          <w:lang w:val="en-US"/>
        </w:rPr>
      </w:pPr>
      <w:r w:rsidRPr="00A70916">
        <w:rPr>
          <w:color w:val="000000" w:themeColor="text1"/>
          <w:lang w:val="en-US"/>
        </w:rPr>
        <w:t xml:space="preserve">The model is generalized to the organization in similar alternative care situations; however, there is a middle ground between the resilience of the policy orderings (the strength of the sensitivity analysis) and the need for relative parameters. The </w:t>
      </w:r>
      <w:r w:rsidR="00136957">
        <w:rPr>
          <w:color w:val="000000" w:themeColor="text1"/>
          <w:lang w:val="en-US"/>
        </w:rPr>
        <w:t>benchmarking step</w:t>
      </w:r>
      <w:r w:rsidRPr="00A70916">
        <w:rPr>
          <w:color w:val="000000" w:themeColor="text1"/>
          <w:lang w:val="en-US"/>
        </w:rPr>
        <w:t xml:space="preserve"> is universal, but the specific parameter values are not. As Table B8.1 indicates, transferable generalizability is offered for all six parameters of interest, listed in order from highest to lowest.</w:t>
      </w:r>
    </w:p>
    <w:p w14:paraId="6E2353DF" w14:textId="77777777" w:rsidR="00747409" w:rsidRPr="001E2130" w:rsidRDefault="00747409" w:rsidP="007F1654">
      <w:pPr>
        <w:pStyle w:val="Corpodetexto"/>
        <w:spacing w:before="0" w:beforeAutospacing="1" w:line="286" w:lineRule="auto"/>
        <w:ind w:left="216" w:right="14"/>
        <w:rPr>
          <w:rFonts w:cs="Times New Roman"/>
          <w:b/>
          <w:bCs/>
          <w:color w:val="000000" w:themeColor="text1"/>
          <w:sz w:val="22"/>
          <w:szCs w:val="22"/>
          <w:lang w:eastAsia="pt-BR"/>
        </w:rPr>
      </w:pPr>
      <w:r w:rsidRPr="001E2130">
        <w:rPr>
          <w:rFonts w:cs="Times New Roman"/>
          <w:b/>
          <w:bCs/>
          <w:color w:val="000000" w:themeColor="text1"/>
          <w:sz w:val="22"/>
          <w:szCs w:val="22"/>
          <w:lang w:eastAsia="pt-BR"/>
        </w:rPr>
        <w:t>Table B8.1: Parameter Transferability Classification and Implementation Requirements</w:t>
      </w:r>
    </w:p>
    <w:tbl>
      <w:tblPr>
        <w:tblW w:w="9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3"/>
        <w:gridCol w:w="1656"/>
        <w:gridCol w:w="3525"/>
        <w:gridCol w:w="2827"/>
      </w:tblGrid>
      <w:tr w:rsidR="00A70916" w:rsidRPr="00A70916" w14:paraId="666C3280" w14:textId="77777777" w:rsidTr="001C4BA5">
        <w:trPr>
          <w:trHeight w:val="290"/>
          <w:jc w:val="center"/>
        </w:trPr>
        <w:tc>
          <w:tcPr>
            <w:tcW w:w="1573" w:type="dxa"/>
            <w:noWrap/>
            <w:vAlign w:val="center"/>
            <w:hideMark/>
          </w:tcPr>
          <w:p w14:paraId="5C558660" w14:textId="77777777" w:rsidR="00747409" w:rsidRPr="001E2130" w:rsidRDefault="00747409" w:rsidP="001C4BA5">
            <w:pPr>
              <w:widowControl/>
              <w:autoSpaceDE/>
              <w:autoSpaceDN/>
              <w:jc w:val="center"/>
              <w:rPr>
                <w:rFonts w:cs="Times New Roman"/>
                <w:b/>
                <w:bCs/>
                <w:color w:val="000000" w:themeColor="text1"/>
                <w:szCs w:val="20"/>
                <w:lang w:val="pt-BR" w:eastAsia="pt-BR"/>
              </w:rPr>
            </w:pPr>
            <w:proofErr w:type="spellStart"/>
            <w:r w:rsidRPr="001E2130">
              <w:rPr>
                <w:rFonts w:cs="Times New Roman"/>
                <w:b/>
                <w:bCs/>
                <w:color w:val="000000" w:themeColor="text1"/>
                <w:szCs w:val="20"/>
                <w:lang w:val="pt-BR" w:eastAsia="pt-BR"/>
              </w:rPr>
              <w:t>Parameter</w:t>
            </w:r>
            <w:proofErr w:type="spellEnd"/>
          </w:p>
        </w:tc>
        <w:tc>
          <w:tcPr>
            <w:tcW w:w="1656" w:type="dxa"/>
            <w:noWrap/>
            <w:vAlign w:val="center"/>
            <w:hideMark/>
          </w:tcPr>
          <w:p w14:paraId="5810EE29" w14:textId="77777777" w:rsidR="00747409" w:rsidRPr="001E2130" w:rsidRDefault="00747409" w:rsidP="001C4BA5">
            <w:pPr>
              <w:widowControl/>
              <w:autoSpaceDE/>
              <w:autoSpaceDN/>
              <w:jc w:val="center"/>
              <w:rPr>
                <w:rFonts w:cs="Times New Roman"/>
                <w:b/>
                <w:bCs/>
                <w:color w:val="000000" w:themeColor="text1"/>
                <w:szCs w:val="20"/>
                <w:lang w:val="pt-BR" w:eastAsia="pt-BR"/>
              </w:rPr>
            </w:pPr>
            <w:proofErr w:type="spellStart"/>
            <w:r w:rsidRPr="001E2130">
              <w:rPr>
                <w:rFonts w:cs="Times New Roman"/>
                <w:b/>
                <w:bCs/>
                <w:color w:val="000000" w:themeColor="text1"/>
                <w:szCs w:val="20"/>
                <w:lang w:val="pt-BR" w:eastAsia="pt-BR"/>
              </w:rPr>
              <w:t>Generalizability</w:t>
            </w:r>
            <w:proofErr w:type="spellEnd"/>
          </w:p>
        </w:tc>
        <w:tc>
          <w:tcPr>
            <w:tcW w:w="3525" w:type="dxa"/>
            <w:noWrap/>
            <w:vAlign w:val="center"/>
            <w:hideMark/>
          </w:tcPr>
          <w:p w14:paraId="1C8D7A35" w14:textId="77777777" w:rsidR="00747409" w:rsidRPr="001E2130" w:rsidRDefault="00747409" w:rsidP="001C4BA5">
            <w:pPr>
              <w:widowControl/>
              <w:autoSpaceDE/>
              <w:autoSpaceDN/>
              <w:jc w:val="center"/>
              <w:rPr>
                <w:rFonts w:cs="Times New Roman"/>
                <w:b/>
                <w:bCs/>
                <w:color w:val="000000" w:themeColor="text1"/>
                <w:szCs w:val="20"/>
                <w:lang w:val="pt-BR" w:eastAsia="pt-BR"/>
              </w:rPr>
            </w:pPr>
            <w:proofErr w:type="spellStart"/>
            <w:r w:rsidRPr="001E2130">
              <w:rPr>
                <w:rFonts w:cs="Times New Roman"/>
                <w:b/>
                <w:bCs/>
                <w:color w:val="000000" w:themeColor="text1"/>
                <w:szCs w:val="20"/>
                <w:lang w:val="pt-BR" w:eastAsia="pt-BR"/>
              </w:rPr>
              <w:t>Adaptation</w:t>
            </w:r>
            <w:proofErr w:type="spellEnd"/>
            <w:r w:rsidRPr="001E2130">
              <w:rPr>
                <w:rFonts w:cs="Times New Roman"/>
                <w:b/>
                <w:bCs/>
                <w:color w:val="000000" w:themeColor="text1"/>
                <w:szCs w:val="20"/>
                <w:lang w:val="pt-BR" w:eastAsia="pt-BR"/>
              </w:rPr>
              <w:t xml:space="preserve"> </w:t>
            </w:r>
            <w:proofErr w:type="spellStart"/>
            <w:r w:rsidRPr="001E2130">
              <w:rPr>
                <w:rFonts w:cs="Times New Roman"/>
                <w:b/>
                <w:bCs/>
                <w:color w:val="000000" w:themeColor="text1"/>
                <w:szCs w:val="20"/>
                <w:lang w:val="pt-BR" w:eastAsia="pt-BR"/>
              </w:rPr>
              <w:t>Strategy</w:t>
            </w:r>
            <w:proofErr w:type="spellEnd"/>
          </w:p>
        </w:tc>
        <w:tc>
          <w:tcPr>
            <w:tcW w:w="2827" w:type="dxa"/>
            <w:noWrap/>
            <w:vAlign w:val="center"/>
            <w:hideMark/>
          </w:tcPr>
          <w:p w14:paraId="7A95F886" w14:textId="77777777" w:rsidR="00747409" w:rsidRPr="001E2130" w:rsidRDefault="00747409" w:rsidP="001C4BA5">
            <w:pPr>
              <w:widowControl/>
              <w:autoSpaceDE/>
              <w:autoSpaceDN/>
              <w:jc w:val="center"/>
              <w:rPr>
                <w:rFonts w:cs="Times New Roman"/>
                <w:color w:val="000000" w:themeColor="text1"/>
                <w:szCs w:val="20"/>
                <w:lang w:val="pt-BR" w:eastAsia="pt-BR"/>
              </w:rPr>
            </w:pPr>
            <w:proofErr w:type="spellStart"/>
            <w:r w:rsidRPr="001E2130">
              <w:rPr>
                <w:rFonts w:cs="Times New Roman"/>
                <w:b/>
                <w:bCs/>
                <w:color w:val="000000" w:themeColor="text1"/>
                <w:szCs w:val="20"/>
                <w:lang w:val="pt-BR" w:eastAsia="pt-BR"/>
              </w:rPr>
              <w:t>Validation</w:t>
            </w:r>
            <w:proofErr w:type="spellEnd"/>
            <w:r w:rsidRPr="001E2130">
              <w:rPr>
                <w:rFonts w:cs="Times New Roman"/>
                <w:b/>
                <w:bCs/>
                <w:color w:val="000000" w:themeColor="text1"/>
                <w:szCs w:val="20"/>
                <w:lang w:val="pt-BR" w:eastAsia="pt-BR"/>
              </w:rPr>
              <w:t xml:space="preserve"> </w:t>
            </w:r>
            <w:proofErr w:type="spellStart"/>
            <w:r w:rsidRPr="001E2130">
              <w:rPr>
                <w:rFonts w:cs="Times New Roman"/>
                <w:b/>
                <w:bCs/>
                <w:color w:val="000000" w:themeColor="text1"/>
                <w:szCs w:val="20"/>
                <w:lang w:val="pt-BR" w:eastAsia="pt-BR"/>
              </w:rPr>
              <w:t>Protocol</w:t>
            </w:r>
            <w:proofErr w:type="spellEnd"/>
          </w:p>
        </w:tc>
      </w:tr>
      <w:tr w:rsidR="00A70916" w:rsidRPr="001C4BA5" w14:paraId="474AC2F4" w14:textId="77777777" w:rsidTr="00541F14">
        <w:trPr>
          <w:trHeight w:val="290"/>
          <w:jc w:val="center"/>
        </w:trPr>
        <w:tc>
          <w:tcPr>
            <w:tcW w:w="1573" w:type="dxa"/>
            <w:noWrap/>
            <w:vAlign w:val="center"/>
            <w:hideMark/>
          </w:tcPr>
          <w:p w14:paraId="5FDA4239" w14:textId="77777777" w:rsidR="00747409" w:rsidRPr="001C4BA5" w:rsidRDefault="00747409" w:rsidP="00932583">
            <w:pPr>
              <w:widowControl/>
              <w:autoSpaceDE/>
              <w:autoSpaceDN/>
              <w:rPr>
                <w:rFonts w:cs="Times New Roman"/>
                <w:color w:val="000000" w:themeColor="text1"/>
                <w:sz w:val="18"/>
                <w:szCs w:val="18"/>
                <w:lang w:val="pt-BR" w:eastAsia="pt-BR"/>
              </w:rPr>
            </w:pPr>
            <w:r w:rsidRPr="001C4BA5">
              <w:rPr>
                <w:rFonts w:cs="Times New Roman"/>
                <w:color w:val="000000" w:themeColor="text1"/>
                <w:sz w:val="18"/>
                <w:szCs w:val="18"/>
                <w:lang w:val="pt-BR" w:eastAsia="pt-BR"/>
              </w:rPr>
              <w:t>Lead time</w:t>
            </w:r>
          </w:p>
        </w:tc>
        <w:tc>
          <w:tcPr>
            <w:tcW w:w="1656" w:type="dxa"/>
            <w:noWrap/>
            <w:vAlign w:val="center"/>
            <w:hideMark/>
          </w:tcPr>
          <w:p w14:paraId="532B69DC" w14:textId="77777777" w:rsidR="00747409" w:rsidRPr="001C4BA5" w:rsidRDefault="00747409" w:rsidP="00932583">
            <w:pPr>
              <w:widowControl/>
              <w:autoSpaceDE/>
              <w:autoSpaceDN/>
              <w:rPr>
                <w:rFonts w:cs="Times New Roman"/>
                <w:color w:val="000000" w:themeColor="text1"/>
                <w:sz w:val="18"/>
                <w:szCs w:val="18"/>
                <w:lang w:val="pt-BR" w:eastAsia="pt-BR"/>
              </w:rPr>
            </w:pPr>
            <w:proofErr w:type="spellStart"/>
            <w:r w:rsidRPr="001C4BA5">
              <w:rPr>
                <w:rFonts w:cs="Times New Roman"/>
                <w:color w:val="000000" w:themeColor="text1"/>
                <w:sz w:val="18"/>
                <w:szCs w:val="18"/>
                <w:lang w:val="pt-BR" w:eastAsia="pt-BR"/>
              </w:rPr>
              <w:t>Partial</w:t>
            </w:r>
            <w:proofErr w:type="spellEnd"/>
            <w:r w:rsidRPr="001C4BA5">
              <w:rPr>
                <w:rFonts w:cs="Times New Roman"/>
                <w:color w:val="000000" w:themeColor="text1"/>
                <w:sz w:val="18"/>
                <w:szCs w:val="18"/>
                <w:lang w:val="pt-BR" w:eastAsia="pt-BR"/>
              </w:rPr>
              <w:t xml:space="preserve"> (</w:t>
            </w:r>
            <w:proofErr w:type="spellStart"/>
            <w:r w:rsidRPr="001C4BA5">
              <w:rPr>
                <w:rFonts w:cs="Times New Roman"/>
                <w:color w:val="000000" w:themeColor="text1"/>
                <w:sz w:val="18"/>
                <w:szCs w:val="18"/>
                <w:lang w:val="pt-BR" w:eastAsia="pt-BR"/>
              </w:rPr>
              <w:t>within</w:t>
            </w:r>
            <w:proofErr w:type="spellEnd"/>
            <w:r w:rsidRPr="001C4BA5">
              <w:rPr>
                <w:rFonts w:cs="Times New Roman"/>
                <w:color w:val="000000" w:themeColor="text1"/>
                <w:sz w:val="18"/>
                <w:szCs w:val="18"/>
                <w:lang w:val="pt-BR" w:eastAsia="pt-BR"/>
              </w:rPr>
              <w:t>-country)</w:t>
            </w:r>
          </w:p>
        </w:tc>
        <w:tc>
          <w:tcPr>
            <w:tcW w:w="3525" w:type="dxa"/>
            <w:noWrap/>
            <w:vAlign w:val="center"/>
            <w:hideMark/>
          </w:tcPr>
          <w:p w14:paraId="4388FF01" w14:textId="77777777" w:rsidR="00747409" w:rsidRPr="001C4BA5" w:rsidRDefault="00747409" w:rsidP="00932583">
            <w:pPr>
              <w:widowControl/>
              <w:autoSpaceDE/>
              <w:autoSpaceDN/>
              <w:rPr>
                <w:rFonts w:cs="Times New Roman"/>
                <w:color w:val="000000" w:themeColor="text1"/>
                <w:sz w:val="18"/>
                <w:szCs w:val="18"/>
                <w:lang w:eastAsia="pt-BR"/>
              </w:rPr>
            </w:pPr>
            <w:r w:rsidRPr="001C4BA5">
              <w:rPr>
                <w:rFonts w:cs="Times New Roman"/>
                <w:color w:val="000000" w:themeColor="text1"/>
                <w:sz w:val="18"/>
                <w:szCs w:val="18"/>
                <w:lang w:eastAsia="pt-BR"/>
              </w:rPr>
              <w:t xml:space="preserve">Audit actual procurement timelines </w:t>
            </w:r>
            <w:proofErr w:type="gramStart"/>
            <w:r w:rsidRPr="001C4BA5">
              <w:rPr>
                <w:rFonts w:cs="Times New Roman"/>
                <w:color w:val="000000" w:themeColor="text1"/>
                <w:sz w:val="18"/>
                <w:szCs w:val="18"/>
                <w:lang w:eastAsia="pt-BR"/>
              </w:rPr>
              <w:t>per</w:t>
            </w:r>
            <w:proofErr w:type="gramEnd"/>
            <w:r w:rsidRPr="001C4BA5">
              <w:rPr>
                <w:rFonts w:cs="Times New Roman"/>
                <w:color w:val="000000" w:themeColor="text1"/>
                <w:sz w:val="18"/>
                <w:szCs w:val="18"/>
                <w:lang w:eastAsia="pt-BR"/>
              </w:rPr>
              <w:t xml:space="preserve"> Law 8,666/93</w:t>
            </w:r>
          </w:p>
        </w:tc>
        <w:tc>
          <w:tcPr>
            <w:tcW w:w="2827" w:type="dxa"/>
            <w:noWrap/>
            <w:vAlign w:val="center"/>
            <w:hideMark/>
          </w:tcPr>
          <w:p w14:paraId="79AB9A48" w14:textId="77777777" w:rsidR="00747409" w:rsidRPr="001C4BA5" w:rsidRDefault="00747409" w:rsidP="00932583">
            <w:pPr>
              <w:widowControl/>
              <w:autoSpaceDE/>
              <w:autoSpaceDN/>
              <w:rPr>
                <w:rFonts w:cs="Times New Roman"/>
                <w:color w:val="000000" w:themeColor="text1"/>
                <w:sz w:val="18"/>
                <w:szCs w:val="18"/>
                <w:lang w:val="pt-BR" w:eastAsia="pt-BR"/>
              </w:rPr>
            </w:pPr>
            <w:proofErr w:type="spellStart"/>
            <w:r w:rsidRPr="001C4BA5">
              <w:rPr>
                <w:rFonts w:cs="Times New Roman"/>
                <w:color w:val="000000" w:themeColor="text1"/>
                <w:sz w:val="18"/>
                <w:szCs w:val="18"/>
                <w:lang w:val="pt-BR" w:eastAsia="pt-BR"/>
              </w:rPr>
              <w:t>Verify</w:t>
            </w:r>
            <w:proofErr w:type="spellEnd"/>
            <w:r w:rsidRPr="001C4BA5">
              <w:rPr>
                <w:rFonts w:cs="Times New Roman"/>
                <w:color w:val="000000" w:themeColor="text1"/>
                <w:sz w:val="18"/>
                <w:szCs w:val="18"/>
                <w:lang w:val="pt-BR" w:eastAsia="pt-BR"/>
              </w:rPr>
              <w:t xml:space="preserve"> 50+ </w:t>
            </w:r>
            <w:proofErr w:type="spellStart"/>
            <w:r w:rsidRPr="001C4BA5">
              <w:rPr>
                <w:rFonts w:cs="Times New Roman"/>
                <w:color w:val="000000" w:themeColor="text1"/>
                <w:sz w:val="18"/>
                <w:szCs w:val="18"/>
                <w:lang w:val="pt-BR" w:eastAsia="pt-BR"/>
              </w:rPr>
              <w:t>historical</w:t>
            </w:r>
            <w:proofErr w:type="spellEnd"/>
            <w:r w:rsidRPr="001C4BA5">
              <w:rPr>
                <w:rFonts w:cs="Times New Roman"/>
                <w:color w:val="000000" w:themeColor="text1"/>
                <w:sz w:val="18"/>
                <w:szCs w:val="18"/>
                <w:lang w:val="pt-BR" w:eastAsia="pt-BR"/>
              </w:rPr>
              <w:t xml:space="preserve"> </w:t>
            </w:r>
            <w:proofErr w:type="spellStart"/>
            <w:r w:rsidRPr="001C4BA5">
              <w:rPr>
                <w:rFonts w:cs="Times New Roman"/>
                <w:color w:val="000000" w:themeColor="text1"/>
                <w:sz w:val="18"/>
                <w:szCs w:val="18"/>
                <w:lang w:val="pt-BR" w:eastAsia="pt-BR"/>
              </w:rPr>
              <w:t>POs</w:t>
            </w:r>
            <w:proofErr w:type="spellEnd"/>
          </w:p>
        </w:tc>
      </w:tr>
      <w:tr w:rsidR="00A70916" w:rsidRPr="001C4BA5" w14:paraId="0C2FBD51" w14:textId="77777777" w:rsidTr="00541F14">
        <w:trPr>
          <w:trHeight w:val="290"/>
          <w:jc w:val="center"/>
        </w:trPr>
        <w:tc>
          <w:tcPr>
            <w:tcW w:w="1573" w:type="dxa"/>
            <w:noWrap/>
            <w:vAlign w:val="center"/>
            <w:hideMark/>
          </w:tcPr>
          <w:p w14:paraId="1A25DBCA" w14:textId="77777777" w:rsidR="00747409" w:rsidRPr="001C4BA5" w:rsidRDefault="00747409" w:rsidP="00932583">
            <w:pPr>
              <w:widowControl/>
              <w:autoSpaceDE/>
              <w:autoSpaceDN/>
              <w:rPr>
                <w:rFonts w:cs="Times New Roman"/>
                <w:color w:val="000000" w:themeColor="text1"/>
                <w:sz w:val="18"/>
                <w:szCs w:val="18"/>
                <w:lang w:val="pt-BR" w:eastAsia="pt-BR"/>
              </w:rPr>
            </w:pPr>
            <w:proofErr w:type="spellStart"/>
            <w:r w:rsidRPr="001C4BA5">
              <w:rPr>
                <w:rFonts w:cs="Times New Roman"/>
                <w:color w:val="000000" w:themeColor="text1"/>
                <w:sz w:val="18"/>
                <w:szCs w:val="18"/>
                <w:lang w:val="pt-BR" w:eastAsia="pt-BR"/>
              </w:rPr>
              <w:t>Transport</w:t>
            </w:r>
            <w:proofErr w:type="spellEnd"/>
            <w:r w:rsidRPr="001C4BA5">
              <w:rPr>
                <w:rFonts w:cs="Times New Roman"/>
                <w:color w:val="000000" w:themeColor="text1"/>
                <w:sz w:val="18"/>
                <w:szCs w:val="18"/>
                <w:lang w:val="pt-BR" w:eastAsia="pt-BR"/>
              </w:rPr>
              <w:t xml:space="preserve"> </w:t>
            </w:r>
            <w:proofErr w:type="spellStart"/>
            <w:r w:rsidRPr="001C4BA5">
              <w:rPr>
                <w:rFonts w:cs="Times New Roman"/>
                <w:color w:val="000000" w:themeColor="text1"/>
                <w:sz w:val="18"/>
                <w:szCs w:val="18"/>
                <w:lang w:val="pt-BR" w:eastAsia="pt-BR"/>
              </w:rPr>
              <w:t>cost</w:t>
            </w:r>
            <w:proofErr w:type="spellEnd"/>
          </w:p>
        </w:tc>
        <w:tc>
          <w:tcPr>
            <w:tcW w:w="1656" w:type="dxa"/>
            <w:noWrap/>
            <w:vAlign w:val="center"/>
            <w:hideMark/>
          </w:tcPr>
          <w:p w14:paraId="396DA35C" w14:textId="77777777" w:rsidR="00747409" w:rsidRPr="001C4BA5" w:rsidRDefault="00747409" w:rsidP="00932583">
            <w:pPr>
              <w:widowControl/>
              <w:autoSpaceDE/>
              <w:autoSpaceDN/>
              <w:rPr>
                <w:rFonts w:cs="Times New Roman"/>
                <w:color w:val="000000" w:themeColor="text1"/>
                <w:sz w:val="18"/>
                <w:szCs w:val="18"/>
                <w:lang w:val="pt-BR" w:eastAsia="pt-BR"/>
              </w:rPr>
            </w:pPr>
            <w:r w:rsidRPr="001C4BA5">
              <w:rPr>
                <w:rFonts w:cs="Times New Roman"/>
                <w:color w:val="000000" w:themeColor="text1"/>
                <w:sz w:val="18"/>
                <w:szCs w:val="18"/>
                <w:lang w:val="pt-BR" w:eastAsia="pt-BR"/>
              </w:rPr>
              <w:t>No (</w:t>
            </w:r>
            <w:proofErr w:type="spellStart"/>
            <w:r w:rsidRPr="001C4BA5">
              <w:rPr>
                <w:rFonts w:cs="Times New Roman"/>
                <w:color w:val="000000" w:themeColor="text1"/>
                <w:sz w:val="18"/>
                <w:szCs w:val="18"/>
                <w:lang w:val="pt-BR" w:eastAsia="pt-BR"/>
              </w:rPr>
              <w:t>geography-dependent</w:t>
            </w:r>
            <w:proofErr w:type="spellEnd"/>
            <w:r w:rsidRPr="001C4BA5">
              <w:rPr>
                <w:rFonts w:cs="Times New Roman"/>
                <w:color w:val="000000" w:themeColor="text1"/>
                <w:sz w:val="18"/>
                <w:szCs w:val="18"/>
                <w:lang w:val="pt-BR" w:eastAsia="pt-BR"/>
              </w:rPr>
              <w:t>)</w:t>
            </w:r>
          </w:p>
        </w:tc>
        <w:tc>
          <w:tcPr>
            <w:tcW w:w="3525" w:type="dxa"/>
            <w:noWrap/>
            <w:vAlign w:val="center"/>
            <w:hideMark/>
          </w:tcPr>
          <w:p w14:paraId="3E20C522" w14:textId="77777777" w:rsidR="00747409" w:rsidRPr="001C4BA5" w:rsidRDefault="00747409" w:rsidP="00932583">
            <w:pPr>
              <w:widowControl/>
              <w:autoSpaceDE/>
              <w:autoSpaceDN/>
              <w:rPr>
                <w:rFonts w:cs="Times New Roman"/>
                <w:color w:val="000000" w:themeColor="text1"/>
                <w:sz w:val="18"/>
                <w:szCs w:val="18"/>
                <w:lang w:eastAsia="pt-BR"/>
              </w:rPr>
            </w:pPr>
            <w:r w:rsidRPr="001C4BA5">
              <w:rPr>
                <w:rFonts w:cs="Times New Roman"/>
                <w:color w:val="000000" w:themeColor="text1"/>
                <w:sz w:val="18"/>
                <w:szCs w:val="18"/>
                <w:lang w:eastAsia="pt-BR"/>
              </w:rPr>
              <w:t>Compute via Google Maps routing + local rate surveys</w:t>
            </w:r>
          </w:p>
        </w:tc>
        <w:tc>
          <w:tcPr>
            <w:tcW w:w="2827" w:type="dxa"/>
            <w:noWrap/>
            <w:vAlign w:val="center"/>
            <w:hideMark/>
          </w:tcPr>
          <w:p w14:paraId="0A37727C" w14:textId="77777777" w:rsidR="00747409" w:rsidRPr="001C4BA5" w:rsidRDefault="00747409" w:rsidP="00932583">
            <w:pPr>
              <w:widowControl/>
              <w:autoSpaceDE/>
              <w:autoSpaceDN/>
              <w:rPr>
                <w:rFonts w:cs="Times New Roman"/>
                <w:color w:val="000000" w:themeColor="text1"/>
                <w:sz w:val="18"/>
                <w:szCs w:val="18"/>
                <w:lang w:val="pt-BR" w:eastAsia="pt-BR"/>
              </w:rPr>
            </w:pPr>
            <w:r w:rsidRPr="001C4BA5">
              <w:rPr>
                <w:rFonts w:cs="Times New Roman"/>
                <w:color w:val="000000" w:themeColor="text1"/>
                <w:sz w:val="18"/>
                <w:szCs w:val="18"/>
                <w:lang w:val="pt-BR" w:eastAsia="pt-BR"/>
              </w:rPr>
              <w:t xml:space="preserve">Benchmark </w:t>
            </w:r>
            <w:proofErr w:type="spellStart"/>
            <w:r w:rsidRPr="001C4BA5">
              <w:rPr>
                <w:rFonts w:cs="Times New Roman"/>
                <w:color w:val="000000" w:themeColor="text1"/>
                <w:sz w:val="18"/>
                <w:szCs w:val="18"/>
                <w:lang w:val="pt-BR" w:eastAsia="pt-BR"/>
              </w:rPr>
              <w:t>against</w:t>
            </w:r>
            <w:proofErr w:type="spellEnd"/>
            <w:r w:rsidRPr="001C4BA5">
              <w:rPr>
                <w:rFonts w:cs="Times New Roman"/>
                <w:color w:val="000000" w:themeColor="text1"/>
                <w:sz w:val="18"/>
                <w:szCs w:val="18"/>
                <w:lang w:val="pt-BR" w:eastAsia="pt-BR"/>
              </w:rPr>
              <w:t xml:space="preserve"> 3+ </w:t>
            </w:r>
            <w:proofErr w:type="spellStart"/>
            <w:r w:rsidRPr="001C4BA5">
              <w:rPr>
                <w:rFonts w:cs="Times New Roman"/>
                <w:color w:val="000000" w:themeColor="text1"/>
                <w:sz w:val="18"/>
                <w:szCs w:val="18"/>
                <w:lang w:val="pt-BR" w:eastAsia="pt-BR"/>
              </w:rPr>
              <w:t>transport</w:t>
            </w:r>
            <w:proofErr w:type="spellEnd"/>
            <w:r w:rsidRPr="001C4BA5">
              <w:rPr>
                <w:rFonts w:cs="Times New Roman"/>
                <w:color w:val="000000" w:themeColor="text1"/>
                <w:sz w:val="18"/>
                <w:szCs w:val="18"/>
                <w:lang w:val="pt-BR" w:eastAsia="pt-BR"/>
              </w:rPr>
              <w:t xml:space="preserve"> </w:t>
            </w:r>
            <w:proofErr w:type="spellStart"/>
            <w:r w:rsidRPr="001C4BA5">
              <w:rPr>
                <w:rFonts w:cs="Times New Roman"/>
                <w:color w:val="000000" w:themeColor="text1"/>
                <w:sz w:val="18"/>
                <w:szCs w:val="18"/>
                <w:lang w:val="pt-BR" w:eastAsia="pt-BR"/>
              </w:rPr>
              <w:t>providers</w:t>
            </w:r>
            <w:proofErr w:type="spellEnd"/>
          </w:p>
        </w:tc>
      </w:tr>
      <w:tr w:rsidR="00A70916" w:rsidRPr="001C4BA5" w14:paraId="43384596" w14:textId="77777777" w:rsidTr="00541F14">
        <w:trPr>
          <w:trHeight w:val="290"/>
          <w:jc w:val="center"/>
        </w:trPr>
        <w:tc>
          <w:tcPr>
            <w:tcW w:w="1573" w:type="dxa"/>
            <w:noWrap/>
            <w:vAlign w:val="center"/>
            <w:hideMark/>
          </w:tcPr>
          <w:p w14:paraId="1E7E7DBB" w14:textId="77777777" w:rsidR="00747409" w:rsidRPr="001C4BA5" w:rsidRDefault="00747409" w:rsidP="00932583">
            <w:pPr>
              <w:widowControl/>
              <w:autoSpaceDE/>
              <w:autoSpaceDN/>
              <w:rPr>
                <w:rFonts w:cs="Times New Roman"/>
                <w:color w:val="000000" w:themeColor="text1"/>
                <w:sz w:val="18"/>
                <w:szCs w:val="18"/>
                <w:lang w:val="pt-BR" w:eastAsia="pt-BR"/>
              </w:rPr>
            </w:pPr>
            <w:r w:rsidRPr="001C4BA5">
              <w:rPr>
                <w:rFonts w:cs="Times New Roman"/>
                <w:color w:val="000000" w:themeColor="text1"/>
                <w:sz w:val="18"/>
                <w:szCs w:val="18"/>
                <w:lang w:val="pt-BR" w:eastAsia="pt-BR"/>
              </w:rPr>
              <w:t xml:space="preserve">Unit </w:t>
            </w:r>
            <w:proofErr w:type="spellStart"/>
            <w:r w:rsidRPr="001C4BA5">
              <w:rPr>
                <w:rFonts w:cs="Times New Roman"/>
                <w:color w:val="000000" w:themeColor="text1"/>
                <w:sz w:val="18"/>
                <w:szCs w:val="18"/>
                <w:lang w:val="pt-BR" w:eastAsia="pt-BR"/>
              </w:rPr>
              <w:t>cost</w:t>
            </w:r>
            <w:proofErr w:type="spellEnd"/>
          </w:p>
        </w:tc>
        <w:tc>
          <w:tcPr>
            <w:tcW w:w="1656" w:type="dxa"/>
            <w:noWrap/>
            <w:vAlign w:val="center"/>
            <w:hideMark/>
          </w:tcPr>
          <w:p w14:paraId="75AA3656" w14:textId="77777777" w:rsidR="00747409" w:rsidRPr="001C4BA5" w:rsidRDefault="00747409" w:rsidP="00932583">
            <w:pPr>
              <w:widowControl/>
              <w:autoSpaceDE/>
              <w:autoSpaceDN/>
              <w:rPr>
                <w:rFonts w:cs="Times New Roman"/>
                <w:color w:val="000000" w:themeColor="text1"/>
                <w:sz w:val="18"/>
                <w:szCs w:val="18"/>
                <w:lang w:val="pt-BR" w:eastAsia="pt-BR"/>
              </w:rPr>
            </w:pPr>
            <w:r w:rsidRPr="001C4BA5">
              <w:rPr>
                <w:rFonts w:cs="Times New Roman"/>
                <w:color w:val="000000" w:themeColor="text1"/>
                <w:sz w:val="18"/>
                <w:szCs w:val="18"/>
                <w:lang w:val="pt-BR" w:eastAsia="pt-BR"/>
              </w:rPr>
              <w:t>No (</w:t>
            </w:r>
            <w:proofErr w:type="spellStart"/>
            <w:r w:rsidRPr="001C4BA5">
              <w:rPr>
                <w:rFonts w:cs="Times New Roman"/>
                <w:color w:val="000000" w:themeColor="text1"/>
                <w:sz w:val="18"/>
                <w:szCs w:val="18"/>
                <w:lang w:val="pt-BR" w:eastAsia="pt-BR"/>
              </w:rPr>
              <w:t>supplier-specific</w:t>
            </w:r>
            <w:proofErr w:type="spellEnd"/>
            <w:r w:rsidRPr="001C4BA5">
              <w:rPr>
                <w:rFonts w:cs="Times New Roman"/>
                <w:color w:val="000000" w:themeColor="text1"/>
                <w:sz w:val="18"/>
                <w:szCs w:val="18"/>
                <w:lang w:val="pt-BR" w:eastAsia="pt-BR"/>
              </w:rPr>
              <w:t>)</w:t>
            </w:r>
          </w:p>
        </w:tc>
        <w:tc>
          <w:tcPr>
            <w:tcW w:w="3525" w:type="dxa"/>
            <w:noWrap/>
            <w:vAlign w:val="center"/>
            <w:hideMark/>
          </w:tcPr>
          <w:p w14:paraId="1DF3856B" w14:textId="77777777" w:rsidR="00747409" w:rsidRPr="001C4BA5" w:rsidRDefault="00747409" w:rsidP="00932583">
            <w:pPr>
              <w:widowControl/>
              <w:autoSpaceDE/>
              <w:autoSpaceDN/>
              <w:rPr>
                <w:rFonts w:cs="Times New Roman"/>
                <w:color w:val="000000" w:themeColor="text1"/>
                <w:sz w:val="18"/>
                <w:szCs w:val="18"/>
                <w:lang w:eastAsia="pt-BR"/>
              </w:rPr>
            </w:pPr>
            <w:r w:rsidRPr="001C4BA5">
              <w:rPr>
                <w:rFonts w:cs="Times New Roman"/>
                <w:color w:val="000000" w:themeColor="text1"/>
                <w:sz w:val="18"/>
                <w:szCs w:val="18"/>
                <w:lang w:eastAsia="pt-BR"/>
              </w:rPr>
              <w:t>Obtain from recent institutional tenders</w:t>
            </w:r>
          </w:p>
        </w:tc>
        <w:tc>
          <w:tcPr>
            <w:tcW w:w="2827" w:type="dxa"/>
            <w:noWrap/>
            <w:vAlign w:val="center"/>
            <w:hideMark/>
          </w:tcPr>
          <w:p w14:paraId="22521D3C" w14:textId="77777777" w:rsidR="00747409" w:rsidRPr="001C4BA5" w:rsidRDefault="00747409" w:rsidP="00932583">
            <w:pPr>
              <w:widowControl/>
              <w:autoSpaceDE/>
              <w:autoSpaceDN/>
              <w:rPr>
                <w:rFonts w:cs="Times New Roman"/>
                <w:color w:val="000000" w:themeColor="text1"/>
                <w:sz w:val="18"/>
                <w:szCs w:val="18"/>
                <w:lang w:eastAsia="pt-BR"/>
              </w:rPr>
            </w:pPr>
            <w:r w:rsidRPr="001C4BA5">
              <w:rPr>
                <w:rFonts w:cs="Times New Roman"/>
                <w:color w:val="000000" w:themeColor="text1"/>
                <w:sz w:val="18"/>
                <w:szCs w:val="18"/>
                <w:lang w:eastAsia="pt-BR"/>
              </w:rPr>
              <w:t>Cross-validate with institutional procurement data</w:t>
            </w:r>
          </w:p>
        </w:tc>
      </w:tr>
      <w:tr w:rsidR="00A70916" w:rsidRPr="001C4BA5" w14:paraId="791AC6AE" w14:textId="77777777" w:rsidTr="00541F14">
        <w:trPr>
          <w:trHeight w:val="290"/>
          <w:jc w:val="center"/>
        </w:trPr>
        <w:tc>
          <w:tcPr>
            <w:tcW w:w="1573" w:type="dxa"/>
            <w:noWrap/>
            <w:vAlign w:val="center"/>
            <w:hideMark/>
          </w:tcPr>
          <w:p w14:paraId="60D26D92" w14:textId="77777777" w:rsidR="00747409" w:rsidRPr="001C4BA5" w:rsidRDefault="00747409" w:rsidP="00932583">
            <w:pPr>
              <w:widowControl/>
              <w:autoSpaceDE/>
              <w:autoSpaceDN/>
              <w:rPr>
                <w:rFonts w:cs="Times New Roman"/>
                <w:color w:val="000000" w:themeColor="text1"/>
                <w:sz w:val="18"/>
                <w:szCs w:val="18"/>
                <w:lang w:val="pt-BR" w:eastAsia="pt-BR"/>
              </w:rPr>
            </w:pPr>
            <w:r w:rsidRPr="001C4BA5">
              <w:rPr>
                <w:rFonts w:cs="Times New Roman"/>
                <w:color w:val="000000" w:themeColor="text1"/>
                <w:sz w:val="18"/>
                <w:szCs w:val="18"/>
                <w:lang w:val="pt-BR" w:eastAsia="pt-BR"/>
              </w:rPr>
              <w:t>Holding rate</w:t>
            </w:r>
          </w:p>
        </w:tc>
        <w:tc>
          <w:tcPr>
            <w:tcW w:w="1656" w:type="dxa"/>
            <w:noWrap/>
            <w:vAlign w:val="center"/>
            <w:hideMark/>
          </w:tcPr>
          <w:p w14:paraId="03C27154" w14:textId="77777777" w:rsidR="00747409" w:rsidRPr="001C4BA5" w:rsidRDefault="00747409" w:rsidP="00932583">
            <w:pPr>
              <w:widowControl/>
              <w:autoSpaceDE/>
              <w:autoSpaceDN/>
              <w:rPr>
                <w:rFonts w:cs="Times New Roman"/>
                <w:color w:val="000000" w:themeColor="text1"/>
                <w:sz w:val="18"/>
                <w:szCs w:val="18"/>
                <w:lang w:val="pt-BR" w:eastAsia="pt-BR"/>
              </w:rPr>
            </w:pPr>
            <w:proofErr w:type="spellStart"/>
            <w:r w:rsidRPr="001C4BA5">
              <w:rPr>
                <w:rFonts w:cs="Times New Roman"/>
                <w:color w:val="000000" w:themeColor="text1"/>
                <w:sz w:val="18"/>
                <w:szCs w:val="18"/>
                <w:lang w:val="pt-BR" w:eastAsia="pt-BR"/>
              </w:rPr>
              <w:t>Partial</w:t>
            </w:r>
            <w:proofErr w:type="spellEnd"/>
            <w:r w:rsidRPr="001C4BA5">
              <w:rPr>
                <w:rFonts w:cs="Times New Roman"/>
                <w:color w:val="000000" w:themeColor="text1"/>
                <w:sz w:val="18"/>
                <w:szCs w:val="18"/>
                <w:lang w:val="pt-BR" w:eastAsia="pt-BR"/>
              </w:rPr>
              <w:t xml:space="preserve"> (</w:t>
            </w:r>
            <w:proofErr w:type="spellStart"/>
            <w:r w:rsidRPr="001C4BA5">
              <w:rPr>
                <w:rFonts w:cs="Times New Roman"/>
                <w:color w:val="000000" w:themeColor="text1"/>
                <w:sz w:val="18"/>
                <w:szCs w:val="18"/>
                <w:lang w:val="pt-BR" w:eastAsia="pt-BR"/>
              </w:rPr>
              <w:t>facility-dependent</w:t>
            </w:r>
            <w:proofErr w:type="spellEnd"/>
            <w:r w:rsidRPr="001C4BA5">
              <w:rPr>
                <w:rFonts w:cs="Times New Roman"/>
                <w:color w:val="000000" w:themeColor="text1"/>
                <w:sz w:val="18"/>
                <w:szCs w:val="18"/>
                <w:lang w:val="pt-BR" w:eastAsia="pt-BR"/>
              </w:rPr>
              <w:t>)</w:t>
            </w:r>
          </w:p>
        </w:tc>
        <w:tc>
          <w:tcPr>
            <w:tcW w:w="3525" w:type="dxa"/>
            <w:noWrap/>
            <w:vAlign w:val="center"/>
            <w:hideMark/>
          </w:tcPr>
          <w:p w14:paraId="55825D96" w14:textId="77777777" w:rsidR="00747409" w:rsidRPr="001C4BA5" w:rsidRDefault="00747409" w:rsidP="00932583">
            <w:pPr>
              <w:widowControl/>
              <w:autoSpaceDE/>
              <w:autoSpaceDN/>
              <w:rPr>
                <w:rFonts w:cs="Times New Roman"/>
                <w:color w:val="000000" w:themeColor="text1"/>
                <w:sz w:val="18"/>
                <w:szCs w:val="18"/>
                <w:lang w:eastAsia="pt-BR"/>
              </w:rPr>
            </w:pPr>
            <w:r w:rsidRPr="001C4BA5">
              <w:rPr>
                <w:rFonts w:cs="Times New Roman"/>
                <w:color w:val="000000" w:themeColor="text1"/>
                <w:sz w:val="18"/>
                <w:szCs w:val="18"/>
                <w:lang w:eastAsia="pt-BR"/>
              </w:rPr>
              <w:t>Conduct a facility audit of storage capacity and opportunity costs</w:t>
            </w:r>
          </w:p>
        </w:tc>
        <w:tc>
          <w:tcPr>
            <w:tcW w:w="2827" w:type="dxa"/>
            <w:noWrap/>
            <w:vAlign w:val="center"/>
            <w:hideMark/>
          </w:tcPr>
          <w:p w14:paraId="054D1492" w14:textId="77777777" w:rsidR="00747409" w:rsidRPr="001C4BA5" w:rsidRDefault="00747409" w:rsidP="00932583">
            <w:pPr>
              <w:widowControl/>
              <w:autoSpaceDE/>
              <w:autoSpaceDN/>
              <w:rPr>
                <w:rFonts w:cs="Times New Roman"/>
                <w:color w:val="000000" w:themeColor="text1"/>
                <w:sz w:val="18"/>
                <w:szCs w:val="18"/>
                <w:lang w:val="pt-BR" w:eastAsia="pt-BR"/>
              </w:rPr>
            </w:pPr>
            <w:proofErr w:type="spellStart"/>
            <w:r w:rsidRPr="001C4BA5">
              <w:rPr>
                <w:rFonts w:cs="Times New Roman"/>
                <w:color w:val="000000" w:themeColor="text1"/>
                <w:sz w:val="18"/>
                <w:szCs w:val="18"/>
                <w:lang w:val="pt-BR" w:eastAsia="pt-BR"/>
              </w:rPr>
              <w:t>Facility-level</w:t>
            </w:r>
            <w:proofErr w:type="spellEnd"/>
            <w:r w:rsidRPr="001C4BA5">
              <w:rPr>
                <w:rFonts w:cs="Times New Roman"/>
                <w:color w:val="000000" w:themeColor="text1"/>
                <w:sz w:val="18"/>
                <w:szCs w:val="18"/>
                <w:lang w:val="pt-BR" w:eastAsia="pt-BR"/>
              </w:rPr>
              <w:t xml:space="preserve"> </w:t>
            </w:r>
            <w:proofErr w:type="spellStart"/>
            <w:r w:rsidRPr="001C4BA5">
              <w:rPr>
                <w:rFonts w:cs="Times New Roman"/>
                <w:color w:val="000000" w:themeColor="text1"/>
                <w:sz w:val="18"/>
                <w:szCs w:val="18"/>
                <w:lang w:val="pt-BR" w:eastAsia="pt-BR"/>
              </w:rPr>
              <w:t>cost</w:t>
            </w:r>
            <w:proofErr w:type="spellEnd"/>
            <w:r w:rsidRPr="001C4BA5">
              <w:rPr>
                <w:rFonts w:cs="Times New Roman"/>
                <w:color w:val="000000" w:themeColor="text1"/>
                <w:sz w:val="18"/>
                <w:szCs w:val="18"/>
                <w:lang w:val="pt-BR" w:eastAsia="pt-BR"/>
              </w:rPr>
              <w:t xml:space="preserve"> </w:t>
            </w:r>
            <w:proofErr w:type="spellStart"/>
            <w:r w:rsidRPr="001C4BA5">
              <w:rPr>
                <w:rFonts w:cs="Times New Roman"/>
                <w:color w:val="000000" w:themeColor="text1"/>
                <w:sz w:val="18"/>
                <w:szCs w:val="18"/>
                <w:lang w:val="pt-BR" w:eastAsia="pt-BR"/>
              </w:rPr>
              <w:t>accounting</w:t>
            </w:r>
            <w:proofErr w:type="spellEnd"/>
          </w:p>
        </w:tc>
      </w:tr>
      <w:tr w:rsidR="00A70916" w:rsidRPr="001C4BA5" w14:paraId="10DD237A" w14:textId="77777777" w:rsidTr="00541F14">
        <w:trPr>
          <w:trHeight w:val="290"/>
          <w:jc w:val="center"/>
        </w:trPr>
        <w:tc>
          <w:tcPr>
            <w:tcW w:w="1573" w:type="dxa"/>
            <w:noWrap/>
            <w:vAlign w:val="center"/>
            <w:hideMark/>
          </w:tcPr>
          <w:p w14:paraId="1344F068" w14:textId="77777777" w:rsidR="00747409" w:rsidRPr="001C4BA5" w:rsidRDefault="00747409" w:rsidP="00932583">
            <w:pPr>
              <w:widowControl/>
              <w:autoSpaceDE/>
              <w:autoSpaceDN/>
              <w:rPr>
                <w:rFonts w:cs="Times New Roman"/>
                <w:color w:val="000000" w:themeColor="text1"/>
                <w:sz w:val="18"/>
                <w:szCs w:val="18"/>
                <w:lang w:val="pt-BR" w:eastAsia="pt-BR"/>
              </w:rPr>
            </w:pPr>
            <w:proofErr w:type="spellStart"/>
            <w:r w:rsidRPr="001C4BA5">
              <w:rPr>
                <w:rFonts w:cs="Times New Roman"/>
                <w:color w:val="000000" w:themeColor="text1"/>
                <w:sz w:val="18"/>
                <w:szCs w:val="18"/>
                <w:lang w:val="pt-BR" w:eastAsia="pt-BR"/>
              </w:rPr>
              <w:t>Stockout</w:t>
            </w:r>
            <w:proofErr w:type="spellEnd"/>
            <w:r w:rsidRPr="001C4BA5">
              <w:rPr>
                <w:rFonts w:cs="Times New Roman"/>
                <w:color w:val="000000" w:themeColor="text1"/>
                <w:sz w:val="18"/>
                <w:szCs w:val="18"/>
                <w:lang w:val="pt-BR" w:eastAsia="pt-BR"/>
              </w:rPr>
              <w:t xml:space="preserve"> </w:t>
            </w:r>
            <w:proofErr w:type="spellStart"/>
            <w:r w:rsidRPr="001C4BA5">
              <w:rPr>
                <w:rFonts w:cs="Times New Roman"/>
                <w:color w:val="000000" w:themeColor="text1"/>
                <w:sz w:val="18"/>
                <w:szCs w:val="18"/>
                <w:lang w:val="pt-BR" w:eastAsia="pt-BR"/>
              </w:rPr>
              <w:t>penalty</w:t>
            </w:r>
            <w:proofErr w:type="spellEnd"/>
          </w:p>
        </w:tc>
        <w:tc>
          <w:tcPr>
            <w:tcW w:w="1656" w:type="dxa"/>
            <w:noWrap/>
            <w:vAlign w:val="center"/>
            <w:hideMark/>
          </w:tcPr>
          <w:p w14:paraId="56C78E89" w14:textId="77777777" w:rsidR="00747409" w:rsidRPr="001C4BA5" w:rsidRDefault="00747409" w:rsidP="00932583">
            <w:pPr>
              <w:widowControl/>
              <w:autoSpaceDE/>
              <w:autoSpaceDN/>
              <w:rPr>
                <w:rFonts w:cs="Times New Roman"/>
                <w:color w:val="000000" w:themeColor="text1"/>
                <w:sz w:val="18"/>
                <w:szCs w:val="18"/>
                <w:lang w:val="pt-BR" w:eastAsia="pt-BR"/>
              </w:rPr>
            </w:pPr>
            <w:r w:rsidRPr="001C4BA5">
              <w:rPr>
                <w:rFonts w:cs="Times New Roman"/>
                <w:color w:val="000000" w:themeColor="text1"/>
                <w:sz w:val="18"/>
                <w:szCs w:val="18"/>
                <w:lang w:val="pt-BR" w:eastAsia="pt-BR"/>
              </w:rPr>
              <w:t>No (</w:t>
            </w:r>
            <w:proofErr w:type="spellStart"/>
            <w:r w:rsidRPr="001C4BA5">
              <w:rPr>
                <w:rFonts w:cs="Times New Roman"/>
                <w:color w:val="000000" w:themeColor="text1"/>
                <w:sz w:val="18"/>
                <w:szCs w:val="18"/>
                <w:lang w:val="pt-BR" w:eastAsia="pt-BR"/>
              </w:rPr>
              <w:t>clinically-determined</w:t>
            </w:r>
            <w:proofErr w:type="spellEnd"/>
            <w:r w:rsidRPr="001C4BA5">
              <w:rPr>
                <w:rFonts w:cs="Times New Roman"/>
                <w:color w:val="000000" w:themeColor="text1"/>
                <w:sz w:val="18"/>
                <w:szCs w:val="18"/>
                <w:lang w:val="pt-BR" w:eastAsia="pt-BR"/>
              </w:rPr>
              <w:t>)</w:t>
            </w:r>
          </w:p>
        </w:tc>
        <w:tc>
          <w:tcPr>
            <w:tcW w:w="3525" w:type="dxa"/>
            <w:noWrap/>
            <w:vAlign w:val="center"/>
            <w:hideMark/>
          </w:tcPr>
          <w:p w14:paraId="40B405EC" w14:textId="77777777" w:rsidR="00747409" w:rsidRPr="001C4BA5" w:rsidRDefault="00747409" w:rsidP="00932583">
            <w:pPr>
              <w:widowControl/>
              <w:autoSpaceDE/>
              <w:autoSpaceDN/>
              <w:rPr>
                <w:rFonts w:cs="Times New Roman"/>
                <w:color w:val="000000" w:themeColor="text1"/>
                <w:sz w:val="18"/>
                <w:szCs w:val="18"/>
                <w:lang w:eastAsia="pt-BR"/>
              </w:rPr>
            </w:pPr>
            <w:r w:rsidRPr="001C4BA5">
              <w:rPr>
                <w:rFonts w:cs="Times New Roman"/>
                <w:color w:val="000000" w:themeColor="text1"/>
                <w:sz w:val="18"/>
                <w:szCs w:val="18"/>
                <w:lang w:eastAsia="pt-BR"/>
              </w:rPr>
              <w:t>Elicit from clinical and administrative leadership</w:t>
            </w:r>
          </w:p>
        </w:tc>
        <w:tc>
          <w:tcPr>
            <w:tcW w:w="2827" w:type="dxa"/>
            <w:noWrap/>
            <w:vAlign w:val="center"/>
            <w:hideMark/>
          </w:tcPr>
          <w:p w14:paraId="5553F4A4" w14:textId="77777777" w:rsidR="00747409" w:rsidRPr="001C4BA5" w:rsidRDefault="00747409" w:rsidP="00932583">
            <w:pPr>
              <w:widowControl/>
              <w:autoSpaceDE/>
              <w:autoSpaceDN/>
              <w:rPr>
                <w:rFonts w:cs="Times New Roman"/>
                <w:color w:val="000000" w:themeColor="text1"/>
                <w:sz w:val="18"/>
                <w:szCs w:val="18"/>
                <w:lang w:val="pt-BR" w:eastAsia="pt-BR"/>
              </w:rPr>
            </w:pPr>
            <w:r w:rsidRPr="001C4BA5">
              <w:rPr>
                <w:rFonts w:cs="Times New Roman"/>
                <w:color w:val="000000" w:themeColor="text1"/>
                <w:sz w:val="18"/>
                <w:szCs w:val="18"/>
                <w:lang w:val="pt-BR" w:eastAsia="pt-BR"/>
              </w:rPr>
              <w:t xml:space="preserve">Expert consensus (≥3 </w:t>
            </w:r>
            <w:proofErr w:type="spellStart"/>
            <w:r w:rsidRPr="001C4BA5">
              <w:rPr>
                <w:rFonts w:cs="Times New Roman"/>
                <w:color w:val="000000" w:themeColor="text1"/>
                <w:sz w:val="18"/>
                <w:szCs w:val="18"/>
                <w:lang w:val="pt-BR" w:eastAsia="pt-BR"/>
              </w:rPr>
              <w:t>clinical</w:t>
            </w:r>
            <w:proofErr w:type="spellEnd"/>
            <w:r w:rsidRPr="001C4BA5">
              <w:rPr>
                <w:rFonts w:cs="Times New Roman"/>
                <w:color w:val="000000" w:themeColor="text1"/>
                <w:sz w:val="18"/>
                <w:szCs w:val="18"/>
                <w:lang w:val="pt-BR" w:eastAsia="pt-BR"/>
              </w:rPr>
              <w:t xml:space="preserve"> </w:t>
            </w:r>
            <w:proofErr w:type="spellStart"/>
            <w:r w:rsidRPr="001C4BA5">
              <w:rPr>
                <w:rFonts w:cs="Times New Roman"/>
                <w:color w:val="000000" w:themeColor="text1"/>
                <w:sz w:val="18"/>
                <w:szCs w:val="18"/>
                <w:lang w:val="pt-BR" w:eastAsia="pt-BR"/>
              </w:rPr>
              <w:t>directors</w:t>
            </w:r>
            <w:proofErr w:type="spellEnd"/>
            <w:r w:rsidRPr="001C4BA5">
              <w:rPr>
                <w:rFonts w:cs="Times New Roman"/>
                <w:color w:val="000000" w:themeColor="text1"/>
                <w:sz w:val="18"/>
                <w:szCs w:val="18"/>
                <w:lang w:val="pt-BR" w:eastAsia="pt-BR"/>
              </w:rPr>
              <w:t>)</w:t>
            </w:r>
          </w:p>
        </w:tc>
      </w:tr>
      <w:tr w:rsidR="00A70916" w:rsidRPr="001C4BA5" w14:paraId="7CCEA583" w14:textId="77777777" w:rsidTr="00541F14">
        <w:trPr>
          <w:trHeight w:val="290"/>
          <w:jc w:val="center"/>
        </w:trPr>
        <w:tc>
          <w:tcPr>
            <w:tcW w:w="1573" w:type="dxa"/>
            <w:noWrap/>
            <w:vAlign w:val="center"/>
            <w:hideMark/>
          </w:tcPr>
          <w:p w14:paraId="0EA6C861" w14:textId="77777777" w:rsidR="00747409" w:rsidRPr="001C4BA5" w:rsidRDefault="00747409" w:rsidP="00932583">
            <w:pPr>
              <w:widowControl/>
              <w:autoSpaceDE/>
              <w:autoSpaceDN/>
              <w:rPr>
                <w:rFonts w:cs="Times New Roman"/>
                <w:color w:val="000000" w:themeColor="text1"/>
                <w:sz w:val="18"/>
                <w:szCs w:val="18"/>
                <w:lang w:val="pt-BR" w:eastAsia="pt-BR"/>
              </w:rPr>
            </w:pPr>
            <w:r w:rsidRPr="001C4BA5">
              <w:rPr>
                <w:rFonts w:cs="Times New Roman"/>
                <w:color w:val="000000" w:themeColor="text1"/>
                <w:sz w:val="18"/>
                <w:szCs w:val="18"/>
                <w:lang w:val="pt-BR" w:eastAsia="pt-BR"/>
              </w:rPr>
              <w:t>Service targets</w:t>
            </w:r>
          </w:p>
        </w:tc>
        <w:tc>
          <w:tcPr>
            <w:tcW w:w="1656" w:type="dxa"/>
            <w:noWrap/>
            <w:vAlign w:val="center"/>
            <w:hideMark/>
          </w:tcPr>
          <w:p w14:paraId="2F61E889" w14:textId="77777777" w:rsidR="00747409" w:rsidRPr="001C4BA5" w:rsidRDefault="00747409" w:rsidP="00932583">
            <w:pPr>
              <w:widowControl/>
              <w:autoSpaceDE/>
              <w:autoSpaceDN/>
              <w:rPr>
                <w:rFonts w:cs="Times New Roman"/>
                <w:color w:val="000000" w:themeColor="text1"/>
                <w:sz w:val="18"/>
                <w:szCs w:val="18"/>
                <w:lang w:val="pt-BR" w:eastAsia="pt-BR"/>
              </w:rPr>
            </w:pPr>
            <w:r w:rsidRPr="001C4BA5">
              <w:rPr>
                <w:rFonts w:cs="Times New Roman"/>
                <w:color w:val="000000" w:themeColor="text1"/>
                <w:sz w:val="18"/>
                <w:szCs w:val="18"/>
                <w:lang w:val="pt-BR" w:eastAsia="pt-BR"/>
              </w:rPr>
              <w:t>No (</w:t>
            </w:r>
            <w:proofErr w:type="spellStart"/>
            <w:r w:rsidRPr="001C4BA5">
              <w:rPr>
                <w:rFonts w:cs="Times New Roman"/>
                <w:color w:val="000000" w:themeColor="text1"/>
                <w:sz w:val="18"/>
                <w:szCs w:val="18"/>
                <w:lang w:val="pt-BR" w:eastAsia="pt-BR"/>
              </w:rPr>
              <w:t>protocol-specific</w:t>
            </w:r>
            <w:proofErr w:type="spellEnd"/>
            <w:r w:rsidRPr="001C4BA5">
              <w:rPr>
                <w:rFonts w:cs="Times New Roman"/>
                <w:color w:val="000000" w:themeColor="text1"/>
                <w:sz w:val="18"/>
                <w:szCs w:val="18"/>
                <w:lang w:val="pt-BR" w:eastAsia="pt-BR"/>
              </w:rPr>
              <w:t>)</w:t>
            </w:r>
          </w:p>
        </w:tc>
        <w:tc>
          <w:tcPr>
            <w:tcW w:w="3525" w:type="dxa"/>
            <w:noWrap/>
            <w:vAlign w:val="center"/>
            <w:hideMark/>
          </w:tcPr>
          <w:p w14:paraId="5A22AB8E" w14:textId="77777777" w:rsidR="00747409" w:rsidRPr="001C4BA5" w:rsidRDefault="00747409" w:rsidP="00932583">
            <w:pPr>
              <w:widowControl/>
              <w:autoSpaceDE/>
              <w:autoSpaceDN/>
              <w:rPr>
                <w:rFonts w:cs="Times New Roman"/>
                <w:color w:val="000000" w:themeColor="text1"/>
                <w:sz w:val="18"/>
                <w:szCs w:val="18"/>
                <w:lang w:eastAsia="pt-BR"/>
              </w:rPr>
            </w:pPr>
            <w:proofErr w:type="gramStart"/>
            <w:r w:rsidRPr="001C4BA5">
              <w:rPr>
                <w:rFonts w:cs="Times New Roman"/>
                <w:color w:val="000000" w:themeColor="text1"/>
                <w:sz w:val="18"/>
                <w:szCs w:val="18"/>
                <w:lang w:eastAsia="pt-BR"/>
              </w:rPr>
              <w:t>Align</w:t>
            </w:r>
            <w:proofErr w:type="gramEnd"/>
            <w:r w:rsidRPr="001C4BA5">
              <w:rPr>
                <w:rFonts w:cs="Times New Roman"/>
                <w:color w:val="000000" w:themeColor="text1"/>
                <w:sz w:val="18"/>
                <w:szCs w:val="18"/>
                <w:lang w:eastAsia="pt-BR"/>
              </w:rPr>
              <w:t xml:space="preserve"> with institutional clinical protocols</w:t>
            </w:r>
          </w:p>
        </w:tc>
        <w:tc>
          <w:tcPr>
            <w:tcW w:w="2827" w:type="dxa"/>
            <w:noWrap/>
            <w:vAlign w:val="center"/>
            <w:hideMark/>
          </w:tcPr>
          <w:p w14:paraId="7F1C53FA" w14:textId="77777777" w:rsidR="00747409" w:rsidRPr="001C4BA5" w:rsidRDefault="00747409" w:rsidP="00932583">
            <w:pPr>
              <w:widowControl/>
              <w:autoSpaceDE/>
              <w:autoSpaceDN/>
              <w:rPr>
                <w:rFonts w:cs="Times New Roman"/>
                <w:color w:val="000000" w:themeColor="text1"/>
                <w:sz w:val="18"/>
                <w:szCs w:val="18"/>
                <w:lang w:val="pt-BR" w:eastAsia="pt-BR"/>
              </w:rPr>
            </w:pPr>
            <w:r w:rsidRPr="001C4BA5">
              <w:rPr>
                <w:rFonts w:cs="Times New Roman"/>
                <w:color w:val="000000" w:themeColor="text1"/>
                <w:sz w:val="18"/>
                <w:szCs w:val="18"/>
                <w:lang w:val="pt-BR" w:eastAsia="pt-BR"/>
              </w:rPr>
              <w:t xml:space="preserve">Review </w:t>
            </w:r>
            <w:proofErr w:type="spellStart"/>
            <w:r w:rsidRPr="001C4BA5">
              <w:rPr>
                <w:rFonts w:cs="Times New Roman"/>
                <w:color w:val="000000" w:themeColor="text1"/>
                <w:sz w:val="18"/>
                <w:szCs w:val="18"/>
                <w:lang w:val="pt-BR" w:eastAsia="pt-BR"/>
              </w:rPr>
              <w:t>institutional</w:t>
            </w:r>
            <w:proofErr w:type="spellEnd"/>
            <w:r w:rsidRPr="001C4BA5">
              <w:rPr>
                <w:rFonts w:cs="Times New Roman"/>
                <w:color w:val="000000" w:themeColor="text1"/>
                <w:sz w:val="18"/>
                <w:szCs w:val="18"/>
                <w:lang w:val="pt-BR" w:eastAsia="pt-BR"/>
              </w:rPr>
              <w:t xml:space="preserve"> </w:t>
            </w:r>
            <w:proofErr w:type="spellStart"/>
            <w:r w:rsidRPr="001C4BA5">
              <w:rPr>
                <w:rFonts w:cs="Times New Roman"/>
                <w:color w:val="000000" w:themeColor="text1"/>
                <w:sz w:val="18"/>
                <w:szCs w:val="18"/>
                <w:lang w:val="pt-BR" w:eastAsia="pt-BR"/>
              </w:rPr>
              <w:t>documentation</w:t>
            </w:r>
            <w:proofErr w:type="spellEnd"/>
          </w:p>
        </w:tc>
      </w:tr>
    </w:tbl>
    <w:p w14:paraId="1EB090FF" w14:textId="77777777" w:rsidR="00747409" w:rsidRPr="00A70916" w:rsidRDefault="00747409" w:rsidP="00747409">
      <w:pPr>
        <w:pStyle w:val="text-base"/>
        <w:spacing w:before="0" w:after="0"/>
        <w:jc w:val="both"/>
        <w:rPr>
          <w:color w:val="000000" w:themeColor="text1"/>
          <w:lang w:val="en-US"/>
        </w:rPr>
      </w:pPr>
      <w:r w:rsidRPr="00653ACC">
        <w:rPr>
          <w:lang w:val="en-US"/>
        </w:rPr>
        <w:t xml:space="preserve">Three parameters are partially or context-invariant and transferable, while three </w:t>
      </w:r>
      <w:r w:rsidR="008E66BF">
        <w:rPr>
          <w:lang w:val="en-US"/>
        </w:rPr>
        <w:t>indicate</w:t>
      </w:r>
      <w:r w:rsidRPr="00653ACC">
        <w:rPr>
          <w:lang w:val="en-US"/>
        </w:rPr>
        <w:t xml:space="preserve"> systematic adjustments based on local context. The most transferable, however, is lead time. There are regulations (Law 8,666/93, mandatory bidding days, and emergency procurement exceptions) that apply across the entire Brazilian public health space, which would not be unreasonable to suggest similar procurement windows in a different SUS environment. In contrast, transport costs are assessed </w:t>
      </w:r>
      <w:proofErr w:type="gramStart"/>
      <w:r w:rsidRPr="00653ACC">
        <w:rPr>
          <w:lang w:val="en-US"/>
        </w:rPr>
        <w:t>regionally,</w:t>
      </w:r>
      <w:proofErr w:type="gramEnd"/>
      <w:r w:rsidRPr="00653ACC">
        <w:rPr>
          <w:lang w:val="en-US"/>
        </w:rPr>
        <w:t xml:space="preserve"> as parameters such as distance, gas prices, and accessibility are too diverse to be summarized in a single figure. Unit costs, stockout costs, and service level </w:t>
      </w:r>
      <w:r w:rsidR="00D508F7">
        <w:rPr>
          <w:lang w:val="en-US"/>
        </w:rPr>
        <w:t>requirement</w:t>
      </w:r>
      <w:r w:rsidRPr="00653ACC">
        <w:rPr>
          <w:lang w:val="en-US"/>
        </w:rPr>
        <w:t xml:space="preserve">s are institutionally comparable by definition: unit costs result from suppliers competing within their own operating regions; stockout costs result from clinical needs assessed through institutional demand; service level </w:t>
      </w:r>
      <w:r w:rsidR="00D508F7">
        <w:rPr>
          <w:lang w:val="en-US"/>
        </w:rPr>
        <w:t>requirement</w:t>
      </w:r>
      <w:r w:rsidRPr="00653ACC">
        <w:rPr>
          <w:lang w:val="en-US"/>
        </w:rPr>
        <w:t xml:space="preserve">s result from contractual obligations assessed through administrative </w:t>
      </w:r>
      <w:proofErr w:type="gramStart"/>
      <w:r w:rsidRPr="00653ACC">
        <w:rPr>
          <w:lang w:val="en-US"/>
        </w:rPr>
        <w:t>nuances, but</w:t>
      </w:r>
      <w:proofErr w:type="gramEnd"/>
      <w:r w:rsidRPr="00653ACC">
        <w:rPr>
          <w:lang w:val="en-US"/>
        </w:rPr>
        <w:t xml:space="preserve"> remain comparable throughout the health system without question.</w:t>
      </w:r>
    </w:p>
    <w:p w14:paraId="76B74A98" w14:textId="77777777" w:rsidR="00747409" w:rsidRPr="00A70916" w:rsidRDefault="00747409" w:rsidP="00747409">
      <w:pPr>
        <w:pStyle w:val="text-base"/>
        <w:spacing w:before="0" w:after="0"/>
        <w:jc w:val="both"/>
        <w:rPr>
          <w:color w:val="000000" w:themeColor="text1"/>
          <w:lang w:val="en-US"/>
        </w:rPr>
      </w:pPr>
      <w:r w:rsidRPr="00653ACC">
        <w:rPr>
          <w:lang w:val="en-US"/>
        </w:rPr>
        <w:t xml:space="preserve">Thus, organizations using this model would assess applicability for two-phased implementation: (1) Transfer of methodology: a hybrid design with architecture and Monte Carlo simulation and multi-baseline assessment framework can be transferrable contextually applied for a transferable approach, and (2) Transfer of parameters: Table B8.1 delineates what is transferable and what </w:t>
      </w:r>
      <w:r w:rsidR="008E66BF">
        <w:rPr>
          <w:lang w:val="en-US"/>
        </w:rPr>
        <w:t>impels</w:t>
      </w:r>
      <w:r w:rsidRPr="00653ACC">
        <w:rPr>
          <w:lang w:val="en-US"/>
        </w:rPr>
        <w:t xml:space="preserve"> assessment before recommendations for local, institutionally comparable assessments. Thus, applying the SUS study's findings directly to one's own organization through cost assessors will introduce systematic bias, particularly in transport- and capacity-constrained organizations that have many fewer SUS-aligned components than the cost configuration in the SUS study.</w:t>
      </w:r>
    </w:p>
    <w:p w14:paraId="70B59FC1" w14:textId="77777777" w:rsidR="00747409" w:rsidRPr="00A70916" w:rsidRDefault="00747409" w:rsidP="00AB3735">
      <w:pPr>
        <w:pStyle w:val="Ttulo3"/>
        <w:spacing w:before="0" w:after="0"/>
        <w:rPr>
          <w:lang w:eastAsia="pt-BR"/>
        </w:rPr>
      </w:pPr>
      <w:r w:rsidRPr="00A70916">
        <w:rPr>
          <w:rFonts w:eastAsia="Times New Roman"/>
          <w:sz w:val="20"/>
          <w:lang w:eastAsia="pt-BR"/>
        </w:rPr>
        <w:t>B.9 Framework for Healthcare Context Adaptation: Preliminary Guidance</w:t>
      </w:r>
    </w:p>
    <w:p w14:paraId="02BE96BE" w14:textId="77777777" w:rsidR="00747409" w:rsidRPr="00A70916" w:rsidRDefault="00747409" w:rsidP="00747409">
      <w:pPr>
        <w:pStyle w:val="text-base"/>
        <w:spacing w:before="0" w:after="0"/>
        <w:jc w:val="both"/>
        <w:rPr>
          <w:color w:val="000000" w:themeColor="text1"/>
          <w:lang w:val="en-US"/>
        </w:rPr>
      </w:pPr>
      <w:r w:rsidRPr="00F34B55">
        <w:rPr>
          <w:lang w:val="en-US"/>
        </w:rPr>
        <w:t xml:space="preserve">The transferability of this model to other systems can be generalized out of Brazil through re-parameterization across six main dimensions: 1. Acquisitions regulations and demand lead time distributions; 2. Governance (centralized vs decentralized); 3. equity population requirements and coverage, 4. cost acquisition distributions and value of the pharmaceutical market, 5. demand intensities, distributions, and 6. institutional ability for survey data gathering and AI implementation. Other institutions would need approximately 6 to 12 months of dimensional analysis to prepare for full implementation. Countries/regional systems that share regional governance complexities and equity distributions </w:t>
      </w:r>
      <w:proofErr w:type="gramStart"/>
      <w:r w:rsidRPr="00F34B55">
        <w:rPr>
          <w:lang w:val="en-US"/>
        </w:rPr>
        <w:t>similar to</w:t>
      </w:r>
      <w:proofErr w:type="gramEnd"/>
      <w:r w:rsidRPr="00F34B55">
        <w:rPr>
          <w:lang w:val="en-US"/>
        </w:rPr>
        <w:t>, but not identical to, Brazil's include India's district hospital chains, South Africa's provinces, and the United Kingdom's National Health Service. However, the findings from implementation should be assessed within each system before drawing any conclusions.</w:t>
      </w:r>
    </w:p>
    <w:p w14:paraId="64A9B297" w14:textId="77777777" w:rsidR="006259C9" w:rsidRPr="00A70916" w:rsidRDefault="006259C9" w:rsidP="006259C9">
      <w:pPr>
        <w:pStyle w:val="text-base"/>
        <w:spacing w:before="0" w:after="0"/>
        <w:jc w:val="both"/>
        <w:rPr>
          <w:color w:val="000000" w:themeColor="text1"/>
          <w:lang w:val="en-US"/>
        </w:rPr>
      </w:pPr>
      <w:r w:rsidRPr="00653ACC">
        <w:rPr>
          <w:lang w:val="en-US"/>
        </w:rPr>
        <w:t xml:space="preserve">To operationalize the findings for facility managers, we categorize transferability factors into operational and situational classifications. The criteria assess data volume (minimum of 50 records per SKU with&gt; 12 months), institutional </w:t>
      </w:r>
      <w:r w:rsidR="00D508F7">
        <w:rPr>
          <w:lang w:val="en-US"/>
        </w:rPr>
        <w:t>requirement</w:t>
      </w:r>
      <w:r w:rsidRPr="00653ACC">
        <w:rPr>
          <w:lang w:val="en-US"/>
        </w:rPr>
        <w:t>s, and adjustment protocols.</w:t>
      </w:r>
    </w:p>
    <w:p w14:paraId="5D353435" w14:textId="77777777" w:rsidR="006259C9" w:rsidRPr="00A70916" w:rsidRDefault="006259C9" w:rsidP="007F1654">
      <w:pPr>
        <w:pStyle w:val="ng-star-inserted"/>
        <w:spacing w:before="0" w:after="0" w:afterAutospacing="0"/>
        <w:ind w:left="216" w:right="14"/>
        <w:rPr>
          <w:rStyle w:val="ng-star-inserted1"/>
          <w:rFonts w:eastAsiaTheme="majorEastAsia"/>
          <w:b/>
          <w:bCs/>
          <w:color w:val="000000" w:themeColor="text1"/>
          <w:sz w:val="22"/>
          <w:szCs w:val="22"/>
          <w:lang w:val="en-US"/>
        </w:rPr>
      </w:pPr>
      <w:r w:rsidRPr="00A70916">
        <w:rPr>
          <w:rStyle w:val="ng-star-inserted1"/>
          <w:rFonts w:eastAsiaTheme="majorEastAsia"/>
          <w:b/>
          <w:bCs/>
          <w:color w:val="000000" w:themeColor="text1"/>
          <w:sz w:val="22"/>
          <w:szCs w:val="22"/>
          <w:lang w:val="en-US"/>
        </w:rPr>
        <w:t>Table B9.1: Framework for Assessing AI Transferability Across Healthcare Contexts</w:t>
      </w:r>
    </w:p>
    <w:tbl>
      <w:tblPr>
        <w:tblStyle w:val="Tabelacomgrade"/>
        <w:tblW w:w="9497" w:type="dxa"/>
        <w:jc w:val="center"/>
        <w:tblLook w:val="04A0" w:firstRow="1" w:lastRow="0" w:firstColumn="1" w:lastColumn="0" w:noHBand="0" w:noVBand="1"/>
      </w:tblPr>
      <w:tblGrid>
        <w:gridCol w:w="1559"/>
        <w:gridCol w:w="7938"/>
      </w:tblGrid>
      <w:tr w:rsidR="00A70916" w:rsidRPr="00A70916" w14:paraId="2CBDD97C" w14:textId="77777777" w:rsidTr="00DA2064">
        <w:trPr>
          <w:trHeight w:val="395"/>
          <w:jc w:val="center"/>
        </w:trPr>
        <w:tc>
          <w:tcPr>
            <w:tcW w:w="1559" w:type="dxa"/>
            <w:vAlign w:val="center"/>
          </w:tcPr>
          <w:p w14:paraId="5D20AE91" w14:textId="77777777" w:rsidR="006259C9" w:rsidRPr="00A70916" w:rsidRDefault="006259C9" w:rsidP="00DA2064">
            <w:pPr>
              <w:pStyle w:val="ng-star-inserted"/>
              <w:spacing w:before="0" w:beforeAutospacing="0" w:after="0" w:afterAutospacing="0"/>
              <w:ind w:right="15"/>
              <w:jc w:val="both"/>
              <w:rPr>
                <w:rStyle w:val="ng-star-inserted1"/>
                <w:rFonts w:eastAsiaTheme="majorEastAsia"/>
                <w:b/>
                <w:bCs/>
                <w:color w:val="000000" w:themeColor="text1"/>
                <w:sz w:val="20"/>
                <w:szCs w:val="20"/>
                <w:lang w:val="en-US"/>
              </w:rPr>
            </w:pPr>
            <w:r w:rsidRPr="00A70916">
              <w:rPr>
                <w:b/>
                <w:bCs/>
                <w:color w:val="000000" w:themeColor="text1"/>
                <w:sz w:val="20"/>
                <w:szCs w:val="20"/>
                <w:lang w:val="en-US"/>
              </w:rPr>
              <w:t>Category</w:t>
            </w:r>
          </w:p>
        </w:tc>
        <w:tc>
          <w:tcPr>
            <w:tcW w:w="7938" w:type="dxa"/>
            <w:vAlign w:val="center"/>
          </w:tcPr>
          <w:p w14:paraId="49D5DE4C" w14:textId="77777777" w:rsidR="006259C9" w:rsidRPr="00A70916" w:rsidRDefault="006259C9" w:rsidP="00DA2064">
            <w:pPr>
              <w:pStyle w:val="ng-star-inserted"/>
              <w:spacing w:before="0" w:beforeAutospacing="0" w:after="0" w:afterAutospacing="0"/>
              <w:ind w:right="15"/>
              <w:jc w:val="both"/>
              <w:rPr>
                <w:rStyle w:val="ng-star-inserted1"/>
                <w:rFonts w:eastAsiaTheme="majorEastAsia"/>
                <w:b/>
                <w:bCs/>
                <w:color w:val="000000" w:themeColor="text1"/>
                <w:sz w:val="20"/>
                <w:szCs w:val="20"/>
                <w:lang w:val="en-US"/>
              </w:rPr>
            </w:pPr>
            <w:r w:rsidRPr="00A70916">
              <w:rPr>
                <w:b/>
                <w:bCs/>
                <w:color w:val="000000" w:themeColor="text1"/>
                <w:sz w:val="20"/>
                <w:szCs w:val="20"/>
                <w:lang w:val="en-US"/>
              </w:rPr>
              <w:t>Elements</w:t>
            </w:r>
          </w:p>
        </w:tc>
      </w:tr>
      <w:tr w:rsidR="00A70916" w:rsidRPr="00A70916" w14:paraId="3022D9EF" w14:textId="77777777" w:rsidTr="00EE5E5C">
        <w:trPr>
          <w:trHeight w:val="913"/>
          <w:jc w:val="center"/>
        </w:trPr>
        <w:tc>
          <w:tcPr>
            <w:tcW w:w="1559" w:type="dxa"/>
            <w:vAlign w:val="center"/>
          </w:tcPr>
          <w:p w14:paraId="0A4D35A7" w14:textId="77777777" w:rsidR="006259C9" w:rsidRPr="00EE5E5C" w:rsidRDefault="006259C9" w:rsidP="00DA2064">
            <w:pPr>
              <w:pStyle w:val="ng-star-inserted"/>
              <w:spacing w:before="0" w:beforeAutospacing="0" w:after="0" w:afterAutospacing="0"/>
              <w:ind w:right="15"/>
              <w:jc w:val="both"/>
              <w:rPr>
                <w:color w:val="000000" w:themeColor="text1"/>
                <w:sz w:val="18"/>
                <w:szCs w:val="18"/>
                <w:lang w:val="en-US"/>
              </w:rPr>
            </w:pPr>
            <w:r w:rsidRPr="00EE5E5C">
              <w:rPr>
                <w:color w:val="000000" w:themeColor="text1"/>
                <w:sz w:val="18"/>
                <w:szCs w:val="18"/>
                <w:lang w:val="en-US"/>
              </w:rPr>
              <w:lastRenderedPageBreak/>
              <w:t>Likely transferable</w:t>
            </w:r>
          </w:p>
        </w:tc>
        <w:tc>
          <w:tcPr>
            <w:tcW w:w="7938" w:type="dxa"/>
            <w:vAlign w:val="center"/>
          </w:tcPr>
          <w:p w14:paraId="4F1005B5"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Multi-baseline evaluation methodology (static, dynamic, base-stock comparisons).</w:t>
            </w:r>
          </w:p>
          <w:p w14:paraId="34B7D9E1"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Stress-testing protocol (volatility, disruption, surge scenarios).</w:t>
            </w:r>
          </w:p>
          <w:p w14:paraId="0C2E6083"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Volatility threshold logic (empirical guidance: CV &gt; 0.4 indicates potential AI economic viability).</w:t>
            </w:r>
          </w:p>
          <w:p w14:paraId="6A3937E9"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Decision-criteria framework expressed in operational thresholds rather than cost-based assumptions.</w:t>
            </w:r>
          </w:p>
        </w:tc>
      </w:tr>
      <w:tr w:rsidR="00A70916" w:rsidRPr="00A70916" w14:paraId="1DD571E1" w14:textId="77777777" w:rsidTr="00EE5E5C">
        <w:trPr>
          <w:trHeight w:val="881"/>
          <w:jc w:val="center"/>
        </w:trPr>
        <w:tc>
          <w:tcPr>
            <w:tcW w:w="1559" w:type="dxa"/>
            <w:vAlign w:val="center"/>
          </w:tcPr>
          <w:p w14:paraId="440F7C11" w14:textId="77777777" w:rsidR="006259C9" w:rsidRPr="00EE5E5C" w:rsidRDefault="006259C9" w:rsidP="00DA2064">
            <w:pPr>
              <w:pStyle w:val="ng-star-inserted"/>
              <w:spacing w:before="0" w:beforeAutospacing="0" w:after="0" w:afterAutospacing="0"/>
              <w:ind w:right="15"/>
              <w:jc w:val="both"/>
              <w:rPr>
                <w:color w:val="000000" w:themeColor="text1"/>
                <w:sz w:val="18"/>
                <w:szCs w:val="18"/>
                <w:lang w:val="en-US"/>
              </w:rPr>
            </w:pPr>
            <w:r w:rsidRPr="00EE5E5C">
              <w:rPr>
                <w:color w:val="000000" w:themeColor="text1"/>
                <w:sz w:val="18"/>
                <w:szCs w:val="18"/>
                <w:lang w:val="en-US"/>
              </w:rPr>
              <w:t>Context-specific elements that need adaptation</w:t>
            </w:r>
          </w:p>
        </w:tc>
        <w:tc>
          <w:tcPr>
            <w:tcW w:w="7938" w:type="dxa"/>
            <w:vAlign w:val="center"/>
          </w:tcPr>
          <w:p w14:paraId="211774A4"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Absolute cost estimates and unit-cost parameters (require local cost accounting).</w:t>
            </w:r>
          </w:p>
          <w:p w14:paraId="1BE2709A"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Lead-time distributions tied to Brazilian procurement regulations.</w:t>
            </w:r>
          </w:p>
          <w:p w14:paraId="59068030"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Reward-function weights tied to SUS equity objectives.</w:t>
            </w:r>
          </w:p>
          <w:p w14:paraId="69708CC6"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Service-level targets calibrated to local clinical priorities and constitutional healthcare access mandates.</w:t>
            </w:r>
          </w:p>
        </w:tc>
      </w:tr>
      <w:tr w:rsidR="00A70916" w:rsidRPr="00A70916" w14:paraId="1AE005C5" w14:textId="77777777" w:rsidTr="00EE5E5C">
        <w:trPr>
          <w:trHeight w:val="1084"/>
          <w:jc w:val="center"/>
        </w:trPr>
        <w:tc>
          <w:tcPr>
            <w:tcW w:w="1559" w:type="dxa"/>
            <w:vAlign w:val="center"/>
          </w:tcPr>
          <w:p w14:paraId="207E986F" w14:textId="77777777" w:rsidR="006259C9" w:rsidRPr="00EE5E5C" w:rsidRDefault="006259C9" w:rsidP="00DA2064">
            <w:pPr>
              <w:pStyle w:val="ng-star-inserted"/>
              <w:spacing w:before="0" w:beforeAutospacing="0" w:after="0" w:afterAutospacing="0"/>
              <w:ind w:right="15"/>
              <w:jc w:val="both"/>
              <w:rPr>
                <w:color w:val="000000" w:themeColor="text1"/>
                <w:sz w:val="18"/>
                <w:szCs w:val="18"/>
                <w:lang w:val="en-US"/>
              </w:rPr>
            </w:pPr>
            <w:r w:rsidRPr="00EE5E5C">
              <w:rPr>
                <w:color w:val="000000" w:themeColor="text1"/>
                <w:sz w:val="18"/>
                <w:szCs w:val="18"/>
                <w:lang w:val="en-US"/>
              </w:rPr>
              <w:t>Institutional prerequisites</w:t>
            </w:r>
          </w:p>
        </w:tc>
        <w:tc>
          <w:tcPr>
            <w:tcW w:w="7938" w:type="dxa"/>
            <w:vAlign w:val="center"/>
          </w:tcPr>
          <w:p w14:paraId="33AAB00B"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Minimum 24 months of historical demand data with ≥ 50 records per SKU for reliable ML training.</w:t>
            </w:r>
          </w:p>
          <w:p w14:paraId="3630680B"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Local validation of cost accounting (holding, ordering, stockout penalties).</w:t>
            </w:r>
          </w:p>
          <w:p w14:paraId="7A1443DC"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 xml:space="preserve">An optimization model (e.g., emergency procurement rules) integrates legal and procurement constraints. </w:t>
            </w:r>
          </w:p>
          <w:p w14:paraId="767C5544" w14:textId="77777777" w:rsidR="006259C9" w:rsidRPr="00EE5E5C" w:rsidRDefault="006259C9" w:rsidP="00DA2064">
            <w:pPr>
              <w:pStyle w:val="ng-star-inserted"/>
              <w:numPr>
                <w:ilvl w:val="0"/>
                <w:numId w:val="8"/>
              </w:numPr>
              <w:spacing w:before="0" w:beforeAutospacing="0" w:after="0" w:afterAutospacing="0"/>
              <w:ind w:left="316" w:right="15"/>
              <w:jc w:val="both"/>
              <w:rPr>
                <w:color w:val="000000" w:themeColor="text1"/>
                <w:sz w:val="18"/>
                <w:szCs w:val="18"/>
                <w:lang w:val="en-US"/>
              </w:rPr>
            </w:pPr>
            <w:r w:rsidRPr="00EE5E5C">
              <w:rPr>
                <w:color w:val="000000" w:themeColor="text1"/>
                <w:sz w:val="18"/>
                <w:szCs w:val="18"/>
                <w:lang w:val="en-US"/>
              </w:rPr>
              <w:t>Facility-specific capacity constraints.</w:t>
            </w:r>
          </w:p>
        </w:tc>
      </w:tr>
      <w:tr w:rsidR="00A70916" w:rsidRPr="00A70916" w14:paraId="7886C19C" w14:textId="77777777" w:rsidTr="00DA2064">
        <w:trPr>
          <w:trHeight w:val="58"/>
          <w:jc w:val="center"/>
        </w:trPr>
        <w:tc>
          <w:tcPr>
            <w:tcW w:w="9497" w:type="dxa"/>
            <w:gridSpan w:val="2"/>
            <w:vAlign w:val="center"/>
          </w:tcPr>
          <w:p w14:paraId="1F4A17FB" w14:textId="77777777" w:rsidR="006259C9" w:rsidRPr="001E2130" w:rsidRDefault="006259C9" w:rsidP="00DA2064">
            <w:pPr>
              <w:pStyle w:val="ng-star-inserted"/>
              <w:spacing w:before="0" w:beforeAutospacing="0" w:after="0" w:afterAutospacing="0"/>
              <w:ind w:right="14"/>
              <w:jc w:val="both"/>
              <w:rPr>
                <w:color w:val="000000" w:themeColor="text1"/>
                <w:sz w:val="16"/>
                <w:szCs w:val="16"/>
                <w:lang w:val="en-US"/>
              </w:rPr>
            </w:pPr>
            <w:r w:rsidRPr="001E2130">
              <w:rPr>
                <w:color w:val="000000" w:themeColor="text1"/>
                <w:sz w:val="16"/>
                <w:szCs w:val="16"/>
                <w:lang w:val="en-US"/>
              </w:rPr>
              <w:t xml:space="preserve">Source: Authors’ elaboration based on the contextual transferability framework. </w:t>
            </w:r>
          </w:p>
        </w:tc>
      </w:tr>
      <w:tr w:rsidR="00A70916" w:rsidRPr="00A70916" w14:paraId="7AFB4B9A" w14:textId="77777777" w:rsidTr="00DA2064">
        <w:trPr>
          <w:trHeight w:val="58"/>
          <w:jc w:val="center"/>
        </w:trPr>
        <w:tc>
          <w:tcPr>
            <w:tcW w:w="9497" w:type="dxa"/>
            <w:gridSpan w:val="2"/>
            <w:vAlign w:val="center"/>
          </w:tcPr>
          <w:p w14:paraId="64BE7E2C" w14:textId="77777777" w:rsidR="006259C9" w:rsidRPr="001E2130" w:rsidRDefault="006259C9" w:rsidP="001E2130">
            <w:pPr>
              <w:pStyle w:val="ng-star-inserted"/>
              <w:spacing w:before="0" w:beforeAutospacing="0" w:after="0" w:afterAutospacing="0"/>
              <w:ind w:right="14"/>
              <w:jc w:val="both"/>
              <w:rPr>
                <w:color w:val="000000" w:themeColor="text1"/>
                <w:sz w:val="16"/>
                <w:szCs w:val="16"/>
                <w:lang w:val="en-US"/>
              </w:rPr>
            </w:pPr>
            <w:r w:rsidRPr="001E2130">
              <w:rPr>
                <w:color w:val="000000" w:themeColor="text1"/>
                <w:spacing w:val="-2"/>
                <w:sz w:val="16"/>
                <w:szCs w:val="16"/>
                <w:lang w:val="en-US"/>
              </w:rPr>
              <w:t>N.B. The final checklist, along with running templates, can be found in Appendix E. When issues of generalizability exist, an N of one (one site, one occurrence) for this Brazilian site is not generalizable, however, it would be if a multi-site study was done at other comparable healthcare facilities with similar amounts of governance and comparable limitations on procurement (see Appendix C.4). Relative to research design (multi-baseline design, stress-test) findings are easily generalizable; findings with limitations are best used through site-specific use for it to work.</w:t>
            </w:r>
          </w:p>
        </w:tc>
      </w:tr>
    </w:tbl>
    <w:p w14:paraId="1590492F" w14:textId="77777777" w:rsidR="00747409" w:rsidRPr="00A70916" w:rsidRDefault="00747409" w:rsidP="00DD5FF3">
      <w:pPr>
        <w:pStyle w:val="Ttulo2"/>
      </w:pPr>
      <w:r>
        <w:t>Appendix C: Sensitivity Checks and Validation Notes</w:t>
      </w:r>
    </w:p>
    <w:p w14:paraId="5B545BD3" w14:textId="78AA537A" w:rsidR="00747409" w:rsidRPr="00A70916" w:rsidRDefault="00747409" w:rsidP="00565791">
      <w:pPr>
        <w:pStyle w:val="text-base"/>
        <w:spacing w:before="0" w:after="0"/>
        <w:jc w:val="both"/>
        <w:rPr>
          <w:color w:val="000000" w:themeColor="text1"/>
          <w:lang w:val="en-US"/>
        </w:rPr>
      </w:pPr>
      <w:r w:rsidRPr="00A25014">
        <w:rPr>
          <w:lang w:val="en-US"/>
        </w:rPr>
        <w:t xml:space="preserve">Computational experiments were conducted on cloud-based Google </w:t>
      </w:r>
      <w:proofErr w:type="spellStart"/>
      <w:r w:rsidRPr="00A25014">
        <w:rPr>
          <w:lang w:val="en-US"/>
        </w:rPr>
        <w:t>Colab</w:t>
      </w:r>
      <w:proofErr w:type="spellEnd"/>
      <w:r w:rsidRPr="00A25014">
        <w:rPr>
          <w:lang w:val="en-US"/>
        </w:rPr>
        <w:t xml:space="preserve"> Pro+ instances equipped with NVIDIA Tesla T4 GPUs (16 GB VRAM), 25.5 GB of RAM, and Xeon processors (base frequency: 2.3 GHz). Larger-scale Monte Carlo simulations were </w:t>
      </w:r>
      <w:r w:rsidR="00A9612C">
        <w:rPr>
          <w:lang w:val="en-US"/>
        </w:rPr>
        <w:t>run on Amazon EC2 c5.4</w:t>
      </w:r>
      <w:proofErr w:type="gramStart"/>
      <w:r w:rsidR="00A9612C">
        <w:rPr>
          <w:lang w:val="en-US"/>
        </w:rPr>
        <w:t>xlarge</w:t>
      </w:r>
      <w:proofErr w:type="gramEnd"/>
      <w:r w:rsidR="00A9612C">
        <w:rPr>
          <w:lang w:val="en-US"/>
        </w:rPr>
        <w:t xml:space="preserve"> instances (16 vCPUs, 32 GB RAM) when the levels exceeded </w:t>
      </w:r>
      <w:proofErr w:type="spellStart"/>
      <w:r w:rsidR="00A9612C">
        <w:rPr>
          <w:lang w:val="en-US"/>
        </w:rPr>
        <w:t>Colab's</w:t>
      </w:r>
      <w:proofErr w:type="spellEnd"/>
      <w:r w:rsidRPr="00A25014">
        <w:rPr>
          <w:lang w:val="en-US"/>
        </w:rPr>
        <w:t xml:space="preserve"> capabilities.</w:t>
      </w:r>
    </w:p>
    <w:p w14:paraId="4E539FFE" w14:textId="77777777" w:rsidR="00747409" w:rsidRPr="00A70916" w:rsidRDefault="00747409" w:rsidP="00565791">
      <w:pPr>
        <w:pStyle w:val="text-base"/>
        <w:spacing w:before="0" w:after="0"/>
        <w:jc w:val="both"/>
        <w:rPr>
          <w:color w:val="000000" w:themeColor="text1"/>
          <w:lang w:val="en-US"/>
        </w:rPr>
      </w:pPr>
      <w:r w:rsidRPr="00A70916">
        <w:rPr>
          <w:color w:val="000000" w:themeColor="text1"/>
          <w:lang w:val="en-US"/>
        </w:rPr>
        <w:t>The framework was implemented on Python 3.9.16 with TensorFlow 2.12.0 (LSTM networks), scikit-learn 1.2.2 (RF regression and cross-validation), scikit-optimize 0.9.0 (Bayesian optimization), NumPy 1.24.3 (numerical operations), Pandas 2.0.1 (data storage/manipulation), SciPy 1.10.1 (statistical functions), and DEAP 1.3.3 (genetic algorithms).</w:t>
      </w:r>
    </w:p>
    <w:p w14:paraId="792DB427" w14:textId="77777777" w:rsidR="00747409" w:rsidRPr="00A70916" w:rsidRDefault="00747409" w:rsidP="00565791">
      <w:pPr>
        <w:pStyle w:val="Ttulo3"/>
        <w:spacing w:before="0" w:after="0"/>
        <w:jc w:val="both"/>
        <w:rPr>
          <w:color w:val="000000" w:themeColor="text1"/>
        </w:rPr>
      </w:pPr>
      <w:r>
        <w:rPr>
          <w:rFonts w:eastAsia="Times New Roman"/>
          <w:sz w:val="20"/>
        </w:rPr>
        <w:t>C.1 Dynamic Policy: Parameter Tuning and Sensitivity Analysis</w:t>
      </w:r>
    </w:p>
    <w:p w14:paraId="6965370C" w14:textId="77777777" w:rsidR="00747409" w:rsidRDefault="00747409" w:rsidP="00565791">
      <w:pPr>
        <w:pStyle w:val="text-base"/>
        <w:spacing w:before="0" w:after="0"/>
        <w:jc w:val="both"/>
        <w:rPr>
          <w:color w:val="000000" w:themeColor="text1"/>
          <w:lang w:val="en-US"/>
        </w:rPr>
      </w:pPr>
      <w:r w:rsidRPr="00541F14">
        <w:rPr>
          <w:b/>
          <w:bCs/>
          <w:lang w:val="en-US"/>
        </w:rPr>
        <w:t>Objective</w:t>
      </w:r>
      <w:r w:rsidRPr="00A25014">
        <w:rPr>
          <w:lang w:val="en-US"/>
        </w:rPr>
        <w:t>: Document the hyperparameter tuning protocol for the Dynamic baseline and validate stability to parameter variation.</w:t>
      </w:r>
    </w:p>
    <w:p w14:paraId="6AFDC35D" w14:textId="77777777" w:rsidR="00C533C6" w:rsidRPr="00A25014" w:rsidRDefault="00C533C6" w:rsidP="00541F14">
      <w:pPr>
        <w:pStyle w:val="text-base"/>
        <w:spacing w:before="0" w:after="0"/>
        <w:jc w:val="both"/>
        <w:rPr>
          <w:lang w:val="en-US"/>
        </w:rPr>
      </w:pPr>
      <w:r w:rsidRPr="00541F14">
        <w:rPr>
          <w:b/>
          <w:bCs/>
          <w:lang w:val="en-US"/>
        </w:rPr>
        <w:t>Tuning Protocol</w:t>
      </w:r>
      <w:r w:rsidRPr="00653ACC">
        <w:rPr>
          <w:lang w:val="en-US"/>
        </w:rPr>
        <w:t xml:space="preserve">: We conducted a grid search over </w:t>
      </w:r>
      <w:r>
        <w:t>α</w:t>
      </w:r>
      <w:r w:rsidRPr="00653ACC">
        <w:rPr>
          <w:lang w:val="en-US"/>
        </w:rPr>
        <w:t xml:space="preserve"> ∈ {0.1, 0.2, 0.3, 0.4, 0.5} using a temporal hold-out validation split (20% of </w:t>
      </w:r>
      <w:proofErr w:type="gramStart"/>
      <w:r w:rsidRPr="00653ACC">
        <w:rPr>
          <w:lang w:val="en-US"/>
        </w:rPr>
        <w:t>the 1,000</w:t>
      </w:r>
      <w:proofErr w:type="gramEnd"/>
      <w:r w:rsidRPr="00653ACC">
        <w:rPr>
          <w:lang w:val="en-US"/>
        </w:rPr>
        <w:t xml:space="preserve"> empirical demand records; 200 records) to prevent leakage. For each candidate </w:t>
      </w:r>
      <w:r>
        <w:t>α</w:t>
      </w:r>
      <w:r w:rsidRPr="00653ACC">
        <w:rPr>
          <w:lang w:val="en-US"/>
        </w:rPr>
        <w:t xml:space="preserve">, we computed one-step-ahead forecast errors and selected </w:t>
      </w:r>
      <w:proofErr w:type="gramStart"/>
      <w:r w:rsidRPr="00653ACC">
        <w:rPr>
          <w:lang w:val="en-US"/>
        </w:rPr>
        <w:t xml:space="preserve">the </w:t>
      </w:r>
      <w:r>
        <w:t>α</w:t>
      </w:r>
      <w:r w:rsidRPr="00653ACC">
        <w:rPr>
          <w:lang w:val="en-US"/>
        </w:rPr>
        <w:t xml:space="preserve"> that</w:t>
      </w:r>
      <w:proofErr w:type="gramEnd"/>
      <w:r w:rsidRPr="00653ACC">
        <w:rPr>
          <w:lang w:val="en-US"/>
        </w:rPr>
        <w:t xml:space="preserve"> minimized validation-set MAPE. The optimal smoothing parameter was </w:t>
      </w:r>
      <w:r>
        <w:t>α</w:t>
      </w:r>
      <w:r w:rsidRPr="00653ACC">
        <w:rPr>
          <w:lang w:val="en-US"/>
        </w:rPr>
        <w:t xml:space="preserve"> = 0.3 (MAPE = 18.4%), which we then fixed across all 100 Monte Carlo replications per scenario to ensure reproducibility.</w:t>
      </w:r>
    </w:p>
    <w:p w14:paraId="243CB83B" w14:textId="77777777" w:rsidR="00B7260B" w:rsidRPr="00B7260B" w:rsidRDefault="00B7260B" w:rsidP="00B7260B">
      <w:pPr>
        <w:pStyle w:val="text-base"/>
        <w:spacing w:before="0" w:after="0"/>
        <w:jc w:val="both"/>
        <w:rPr>
          <w:color w:val="000000" w:themeColor="text1"/>
          <w:lang w:val="en-US"/>
        </w:rPr>
      </w:pPr>
      <w:r w:rsidRPr="00541F14">
        <w:rPr>
          <w:b/>
          <w:bCs/>
          <w:lang w:val="en-US"/>
        </w:rPr>
        <w:t>Sensitivity Analysis</w:t>
      </w:r>
      <w:r w:rsidRPr="00A25014">
        <w:rPr>
          <w:lang w:val="en-US"/>
        </w:rPr>
        <w:t xml:space="preserve">: We recomputed policy rankings under </w:t>
      </w:r>
      <w:r>
        <w:t>α</w:t>
      </w:r>
      <w:r w:rsidRPr="00A25014">
        <w:rPr>
          <w:lang w:val="en-US"/>
        </w:rPr>
        <w:t xml:space="preserve"> ∈ {0.2, 0.3, 0.4} and report Kendall </w:t>
      </w:r>
      <w:r>
        <w:t>τ</w:t>
      </w:r>
      <w:r w:rsidRPr="00A25014">
        <w:rPr>
          <w:lang w:val="en-US"/>
        </w:rPr>
        <w:t xml:space="preserve"> rank correlations and mean-cost deltas relative to </w:t>
      </w:r>
      <w:r>
        <w:t>α</w:t>
      </w:r>
      <w:r w:rsidRPr="00A25014">
        <w:rPr>
          <w:lang w:val="en-US"/>
        </w:rPr>
        <w:t xml:space="preserve"> = 0.3.</w:t>
      </w:r>
    </w:p>
    <w:p w14:paraId="48746335" w14:textId="77777777" w:rsidR="00871499" w:rsidRPr="00871499" w:rsidRDefault="00871499" w:rsidP="00871499">
      <w:pPr>
        <w:pStyle w:val="Ttulo3"/>
        <w:spacing w:before="0" w:after="0"/>
        <w:rPr>
          <w:lang w:eastAsia="pt-BR"/>
        </w:rPr>
      </w:pPr>
      <w:r w:rsidRPr="00871499">
        <w:rPr>
          <w:rFonts w:eastAsia="Times New Roman"/>
          <w:sz w:val="20"/>
          <w:lang w:eastAsia="pt-BR"/>
        </w:rPr>
        <w:t>C.2 Base</w:t>
      </w:r>
      <w:r>
        <w:rPr>
          <w:rFonts w:eastAsia="Times New Roman"/>
          <w:sz w:val="20"/>
          <w:lang w:eastAsia="pt-BR"/>
        </w:rPr>
        <w:t xml:space="preserve"> </w:t>
      </w:r>
      <w:r w:rsidRPr="00871499">
        <w:rPr>
          <w:rFonts w:eastAsia="Times New Roman"/>
          <w:sz w:val="20"/>
          <w:lang w:eastAsia="pt-BR"/>
        </w:rPr>
        <w:t>Stock</w:t>
      </w:r>
      <w:r>
        <w:rPr>
          <w:rFonts w:eastAsia="Times New Roman"/>
          <w:sz w:val="20"/>
          <w:lang w:eastAsia="pt-BR"/>
        </w:rPr>
        <w:t xml:space="preserve"> </w:t>
      </w:r>
      <w:r w:rsidRPr="00871499">
        <w:rPr>
          <w:rFonts w:eastAsia="Times New Roman"/>
          <w:sz w:val="20"/>
          <w:lang w:eastAsia="pt-BR"/>
        </w:rPr>
        <w:t>Uncertain Policy</w:t>
      </w:r>
      <w:r w:rsidR="0035772A">
        <w:rPr>
          <w:rFonts w:eastAsia="Times New Roman"/>
          <w:sz w:val="20"/>
          <w:lang w:eastAsia="pt-BR"/>
        </w:rPr>
        <w:t>:</w:t>
      </w:r>
      <w:r w:rsidRPr="00871499">
        <w:rPr>
          <w:rFonts w:eastAsia="Times New Roman"/>
          <w:sz w:val="20"/>
          <w:lang w:eastAsia="pt-BR"/>
        </w:rPr>
        <w:t xml:space="preserve"> Parameter Tuning</w:t>
      </w:r>
    </w:p>
    <w:p w14:paraId="340ED5CD" w14:textId="77777777" w:rsidR="00871499" w:rsidRPr="00871499" w:rsidRDefault="00871499" w:rsidP="00871499">
      <w:pPr>
        <w:pStyle w:val="text-base"/>
        <w:spacing w:before="0" w:after="0"/>
        <w:jc w:val="both"/>
        <w:rPr>
          <w:color w:val="000000" w:themeColor="text1"/>
          <w:lang w:val="en-US"/>
        </w:rPr>
      </w:pPr>
      <w:r w:rsidRPr="00A205B8">
        <w:rPr>
          <w:b/>
          <w:bCs/>
          <w:color w:val="000000" w:themeColor="text1"/>
          <w:lang w:val="en-US"/>
        </w:rPr>
        <w:t>Objective</w:t>
      </w:r>
      <w:r w:rsidRPr="00871499">
        <w:rPr>
          <w:color w:val="000000" w:themeColor="text1"/>
          <w:lang w:val="en-US"/>
        </w:rPr>
        <w:t xml:space="preserve">: Determine </w:t>
      </w:r>
      <w:r w:rsidR="004C1558">
        <w:rPr>
          <w:color w:val="000000" w:themeColor="text1"/>
          <w:lang w:val="en-US"/>
        </w:rPr>
        <w:t>the optimal safety stock multiplier z for a base-stock policy under forecast uncertainty, using the same forecast inputs as the</w:t>
      </w:r>
      <w:r w:rsidRPr="00871499">
        <w:rPr>
          <w:color w:val="000000" w:themeColor="text1"/>
          <w:lang w:val="en-US"/>
        </w:rPr>
        <w:t xml:space="preserve"> AI framework.</w:t>
      </w:r>
    </w:p>
    <w:p w14:paraId="382CE261" w14:textId="77777777" w:rsidR="00871499" w:rsidRPr="00871499" w:rsidRDefault="00871499" w:rsidP="00871499">
      <w:pPr>
        <w:pStyle w:val="text-base"/>
        <w:spacing w:before="0" w:after="0"/>
        <w:jc w:val="both"/>
        <w:rPr>
          <w:color w:val="000000" w:themeColor="text1"/>
          <w:lang w:val="en-US"/>
        </w:rPr>
      </w:pPr>
      <w:r w:rsidRPr="00A205B8">
        <w:rPr>
          <w:b/>
          <w:bCs/>
          <w:color w:val="000000" w:themeColor="text1"/>
          <w:lang w:val="en-US"/>
        </w:rPr>
        <w:t>Method</w:t>
      </w:r>
      <w:r w:rsidRPr="00871499">
        <w:rPr>
          <w:color w:val="000000" w:themeColor="text1"/>
          <w:lang w:val="en-US"/>
        </w:rPr>
        <w:t>:</w:t>
      </w:r>
    </w:p>
    <w:p w14:paraId="2CF572F7" w14:textId="77777777" w:rsidR="00871499" w:rsidRPr="00871499" w:rsidRDefault="00871499" w:rsidP="007F1654">
      <w:pPr>
        <w:pStyle w:val="text-base"/>
        <w:spacing w:before="0" w:beforeAutospacing="0" w:after="0" w:afterAutospacing="0"/>
        <w:jc w:val="both"/>
        <w:rPr>
          <w:color w:val="000000" w:themeColor="text1"/>
          <w:lang w:val="en-US"/>
        </w:rPr>
      </w:pPr>
      <w:r w:rsidRPr="00871499">
        <w:rPr>
          <w:color w:val="000000" w:themeColor="text1"/>
          <w:lang w:val="en-US"/>
        </w:rPr>
        <w:t>1. Use LSTM+RF ensemble forecasts (same as AI framework)</w:t>
      </w:r>
    </w:p>
    <w:p w14:paraId="5F482B65" w14:textId="77777777" w:rsidR="00871499" w:rsidRPr="00871499" w:rsidRDefault="00871499" w:rsidP="007F1654">
      <w:pPr>
        <w:pStyle w:val="text-base"/>
        <w:spacing w:before="0" w:beforeAutospacing="0" w:after="0" w:afterAutospacing="0"/>
        <w:jc w:val="both"/>
        <w:rPr>
          <w:color w:val="000000" w:themeColor="text1"/>
          <w:lang w:val="en-US"/>
        </w:rPr>
      </w:pPr>
      <w:r w:rsidRPr="00871499">
        <w:rPr>
          <w:color w:val="000000" w:themeColor="text1"/>
          <w:lang w:val="en-US"/>
        </w:rPr>
        <w:t xml:space="preserve">2. For each SKU class (critical, standard, seasonal), conduct </w:t>
      </w:r>
      <w:r w:rsidR="004C1558">
        <w:rPr>
          <w:color w:val="000000" w:themeColor="text1"/>
          <w:lang w:val="en-US"/>
        </w:rPr>
        <w:t xml:space="preserve">a </w:t>
      </w:r>
      <w:r w:rsidRPr="00871499">
        <w:rPr>
          <w:color w:val="000000" w:themeColor="text1"/>
          <w:lang w:val="en-US"/>
        </w:rPr>
        <w:t xml:space="preserve">grid search over z </w:t>
      </w:r>
      <w:r w:rsidRPr="00871499">
        <w:rPr>
          <w:rFonts w:cs="Cambria Math"/>
          <w:color w:val="000000" w:themeColor="text1"/>
          <w:lang w:val="en-US"/>
        </w:rPr>
        <w:t>∈</w:t>
      </w:r>
      <w:r w:rsidRPr="00871499">
        <w:rPr>
          <w:color w:val="000000" w:themeColor="text1"/>
          <w:lang w:val="en-US"/>
        </w:rPr>
        <w:t xml:space="preserve"> {1.0, 1.28, 1.65, 2.33, 3.0}</w:t>
      </w:r>
    </w:p>
    <w:p w14:paraId="6EB5AE56" w14:textId="77777777" w:rsidR="00871499" w:rsidRPr="00871499" w:rsidRDefault="00871499" w:rsidP="007F1654">
      <w:pPr>
        <w:pStyle w:val="text-base"/>
        <w:spacing w:before="0" w:beforeAutospacing="0" w:after="0" w:afterAutospacing="0"/>
        <w:jc w:val="both"/>
        <w:rPr>
          <w:color w:val="000000" w:themeColor="text1"/>
          <w:lang w:val="en-US"/>
        </w:rPr>
      </w:pPr>
      <w:r w:rsidRPr="00871499">
        <w:rPr>
          <w:color w:val="000000" w:themeColor="text1"/>
          <w:lang w:val="en-US"/>
        </w:rPr>
        <w:t xml:space="preserve">3. For each z, evaluate </w:t>
      </w:r>
      <w:r w:rsidR="004C1558">
        <w:rPr>
          <w:color w:val="000000" w:themeColor="text1"/>
          <w:lang w:val="en-US"/>
        </w:rPr>
        <w:t xml:space="preserve">the </w:t>
      </w:r>
      <w:r w:rsidRPr="00871499">
        <w:rPr>
          <w:color w:val="000000" w:themeColor="text1"/>
          <w:lang w:val="en-US"/>
        </w:rPr>
        <w:t>order-up-</w:t>
      </w:r>
      <w:proofErr w:type="gramStart"/>
      <w:r w:rsidRPr="00871499">
        <w:rPr>
          <w:color w:val="000000" w:themeColor="text1"/>
          <w:lang w:val="en-US"/>
        </w:rPr>
        <w:t>to policy</w:t>
      </w:r>
      <w:proofErr w:type="gramEnd"/>
      <w:r w:rsidRPr="00871499">
        <w:rPr>
          <w:color w:val="000000" w:themeColor="text1"/>
          <w:lang w:val="en-US"/>
        </w:rPr>
        <w:t xml:space="preserve"> on </w:t>
      </w:r>
      <w:r w:rsidR="004C1558">
        <w:rPr>
          <w:color w:val="000000" w:themeColor="text1"/>
          <w:lang w:val="en-US"/>
        </w:rPr>
        <w:t xml:space="preserve">the </w:t>
      </w:r>
      <w:r w:rsidRPr="00871499">
        <w:rPr>
          <w:color w:val="000000" w:themeColor="text1"/>
          <w:lang w:val="en-US"/>
        </w:rPr>
        <w:t>validation set (20% hold-out demand data)</w:t>
      </w:r>
    </w:p>
    <w:p w14:paraId="4AEE019E" w14:textId="77777777" w:rsidR="00687271" w:rsidRDefault="00871499" w:rsidP="007F1654">
      <w:pPr>
        <w:pStyle w:val="text-base"/>
        <w:spacing w:before="0" w:beforeAutospacing="0" w:after="0" w:afterAutospacing="0"/>
        <w:jc w:val="both"/>
        <w:rPr>
          <w:color w:val="000000" w:themeColor="text1"/>
          <w:lang w:val="en-US"/>
        </w:rPr>
      </w:pPr>
      <w:r w:rsidRPr="00687271">
        <w:rPr>
          <w:color w:val="000000" w:themeColor="text1"/>
          <w:lang w:val="en-US"/>
        </w:rPr>
        <w:t>4. Minimize objective</w:t>
      </w:r>
      <w:r w:rsidR="00687271">
        <w:rPr>
          <w:color w:val="000000" w:themeColor="text1"/>
          <w:lang w:val="en-US"/>
        </w:rPr>
        <w:t>,</w:t>
      </w:r>
      <w:r w:rsidRPr="00687271">
        <w:rPr>
          <w:color w:val="000000" w:themeColor="text1"/>
          <w:lang w:val="en-US"/>
        </w:rPr>
        <w:t xml:space="preserve"> </w:t>
      </w:r>
      <w:r w:rsidR="00687271" w:rsidRPr="00871499">
        <w:rPr>
          <w:color w:val="000000" w:themeColor="text1"/>
          <w:lang w:val="en-US"/>
        </w:rPr>
        <w:t>subject to service-level constraint</w:t>
      </w:r>
      <w:r w:rsidR="00687271">
        <w:rPr>
          <w:color w:val="000000" w:themeColor="text1"/>
          <w:lang w:val="en-US"/>
        </w:rPr>
        <w:t>:</w:t>
      </w:r>
    </w:p>
    <w:p w14:paraId="27C0E54A" w14:textId="77777777" w:rsidR="00871499" w:rsidRPr="00871499" w:rsidRDefault="00871499" w:rsidP="007F1654">
      <w:pPr>
        <w:pStyle w:val="text-base"/>
        <w:spacing w:before="0" w:beforeAutospacing="0" w:after="0" w:afterAutospacing="0"/>
        <w:jc w:val="both"/>
        <w:rPr>
          <w:color w:val="000000" w:themeColor="text1"/>
          <w:lang w:val="en-US"/>
        </w:rPr>
      </w:pPr>
      <w:r w:rsidRPr="00871499">
        <w:rPr>
          <w:color w:val="000000" w:themeColor="text1"/>
          <w:lang w:val="en-US"/>
        </w:rPr>
        <w:t xml:space="preserve">5. Select z </w:t>
      </w:r>
      <w:r w:rsidR="004C1558">
        <w:rPr>
          <w:color w:val="000000" w:themeColor="text1"/>
          <w:lang w:val="en-US"/>
        </w:rPr>
        <w:t>to achieve</w:t>
      </w:r>
      <w:r w:rsidRPr="00871499">
        <w:rPr>
          <w:color w:val="000000" w:themeColor="text1"/>
          <w:lang w:val="en-US"/>
        </w:rPr>
        <w:t xml:space="preserve"> </w:t>
      </w:r>
      <w:r w:rsidR="004C1558">
        <w:rPr>
          <w:color w:val="000000" w:themeColor="text1"/>
          <w:lang w:val="en-US"/>
        </w:rPr>
        <w:t xml:space="preserve">the </w:t>
      </w:r>
      <w:r w:rsidRPr="00871499">
        <w:rPr>
          <w:color w:val="000000" w:themeColor="text1"/>
          <w:lang w:val="en-US"/>
        </w:rPr>
        <w:t xml:space="preserve">minimum cost while meeting </w:t>
      </w:r>
      <w:r w:rsidR="004C1558">
        <w:rPr>
          <w:color w:val="000000" w:themeColor="text1"/>
          <w:lang w:val="en-US"/>
        </w:rPr>
        <w:t xml:space="preserve">the </w:t>
      </w:r>
      <w:r w:rsidRPr="00871499">
        <w:rPr>
          <w:color w:val="000000" w:themeColor="text1"/>
          <w:lang w:val="en-US"/>
        </w:rPr>
        <w:t>target service level</w:t>
      </w:r>
    </w:p>
    <w:p w14:paraId="2E290806" w14:textId="77777777" w:rsidR="006E3E5E" w:rsidRPr="006E3E5E" w:rsidRDefault="006E3E5E" w:rsidP="006E3E5E">
      <w:pPr>
        <w:pStyle w:val="ng-star-inserted"/>
        <w:spacing w:before="0" w:after="0" w:afterAutospacing="0"/>
        <w:ind w:left="216" w:right="14"/>
        <w:rPr>
          <w:rStyle w:val="ng-star-inserted1"/>
          <w:rFonts w:eastAsiaTheme="majorEastAsia"/>
          <w:b/>
          <w:bCs/>
          <w:color w:val="000000" w:themeColor="text1"/>
          <w:sz w:val="22"/>
          <w:szCs w:val="22"/>
          <w:lang w:val="en-US"/>
        </w:rPr>
      </w:pPr>
      <w:r w:rsidRPr="006E3E5E">
        <w:rPr>
          <w:rStyle w:val="ng-star-inserted1"/>
          <w:rFonts w:eastAsiaTheme="majorEastAsia"/>
          <w:b/>
          <w:bCs/>
          <w:color w:val="000000" w:themeColor="text1"/>
          <w:sz w:val="22"/>
          <w:szCs w:val="22"/>
          <w:lang w:val="en-US"/>
        </w:rPr>
        <w:t xml:space="preserve">Table C2.1 – </w:t>
      </w:r>
      <w:r w:rsidRPr="006E3E5E">
        <w:rPr>
          <w:rStyle w:val="ng-star-inserted1"/>
          <w:rFonts w:eastAsiaTheme="majorEastAsia"/>
          <w:b/>
          <w:bCs/>
          <w:color w:val="000000" w:themeColor="text1"/>
          <w:sz w:val="20"/>
          <w:lang w:val="en-US"/>
        </w:rPr>
        <w:t>Results by SKU Class</w:t>
      </w:r>
    </w:p>
    <w:tbl>
      <w:tblPr>
        <w:tblStyle w:val="Tabelacomgrade"/>
        <w:tblW w:w="0" w:type="auto"/>
        <w:jc w:val="center"/>
        <w:tblLook w:val="04A0" w:firstRow="1" w:lastRow="0" w:firstColumn="1" w:lastColumn="0" w:noHBand="0" w:noVBand="1"/>
      </w:tblPr>
      <w:tblGrid>
        <w:gridCol w:w="1872"/>
        <w:gridCol w:w="1872"/>
        <w:gridCol w:w="1872"/>
        <w:gridCol w:w="1872"/>
        <w:gridCol w:w="1872"/>
      </w:tblGrid>
      <w:tr w:rsidR="006E3E5E" w:rsidRPr="006E3E5E" w14:paraId="166F1881" w14:textId="77777777" w:rsidTr="009512C9">
        <w:trPr>
          <w:jc w:val="center"/>
        </w:trPr>
        <w:tc>
          <w:tcPr>
            <w:tcW w:w="1872" w:type="dxa"/>
          </w:tcPr>
          <w:p w14:paraId="7725943C" w14:textId="77777777" w:rsidR="006E3E5E" w:rsidRPr="006E3E5E" w:rsidRDefault="006E3E5E" w:rsidP="009512C9">
            <w:pPr>
              <w:jc w:val="center"/>
              <w:rPr>
                <w:rFonts w:cs="Times New Roman"/>
              </w:rPr>
            </w:pPr>
            <w:r w:rsidRPr="006E3E5E">
              <w:rPr>
                <w:rFonts w:cs="Times New Roman"/>
                <w:b/>
              </w:rPr>
              <w:t>SKU Class</w:t>
            </w:r>
          </w:p>
        </w:tc>
        <w:tc>
          <w:tcPr>
            <w:tcW w:w="1872" w:type="dxa"/>
          </w:tcPr>
          <w:p w14:paraId="77B4BBA1" w14:textId="77777777" w:rsidR="006E3E5E" w:rsidRPr="006E3E5E" w:rsidRDefault="006E3E5E" w:rsidP="009512C9">
            <w:pPr>
              <w:jc w:val="center"/>
              <w:rPr>
                <w:rFonts w:cs="Times New Roman"/>
              </w:rPr>
            </w:pPr>
            <w:r w:rsidRPr="006E3E5E">
              <w:rPr>
                <w:rFonts w:cs="Times New Roman"/>
                <w:b/>
              </w:rPr>
              <w:t>Service Target</w:t>
            </w:r>
          </w:p>
        </w:tc>
        <w:tc>
          <w:tcPr>
            <w:tcW w:w="1872" w:type="dxa"/>
          </w:tcPr>
          <w:p w14:paraId="6B8EF6D0" w14:textId="77777777" w:rsidR="006E3E5E" w:rsidRPr="006E3E5E" w:rsidRDefault="006E3E5E" w:rsidP="009512C9">
            <w:pPr>
              <w:jc w:val="center"/>
              <w:rPr>
                <w:rFonts w:cs="Times New Roman"/>
              </w:rPr>
            </w:pPr>
            <w:r w:rsidRPr="006E3E5E">
              <w:rPr>
                <w:rFonts w:cs="Times New Roman"/>
                <w:b/>
              </w:rPr>
              <w:t>Optimal z</w:t>
            </w:r>
          </w:p>
        </w:tc>
        <w:tc>
          <w:tcPr>
            <w:tcW w:w="1872" w:type="dxa"/>
          </w:tcPr>
          <w:p w14:paraId="669F75FB" w14:textId="77777777" w:rsidR="006E3E5E" w:rsidRPr="006E3E5E" w:rsidRDefault="006E3E5E" w:rsidP="009512C9">
            <w:pPr>
              <w:jc w:val="center"/>
              <w:rPr>
                <w:rFonts w:cs="Times New Roman"/>
              </w:rPr>
            </w:pPr>
            <w:r w:rsidRPr="006E3E5E">
              <w:rPr>
                <w:rFonts w:cs="Times New Roman"/>
                <w:b/>
              </w:rPr>
              <w:t>Validation Cost</w:t>
            </w:r>
          </w:p>
        </w:tc>
        <w:tc>
          <w:tcPr>
            <w:tcW w:w="1872" w:type="dxa"/>
          </w:tcPr>
          <w:p w14:paraId="0E7E1818" w14:textId="77777777" w:rsidR="006E3E5E" w:rsidRPr="006E3E5E" w:rsidRDefault="006E3E5E" w:rsidP="009512C9">
            <w:pPr>
              <w:jc w:val="center"/>
              <w:rPr>
                <w:rFonts w:cs="Times New Roman"/>
              </w:rPr>
            </w:pPr>
            <w:r w:rsidRPr="006E3E5E">
              <w:rPr>
                <w:rFonts w:cs="Times New Roman"/>
                <w:b/>
              </w:rPr>
              <w:t>Service Achieved</w:t>
            </w:r>
          </w:p>
        </w:tc>
      </w:tr>
      <w:tr w:rsidR="006E3E5E" w:rsidRPr="006E3E5E" w14:paraId="61047B0F" w14:textId="77777777" w:rsidTr="009512C9">
        <w:trPr>
          <w:jc w:val="center"/>
        </w:trPr>
        <w:tc>
          <w:tcPr>
            <w:tcW w:w="1872" w:type="dxa"/>
          </w:tcPr>
          <w:p w14:paraId="3F0BC0CA" w14:textId="77777777" w:rsidR="006E3E5E" w:rsidRPr="00EE5E5C" w:rsidRDefault="006E3E5E" w:rsidP="009512C9">
            <w:pPr>
              <w:jc w:val="center"/>
              <w:rPr>
                <w:rFonts w:cs="Times New Roman"/>
                <w:sz w:val="18"/>
                <w:szCs w:val="18"/>
              </w:rPr>
            </w:pPr>
            <w:r w:rsidRPr="00EE5E5C">
              <w:rPr>
                <w:rFonts w:cs="Times New Roman"/>
                <w:sz w:val="18"/>
                <w:szCs w:val="18"/>
              </w:rPr>
              <w:t>Critical</w:t>
            </w:r>
          </w:p>
        </w:tc>
        <w:tc>
          <w:tcPr>
            <w:tcW w:w="1872" w:type="dxa"/>
          </w:tcPr>
          <w:p w14:paraId="40EFDA80" w14:textId="77777777" w:rsidR="006E3E5E" w:rsidRPr="00EE5E5C" w:rsidRDefault="006E3E5E" w:rsidP="009512C9">
            <w:pPr>
              <w:jc w:val="center"/>
              <w:rPr>
                <w:rFonts w:cs="Times New Roman"/>
                <w:sz w:val="18"/>
                <w:szCs w:val="18"/>
              </w:rPr>
            </w:pPr>
            <w:r w:rsidRPr="00EE5E5C">
              <w:rPr>
                <w:rFonts w:cs="Times New Roman"/>
                <w:sz w:val="18"/>
                <w:szCs w:val="18"/>
              </w:rPr>
              <w:t>98%</w:t>
            </w:r>
          </w:p>
        </w:tc>
        <w:tc>
          <w:tcPr>
            <w:tcW w:w="1872" w:type="dxa"/>
          </w:tcPr>
          <w:p w14:paraId="4C9E4787" w14:textId="77777777" w:rsidR="006E3E5E" w:rsidRPr="00EE5E5C" w:rsidRDefault="006E3E5E" w:rsidP="009512C9">
            <w:pPr>
              <w:jc w:val="center"/>
              <w:rPr>
                <w:rFonts w:cs="Times New Roman"/>
                <w:sz w:val="18"/>
                <w:szCs w:val="18"/>
              </w:rPr>
            </w:pPr>
            <w:r w:rsidRPr="00EE5E5C">
              <w:rPr>
                <w:rFonts w:cs="Times New Roman"/>
                <w:sz w:val="18"/>
                <w:szCs w:val="18"/>
              </w:rPr>
              <w:t>2.05</w:t>
            </w:r>
          </w:p>
        </w:tc>
        <w:tc>
          <w:tcPr>
            <w:tcW w:w="1872" w:type="dxa"/>
          </w:tcPr>
          <w:p w14:paraId="6F2AD683" w14:textId="77777777" w:rsidR="006E3E5E" w:rsidRPr="00EE5E5C" w:rsidRDefault="006E3E5E" w:rsidP="009512C9">
            <w:pPr>
              <w:jc w:val="center"/>
              <w:rPr>
                <w:rFonts w:cs="Times New Roman"/>
                <w:sz w:val="18"/>
                <w:szCs w:val="18"/>
              </w:rPr>
            </w:pPr>
            <w:r w:rsidRPr="00EE5E5C">
              <w:rPr>
                <w:rFonts w:cs="Times New Roman"/>
                <w:sz w:val="18"/>
                <w:szCs w:val="18"/>
              </w:rPr>
              <w:t>12,345</w:t>
            </w:r>
          </w:p>
        </w:tc>
        <w:tc>
          <w:tcPr>
            <w:tcW w:w="1872" w:type="dxa"/>
          </w:tcPr>
          <w:p w14:paraId="597462F0" w14:textId="77777777" w:rsidR="006E3E5E" w:rsidRPr="00EE5E5C" w:rsidRDefault="006E3E5E" w:rsidP="009512C9">
            <w:pPr>
              <w:jc w:val="center"/>
              <w:rPr>
                <w:rFonts w:cs="Times New Roman"/>
                <w:sz w:val="18"/>
                <w:szCs w:val="18"/>
              </w:rPr>
            </w:pPr>
            <w:r w:rsidRPr="00EE5E5C">
              <w:rPr>
                <w:rFonts w:cs="Times New Roman"/>
                <w:sz w:val="18"/>
                <w:szCs w:val="18"/>
              </w:rPr>
              <w:t>97.8%</w:t>
            </w:r>
          </w:p>
        </w:tc>
      </w:tr>
      <w:tr w:rsidR="006E3E5E" w:rsidRPr="006E3E5E" w14:paraId="2AC280A3" w14:textId="77777777" w:rsidTr="009512C9">
        <w:trPr>
          <w:jc w:val="center"/>
        </w:trPr>
        <w:tc>
          <w:tcPr>
            <w:tcW w:w="1872" w:type="dxa"/>
          </w:tcPr>
          <w:p w14:paraId="03F1E18B" w14:textId="77777777" w:rsidR="006E3E5E" w:rsidRPr="00EE5E5C" w:rsidRDefault="006E3E5E" w:rsidP="009512C9">
            <w:pPr>
              <w:jc w:val="center"/>
              <w:rPr>
                <w:rFonts w:cs="Times New Roman"/>
                <w:sz w:val="18"/>
                <w:szCs w:val="18"/>
              </w:rPr>
            </w:pPr>
            <w:r w:rsidRPr="00EE5E5C">
              <w:rPr>
                <w:rFonts w:cs="Times New Roman"/>
                <w:sz w:val="18"/>
                <w:szCs w:val="18"/>
              </w:rPr>
              <w:t>Standard</w:t>
            </w:r>
          </w:p>
        </w:tc>
        <w:tc>
          <w:tcPr>
            <w:tcW w:w="1872" w:type="dxa"/>
          </w:tcPr>
          <w:p w14:paraId="716644F8" w14:textId="77777777" w:rsidR="006E3E5E" w:rsidRPr="00EE5E5C" w:rsidRDefault="006E3E5E" w:rsidP="009512C9">
            <w:pPr>
              <w:jc w:val="center"/>
              <w:rPr>
                <w:rFonts w:cs="Times New Roman"/>
                <w:sz w:val="18"/>
                <w:szCs w:val="18"/>
              </w:rPr>
            </w:pPr>
            <w:r w:rsidRPr="00EE5E5C">
              <w:rPr>
                <w:rFonts w:cs="Times New Roman"/>
                <w:sz w:val="18"/>
                <w:szCs w:val="18"/>
              </w:rPr>
              <w:t>95%</w:t>
            </w:r>
          </w:p>
        </w:tc>
        <w:tc>
          <w:tcPr>
            <w:tcW w:w="1872" w:type="dxa"/>
          </w:tcPr>
          <w:p w14:paraId="7B70D620" w14:textId="77777777" w:rsidR="006E3E5E" w:rsidRPr="00EE5E5C" w:rsidRDefault="006E3E5E" w:rsidP="009512C9">
            <w:pPr>
              <w:jc w:val="center"/>
              <w:rPr>
                <w:rFonts w:cs="Times New Roman"/>
                <w:sz w:val="18"/>
                <w:szCs w:val="18"/>
              </w:rPr>
            </w:pPr>
            <w:r w:rsidRPr="00EE5E5C">
              <w:rPr>
                <w:rFonts w:cs="Times New Roman"/>
                <w:sz w:val="18"/>
                <w:szCs w:val="18"/>
              </w:rPr>
              <w:t>1.65</w:t>
            </w:r>
          </w:p>
        </w:tc>
        <w:tc>
          <w:tcPr>
            <w:tcW w:w="1872" w:type="dxa"/>
          </w:tcPr>
          <w:p w14:paraId="32D38987" w14:textId="77777777" w:rsidR="006E3E5E" w:rsidRPr="00EE5E5C" w:rsidRDefault="006E3E5E" w:rsidP="009512C9">
            <w:pPr>
              <w:jc w:val="center"/>
              <w:rPr>
                <w:rFonts w:cs="Times New Roman"/>
                <w:sz w:val="18"/>
                <w:szCs w:val="18"/>
              </w:rPr>
            </w:pPr>
            <w:r w:rsidRPr="00EE5E5C">
              <w:rPr>
                <w:rFonts w:cs="Times New Roman"/>
                <w:sz w:val="18"/>
                <w:szCs w:val="18"/>
              </w:rPr>
              <w:t>8,910</w:t>
            </w:r>
          </w:p>
        </w:tc>
        <w:tc>
          <w:tcPr>
            <w:tcW w:w="1872" w:type="dxa"/>
          </w:tcPr>
          <w:p w14:paraId="784FDC47" w14:textId="77777777" w:rsidR="006E3E5E" w:rsidRPr="00EE5E5C" w:rsidRDefault="006E3E5E" w:rsidP="009512C9">
            <w:pPr>
              <w:jc w:val="center"/>
              <w:rPr>
                <w:rFonts w:cs="Times New Roman"/>
                <w:sz w:val="18"/>
                <w:szCs w:val="18"/>
              </w:rPr>
            </w:pPr>
            <w:r w:rsidRPr="00EE5E5C">
              <w:rPr>
                <w:rFonts w:cs="Times New Roman"/>
                <w:sz w:val="18"/>
                <w:szCs w:val="18"/>
              </w:rPr>
              <w:t>95.2%</w:t>
            </w:r>
          </w:p>
        </w:tc>
      </w:tr>
      <w:tr w:rsidR="006E3E5E" w:rsidRPr="006E3E5E" w14:paraId="30ECEAE2" w14:textId="77777777" w:rsidTr="009512C9">
        <w:trPr>
          <w:jc w:val="center"/>
        </w:trPr>
        <w:tc>
          <w:tcPr>
            <w:tcW w:w="1872" w:type="dxa"/>
          </w:tcPr>
          <w:p w14:paraId="02CDB5F9" w14:textId="77777777" w:rsidR="006E3E5E" w:rsidRPr="00EE5E5C" w:rsidRDefault="006E3E5E" w:rsidP="009512C9">
            <w:pPr>
              <w:jc w:val="center"/>
              <w:rPr>
                <w:rFonts w:cs="Times New Roman"/>
                <w:sz w:val="18"/>
                <w:szCs w:val="18"/>
              </w:rPr>
            </w:pPr>
            <w:r w:rsidRPr="00EE5E5C">
              <w:rPr>
                <w:rFonts w:cs="Times New Roman"/>
                <w:sz w:val="18"/>
                <w:szCs w:val="18"/>
              </w:rPr>
              <w:lastRenderedPageBreak/>
              <w:t>Seasonal</w:t>
            </w:r>
          </w:p>
        </w:tc>
        <w:tc>
          <w:tcPr>
            <w:tcW w:w="1872" w:type="dxa"/>
          </w:tcPr>
          <w:p w14:paraId="28CAD33F" w14:textId="77777777" w:rsidR="006E3E5E" w:rsidRPr="00EE5E5C" w:rsidRDefault="006E3E5E" w:rsidP="009512C9">
            <w:pPr>
              <w:jc w:val="center"/>
              <w:rPr>
                <w:rFonts w:cs="Times New Roman"/>
                <w:sz w:val="18"/>
                <w:szCs w:val="18"/>
              </w:rPr>
            </w:pPr>
            <w:r w:rsidRPr="00EE5E5C">
              <w:rPr>
                <w:rFonts w:cs="Times New Roman"/>
                <w:sz w:val="18"/>
                <w:szCs w:val="18"/>
              </w:rPr>
              <w:t>90%</w:t>
            </w:r>
          </w:p>
        </w:tc>
        <w:tc>
          <w:tcPr>
            <w:tcW w:w="1872" w:type="dxa"/>
          </w:tcPr>
          <w:p w14:paraId="0816DDCD" w14:textId="77777777" w:rsidR="006E3E5E" w:rsidRPr="00EE5E5C" w:rsidRDefault="006E3E5E" w:rsidP="009512C9">
            <w:pPr>
              <w:jc w:val="center"/>
              <w:rPr>
                <w:rFonts w:cs="Times New Roman"/>
                <w:sz w:val="18"/>
                <w:szCs w:val="18"/>
              </w:rPr>
            </w:pPr>
            <w:r w:rsidRPr="00EE5E5C">
              <w:rPr>
                <w:rFonts w:cs="Times New Roman"/>
                <w:sz w:val="18"/>
                <w:szCs w:val="18"/>
              </w:rPr>
              <w:t>1.28</w:t>
            </w:r>
          </w:p>
        </w:tc>
        <w:tc>
          <w:tcPr>
            <w:tcW w:w="1872" w:type="dxa"/>
          </w:tcPr>
          <w:p w14:paraId="7047B7A5" w14:textId="77777777" w:rsidR="006E3E5E" w:rsidRPr="00EE5E5C" w:rsidRDefault="006E3E5E" w:rsidP="009512C9">
            <w:pPr>
              <w:jc w:val="center"/>
              <w:rPr>
                <w:rFonts w:cs="Times New Roman"/>
                <w:sz w:val="18"/>
                <w:szCs w:val="18"/>
              </w:rPr>
            </w:pPr>
            <w:r w:rsidRPr="00EE5E5C">
              <w:rPr>
                <w:rFonts w:cs="Times New Roman"/>
                <w:sz w:val="18"/>
                <w:szCs w:val="18"/>
              </w:rPr>
              <w:t>6,543</w:t>
            </w:r>
          </w:p>
        </w:tc>
        <w:tc>
          <w:tcPr>
            <w:tcW w:w="1872" w:type="dxa"/>
          </w:tcPr>
          <w:p w14:paraId="0A5D1B4C" w14:textId="77777777" w:rsidR="006E3E5E" w:rsidRPr="00EE5E5C" w:rsidRDefault="006E3E5E" w:rsidP="009512C9">
            <w:pPr>
              <w:jc w:val="center"/>
              <w:rPr>
                <w:rFonts w:cs="Times New Roman"/>
                <w:sz w:val="18"/>
                <w:szCs w:val="18"/>
              </w:rPr>
            </w:pPr>
            <w:r w:rsidRPr="00EE5E5C">
              <w:rPr>
                <w:rFonts w:cs="Times New Roman"/>
                <w:sz w:val="18"/>
                <w:szCs w:val="18"/>
              </w:rPr>
              <w:t>90.1%</w:t>
            </w:r>
          </w:p>
        </w:tc>
      </w:tr>
    </w:tbl>
    <w:p w14:paraId="0BFBA364" w14:textId="26F7D3EB" w:rsidR="00A8136F" w:rsidRPr="005F3287" w:rsidRDefault="00C83C17" w:rsidP="00045FC2">
      <w:pPr>
        <w:pStyle w:val="text-base"/>
        <w:spacing w:before="0" w:after="0"/>
        <w:jc w:val="both"/>
        <w:rPr>
          <w:color w:val="000000" w:themeColor="text1"/>
          <w:lang w:val="en-US"/>
        </w:rPr>
      </w:pPr>
      <w:r w:rsidRPr="005F3287">
        <w:rPr>
          <w:color w:val="000000" w:themeColor="text1"/>
          <w:lang w:val="en-US"/>
        </w:rPr>
        <w:t xml:space="preserve">The selected (z) values are consistent with the statistical tables commonly used for the Gaussian </w:t>
      </w:r>
      <w:proofErr w:type="gramStart"/>
      <w:r w:rsidRPr="005F3287">
        <w:rPr>
          <w:color w:val="000000" w:themeColor="text1"/>
          <w:lang w:val="en-US"/>
        </w:rPr>
        <w:t>newsvendor</w:t>
      </w:r>
      <w:proofErr w:type="gramEnd"/>
      <w:r w:rsidRPr="005F3287">
        <w:rPr>
          <w:color w:val="000000" w:themeColor="text1"/>
          <w:lang w:val="en-US"/>
        </w:rPr>
        <w:t xml:space="preserve"> model. For (z = 2.33), which corresponds to a 99% service target, the achieved fill rate is 99.1%, indicating that the implementation behaves as intended.</w:t>
      </w:r>
    </w:p>
    <w:p w14:paraId="4FB7EB26" w14:textId="77777777" w:rsidR="00A8136F" w:rsidRPr="005F3287" w:rsidRDefault="00A8136F" w:rsidP="00A8136F">
      <w:pPr>
        <w:pStyle w:val="ng-star-inserted"/>
        <w:spacing w:before="0" w:after="0" w:afterAutospacing="0"/>
        <w:ind w:left="216" w:right="14"/>
        <w:rPr>
          <w:rStyle w:val="ng-star-inserted1"/>
          <w:rFonts w:eastAsiaTheme="majorEastAsia"/>
          <w:b/>
          <w:bCs/>
          <w:color w:val="000000" w:themeColor="text1"/>
          <w:sz w:val="22"/>
          <w:szCs w:val="22"/>
          <w:lang w:val="en-US"/>
        </w:rPr>
      </w:pPr>
      <w:r w:rsidRPr="005F3287">
        <w:rPr>
          <w:rStyle w:val="ng-star-inserted1"/>
          <w:rFonts w:eastAsiaTheme="majorEastAsia"/>
          <w:b/>
          <w:bCs/>
          <w:color w:val="000000" w:themeColor="text1"/>
          <w:sz w:val="22"/>
          <w:szCs w:val="22"/>
          <w:lang w:val="en-US"/>
        </w:rPr>
        <w:t xml:space="preserve">Table C2.2 – </w:t>
      </w:r>
      <w:r w:rsidRPr="005F3287">
        <w:rPr>
          <w:rStyle w:val="ng-star-inserted1"/>
          <w:rFonts w:eastAsiaTheme="majorEastAsia"/>
          <w:b/>
          <w:bCs/>
          <w:color w:val="000000" w:themeColor="text1"/>
          <w:sz w:val="20"/>
          <w:lang w:val="en-US"/>
        </w:rPr>
        <w:t>Sensitivity Analysis: Total Cost Under z ±20%</w:t>
      </w:r>
    </w:p>
    <w:tbl>
      <w:tblPr>
        <w:tblStyle w:val="Tabelacomgrade"/>
        <w:tblW w:w="0" w:type="auto"/>
        <w:jc w:val="center"/>
        <w:tblLook w:val="04A0" w:firstRow="1" w:lastRow="0" w:firstColumn="1" w:lastColumn="0" w:noHBand="0" w:noVBand="1"/>
      </w:tblPr>
      <w:tblGrid>
        <w:gridCol w:w="1872"/>
        <w:gridCol w:w="1872"/>
        <w:gridCol w:w="1872"/>
        <w:gridCol w:w="1872"/>
        <w:gridCol w:w="1872"/>
      </w:tblGrid>
      <w:tr w:rsidR="005F3287" w:rsidRPr="005F3287" w14:paraId="54097B52" w14:textId="77777777" w:rsidTr="009512C9">
        <w:trPr>
          <w:jc w:val="center"/>
        </w:trPr>
        <w:tc>
          <w:tcPr>
            <w:tcW w:w="1872" w:type="dxa"/>
          </w:tcPr>
          <w:p w14:paraId="5DC4F701" w14:textId="77777777" w:rsidR="001E7DCD" w:rsidRPr="005F3287" w:rsidRDefault="001E7DCD" w:rsidP="009512C9">
            <w:pPr>
              <w:jc w:val="center"/>
              <w:rPr>
                <w:rFonts w:cs="Times New Roman"/>
                <w:color w:val="000000" w:themeColor="text1"/>
              </w:rPr>
            </w:pPr>
            <w:r w:rsidRPr="005F3287">
              <w:rPr>
                <w:rFonts w:cs="Times New Roman"/>
                <w:b/>
                <w:color w:val="000000" w:themeColor="text1"/>
              </w:rPr>
              <w:t>SKU Class</w:t>
            </w:r>
          </w:p>
        </w:tc>
        <w:tc>
          <w:tcPr>
            <w:tcW w:w="1872" w:type="dxa"/>
          </w:tcPr>
          <w:p w14:paraId="6844D846" w14:textId="77777777" w:rsidR="001E7DCD" w:rsidRPr="005F3287" w:rsidRDefault="001E7DCD" w:rsidP="009512C9">
            <w:pPr>
              <w:jc w:val="center"/>
              <w:rPr>
                <w:rFonts w:cs="Times New Roman"/>
                <w:color w:val="000000" w:themeColor="text1"/>
              </w:rPr>
            </w:pPr>
            <w:r w:rsidRPr="005F3287">
              <w:rPr>
                <w:rFonts w:cs="Times New Roman"/>
                <w:b/>
                <w:color w:val="000000" w:themeColor="text1"/>
              </w:rPr>
              <w:t>z – 20%</w:t>
            </w:r>
          </w:p>
        </w:tc>
        <w:tc>
          <w:tcPr>
            <w:tcW w:w="1872" w:type="dxa"/>
          </w:tcPr>
          <w:p w14:paraId="3429D963" w14:textId="77777777" w:rsidR="001E7DCD" w:rsidRPr="005F3287" w:rsidRDefault="001E7DCD" w:rsidP="009512C9">
            <w:pPr>
              <w:jc w:val="center"/>
              <w:rPr>
                <w:rFonts w:cs="Times New Roman"/>
                <w:b/>
                <w:color w:val="000000" w:themeColor="text1"/>
              </w:rPr>
            </w:pPr>
            <w:r w:rsidRPr="005F3287">
              <w:rPr>
                <w:rFonts w:cs="Times New Roman"/>
                <w:b/>
                <w:color w:val="000000" w:themeColor="text1"/>
              </w:rPr>
              <w:t>z (Optimal)</w:t>
            </w:r>
          </w:p>
        </w:tc>
        <w:tc>
          <w:tcPr>
            <w:tcW w:w="1872" w:type="dxa"/>
          </w:tcPr>
          <w:p w14:paraId="44856A48" w14:textId="77777777" w:rsidR="001E7DCD" w:rsidRPr="005F3287" w:rsidRDefault="001E7DCD" w:rsidP="009512C9">
            <w:pPr>
              <w:jc w:val="center"/>
              <w:rPr>
                <w:rFonts w:cs="Times New Roman"/>
                <w:b/>
                <w:color w:val="000000" w:themeColor="text1"/>
              </w:rPr>
            </w:pPr>
            <w:r w:rsidRPr="005F3287">
              <w:rPr>
                <w:rFonts w:cs="Times New Roman"/>
                <w:b/>
                <w:color w:val="000000" w:themeColor="text1"/>
              </w:rPr>
              <w:t>z + 20%</w:t>
            </w:r>
          </w:p>
        </w:tc>
        <w:tc>
          <w:tcPr>
            <w:tcW w:w="1872" w:type="dxa"/>
          </w:tcPr>
          <w:p w14:paraId="4D4B124A" w14:textId="77777777" w:rsidR="001E7DCD" w:rsidRPr="005F3287" w:rsidRDefault="001E7DCD" w:rsidP="009512C9">
            <w:pPr>
              <w:jc w:val="center"/>
              <w:rPr>
                <w:rFonts w:cs="Times New Roman"/>
                <w:b/>
                <w:color w:val="000000" w:themeColor="text1"/>
              </w:rPr>
            </w:pPr>
            <w:r w:rsidRPr="005F3287">
              <w:rPr>
                <w:rFonts w:cs="Times New Roman"/>
                <w:b/>
                <w:color w:val="000000" w:themeColor="text1"/>
              </w:rPr>
              <w:t>Cost Increase</w:t>
            </w:r>
          </w:p>
        </w:tc>
      </w:tr>
      <w:tr w:rsidR="005F3287" w:rsidRPr="005F3287" w14:paraId="1B39558D" w14:textId="77777777" w:rsidTr="009512C9">
        <w:trPr>
          <w:jc w:val="center"/>
        </w:trPr>
        <w:tc>
          <w:tcPr>
            <w:tcW w:w="1872" w:type="dxa"/>
          </w:tcPr>
          <w:p w14:paraId="0ACCDBD9" w14:textId="77777777" w:rsidR="001E7DCD" w:rsidRPr="005F3287" w:rsidRDefault="001E7DCD" w:rsidP="009512C9">
            <w:pPr>
              <w:jc w:val="center"/>
              <w:rPr>
                <w:rFonts w:cs="Times New Roman"/>
                <w:color w:val="000000" w:themeColor="text1"/>
              </w:rPr>
            </w:pPr>
            <w:r w:rsidRPr="005F3287">
              <w:rPr>
                <w:rFonts w:cs="Times New Roman"/>
                <w:color w:val="000000" w:themeColor="text1"/>
              </w:rPr>
              <w:t>Critical</w:t>
            </w:r>
          </w:p>
        </w:tc>
        <w:tc>
          <w:tcPr>
            <w:tcW w:w="1872" w:type="dxa"/>
          </w:tcPr>
          <w:p w14:paraId="701ACC40" w14:textId="77777777" w:rsidR="001E7DCD" w:rsidRPr="005F3287" w:rsidRDefault="001E7DCD" w:rsidP="009512C9">
            <w:pPr>
              <w:jc w:val="center"/>
              <w:rPr>
                <w:rFonts w:cs="Times New Roman"/>
                <w:color w:val="000000" w:themeColor="text1"/>
              </w:rPr>
            </w:pPr>
            <w:r w:rsidRPr="005F3287">
              <w:rPr>
                <w:rFonts w:cs="Times New Roman"/>
                <w:color w:val="000000" w:themeColor="text1"/>
              </w:rPr>
              <w:t>1.64</w:t>
            </w:r>
          </w:p>
        </w:tc>
        <w:tc>
          <w:tcPr>
            <w:tcW w:w="1872" w:type="dxa"/>
          </w:tcPr>
          <w:p w14:paraId="4F1AAAD6" w14:textId="77777777" w:rsidR="001E7DCD" w:rsidRPr="005F3287" w:rsidRDefault="001E7DCD" w:rsidP="009512C9">
            <w:pPr>
              <w:jc w:val="center"/>
              <w:rPr>
                <w:rFonts w:cs="Times New Roman"/>
                <w:color w:val="000000" w:themeColor="text1"/>
              </w:rPr>
            </w:pPr>
            <w:r w:rsidRPr="005F3287">
              <w:rPr>
                <w:rFonts w:cs="Times New Roman"/>
                <w:color w:val="000000" w:themeColor="text1"/>
              </w:rPr>
              <w:t>2.05</w:t>
            </w:r>
          </w:p>
        </w:tc>
        <w:tc>
          <w:tcPr>
            <w:tcW w:w="1872" w:type="dxa"/>
          </w:tcPr>
          <w:p w14:paraId="4D18A9AF" w14:textId="77777777" w:rsidR="001E7DCD" w:rsidRPr="005F3287" w:rsidRDefault="001E7DCD" w:rsidP="009512C9">
            <w:pPr>
              <w:jc w:val="center"/>
              <w:rPr>
                <w:rFonts w:cs="Times New Roman"/>
                <w:color w:val="000000" w:themeColor="text1"/>
              </w:rPr>
            </w:pPr>
            <w:r w:rsidRPr="005F3287">
              <w:rPr>
                <w:rFonts w:cs="Times New Roman"/>
                <w:color w:val="000000" w:themeColor="text1"/>
              </w:rPr>
              <w:t>2.46</w:t>
            </w:r>
          </w:p>
        </w:tc>
        <w:tc>
          <w:tcPr>
            <w:tcW w:w="1872" w:type="dxa"/>
          </w:tcPr>
          <w:p w14:paraId="46328587" w14:textId="77777777" w:rsidR="001E7DCD" w:rsidRPr="005F3287" w:rsidRDefault="001E7DCD" w:rsidP="009512C9">
            <w:pPr>
              <w:jc w:val="center"/>
              <w:rPr>
                <w:rFonts w:cs="Times New Roman"/>
                <w:color w:val="000000" w:themeColor="text1"/>
              </w:rPr>
            </w:pPr>
            <w:r w:rsidRPr="005F3287">
              <w:rPr>
                <w:rFonts w:cs="Times New Roman"/>
                <w:color w:val="000000" w:themeColor="text1"/>
              </w:rPr>
              <w:t>+8.2%</w:t>
            </w:r>
          </w:p>
        </w:tc>
      </w:tr>
      <w:tr w:rsidR="005F3287" w:rsidRPr="005F3287" w14:paraId="4D30C7AB" w14:textId="77777777" w:rsidTr="009512C9">
        <w:trPr>
          <w:jc w:val="center"/>
        </w:trPr>
        <w:tc>
          <w:tcPr>
            <w:tcW w:w="1872" w:type="dxa"/>
          </w:tcPr>
          <w:p w14:paraId="0193BCF8" w14:textId="77777777" w:rsidR="001E7DCD" w:rsidRPr="005F3287" w:rsidRDefault="001E7DCD" w:rsidP="009512C9">
            <w:pPr>
              <w:jc w:val="center"/>
              <w:rPr>
                <w:rFonts w:cs="Times New Roman"/>
                <w:color w:val="000000" w:themeColor="text1"/>
              </w:rPr>
            </w:pPr>
            <w:r w:rsidRPr="005F3287">
              <w:rPr>
                <w:rFonts w:cs="Times New Roman"/>
                <w:color w:val="000000" w:themeColor="text1"/>
              </w:rPr>
              <w:t>Standard</w:t>
            </w:r>
          </w:p>
        </w:tc>
        <w:tc>
          <w:tcPr>
            <w:tcW w:w="1872" w:type="dxa"/>
          </w:tcPr>
          <w:p w14:paraId="1BC53928" w14:textId="77777777" w:rsidR="001E7DCD" w:rsidRPr="005F3287" w:rsidRDefault="001E7DCD" w:rsidP="009512C9">
            <w:pPr>
              <w:jc w:val="center"/>
              <w:rPr>
                <w:rFonts w:cs="Times New Roman"/>
                <w:color w:val="000000" w:themeColor="text1"/>
              </w:rPr>
            </w:pPr>
            <w:r w:rsidRPr="005F3287">
              <w:rPr>
                <w:rFonts w:cs="Times New Roman"/>
                <w:color w:val="000000" w:themeColor="text1"/>
              </w:rPr>
              <w:t>1.32</w:t>
            </w:r>
          </w:p>
        </w:tc>
        <w:tc>
          <w:tcPr>
            <w:tcW w:w="1872" w:type="dxa"/>
          </w:tcPr>
          <w:p w14:paraId="782E7CCF" w14:textId="77777777" w:rsidR="001E7DCD" w:rsidRPr="005F3287" w:rsidRDefault="001E7DCD" w:rsidP="009512C9">
            <w:pPr>
              <w:jc w:val="center"/>
              <w:rPr>
                <w:rFonts w:cs="Times New Roman"/>
                <w:color w:val="000000" w:themeColor="text1"/>
              </w:rPr>
            </w:pPr>
            <w:r w:rsidRPr="005F3287">
              <w:rPr>
                <w:rFonts w:cs="Times New Roman"/>
                <w:color w:val="000000" w:themeColor="text1"/>
              </w:rPr>
              <w:t>1.65</w:t>
            </w:r>
          </w:p>
        </w:tc>
        <w:tc>
          <w:tcPr>
            <w:tcW w:w="1872" w:type="dxa"/>
          </w:tcPr>
          <w:p w14:paraId="2A770F45" w14:textId="77777777" w:rsidR="001E7DCD" w:rsidRPr="005F3287" w:rsidRDefault="001E7DCD" w:rsidP="009512C9">
            <w:pPr>
              <w:jc w:val="center"/>
              <w:rPr>
                <w:rFonts w:cs="Times New Roman"/>
                <w:color w:val="000000" w:themeColor="text1"/>
              </w:rPr>
            </w:pPr>
            <w:r w:rsidRPr="005F3287">
              <w:rPr>
                <w:rFonts w:cs="Times New Roman"/>
                <w:color w:val="000000" w:themeColor="text1"/>
              </w:rPr>
              <w:t>1.98</w:t>
            </w:r>
          </w:p>
        </w:tc>
        <w:tc>
          <w:tcPr>
            <w:tcW w:w="1872" w:type="dxa"/>
          </w:tcPr>
          <w:p w14:paraId="349181E4" w14:textId="77777777" w:rsidR="001E7DCD" w:rsidRPr="005F3287" w:rsidRDefault="001E7DCD" w:rsidP="009512C9">
            <w:pPr>
              <w:jc w:val="center"/>
              <w:rPr>
                <w:rFonts w:cs="Times New Roman"/>
                <w:color w:val="000000" w:themeColor="text1"/>
              </w:rPr>
            </w:pPr>
            <w:r w:rsidRPr="005F3287">
              <w:rPr>
                <w:rFonts w:cs="Times New Roman"/>
                <w:color w:val="000000" w:themeColor="text1"/>
              </w:rPr>
              <w:t>+6.5%</w:t>
            </w:r>
          </w:p>
        </w:tc>
      </w:tr>
      <w:tr w:rsidR="005F3287" w:rsidRPr="005F3287" w14:paraId="19AA8C5A" w14:textId="77777777" w:rsidTr="009512C9">
        <w:trPr>
          <w:jc w:val="center"/>
        </w:trPr>
        <w:tc>
          <w:tcPr>
            <w:tcW w:w="1872" w:type="dxa"/>
          </w:tcPr>
          <w:p w14:paraId="6368BBAB" w14:textId="77777777" w:rsidR="001E7DCD" w:rsidRPr="005F3287" w:rsidRDefault="001E7DCD" w:rsidP="009512C9">
            <w:pPr>
              <w:jc w:val="center"/>
              <w:rPr>
                <w:rFonts w:cs="Times New Roman"/>
                <w:color w:val="000000" w:themeColor="text1"/>
              </w:rPr>
            </w:pPr>
            <w:r w:rsidRPr="005F3287">
              <w:rPr>
                <w:rFonts w:cs="Times New Roman"/>
                <w:color w:val="000000" w:themeColor="text1"/>
              </w:rPr>
              <w:t>Seasonal</w:t>
            </w:r>
          </w:p>
        </w:tc>
        <w:tc>
          <w:tcPr>
            <w:tcW w:w="1872" w:type="dxa"/>
          </w:tcPr>
          <w:p w14:paraId="43F47313" w14:textId="77777777" w:rsidR="001E7DCD" w:rsidRPr="005F3287" w:rsidRDefault="001E7DCD" w:rsidP="009512C9">
            <w:pPr>
              <w:jc w:val="center"/>
              <w:rPr>
                <w:rFonts w:cs="Times New Roman"/>
                <w:color w:val="000000" w:themeColor="text1"/>
              </w:rPr>
            </w:pPr>
            <w:r w:rsidRPr="005F3287">
              <w:rPr>
                <w:rFonts w:cs="Times New Roman"/>
                <w:color w:val="000000" w:themeColor="text1"/>
              </w:rPr>
              <w:t>1.02</w:t>
            </w:r>
          </w:p>
        </w:tc>
        <w:tc>
          <w:tcPr>
            <w:tcW w:w="1872" w:type="dxa"/>
          </w:tcPr>
          <w:p w14:paraId="13EF8595" w14:textId="77777777" w:rsidR="001E7DCD" w:rsidRPr="005F3287" w:rsidRDefault="001E7DCD" w:rsidP="009512C9">
            <w:pPr>
              <w:jc w:val="center"/>
              <w:rPr>
                <w:rFonts w:cs="Times New Roman"/>
                <w:color w:val="000000" w:themeColor="text1"/>
              </w:rPr>
            </w:pPr>
            <w:r w:rsidRPr="005F3287">
              <w:rPr>
                <w:rFonts w:cs="Times New Roman"/>
                <w:color w:val="000000" w:themeColor="text1"/>
              </w:rPr>
              <w:t>1.28</w:t>
            </w:r>
          </w:p>
        </w:tc>
        <w:tc>
          <w:tcPr>
            <w:tcW w:w="1872" w:type="dxa"/>
          </w:tcPr>
          <w:p w14:paraId="66E46B42" w14:textId="77777777" w:rsidR="001E7DCD" w:rsidRPr="005F3287" w:rsidRDefault="001E7DCD" w:rsidP="009512C9">
            <w:pPr>
              <w:jc w:val="center"/>
              <w:rPr>
                <w:rFonts w:cs="Times New Roman"/>
                <w:color w:val="000000" w:themeColor="text1"/>
              </w:rPr>
            </w:pPr>
            <w:r w:rsidRPr="005F3287">
              <w:rPr>
                <w:rFonts w:cs="Times New Roman"/>
                <w:color w:val="000000" w:themeColor="text1"/>
              </w:rPr>
              <w:t>1.54</w:t>
            </w:r>
          </w:p>
        </w:tc>
        <w:tc>
          <w:tcPr>
            <w:tcW w:w="1872" w:type="dxa"/>
          </w:tcPr>
          <w:p w14:paraId="63F3C3C7" w14:textId="77777777" w:rsidR="001E7DCD" w:rsidRPr="005F3287" w:rsidRDefault="001E7DCD" w:rsidP="009512C9">
            <w:pPr>
              <w:jc w:val="center"/>
              <w:rPr>
                <w:rFonts w:cs="Times New Roman"/>
                <w:color w:val="000000" w:themeColor="text1"/>
              </w:rPr>
            </w:pPr>
            <w:r w:rsidRPr="005F3287">
              <w:rPr>
                <w:rFonts w:cs="Times New Roman"/>
                <w:color w:val="000000" w:themeColor="text1"/>
              </w:rPr>
              <w:t>+5.1%</w:t>
            </w:r>
          </w:p>
        </w:tc>
      </w:tr>
    </w:tbl>
    <w:p w14:paraId="3ED7111E" w14:textId="4FE8357E" w:rsidR="00E078DF" w:rsidRPr="005F3287" w:rsidRDefault="00C83C17" w:rsidP="00C83C17">
      <w:pPr>
        <w:spacing w:before="240"/>
        <w:rPr>
          <w:color w:val="000000" w:themeColor="text1"/>
        </w:rPr>
      </w:pPr>
      <w:r w:rsidRPr="005F3287">
        <w:rPr>
          <w:rFonts w:cs="Times New Roman"/>
          <w:color w:val="000000" w:themeColor="text1"/>
          <w:szCs w:val="24"/>
          <w:lang w:eastAsia="pt-BR"/>
        </w:rPr>
        <w:t xml:space="preserve">Policy performance and cost estimates remain stable under (z) perturbations of </w:t>
      </w:r>
      <m:oMath>
        <m:r>
          <m:rPr>
            <m:sty m:val="p"/>
          </m:rPr>
          <w:rPr>
            <w:rFonts w:ascii="Cambria Math" w:hAnsi="Cambria Math" w:cs="Times New Roman"/>
            <w:color w:val="000000" w:themeColor="text1"/>
            <w:szCs w:val="24"/>
            <w:lang w:eastAsia="pt-BR"/>
          </w:rPr>
          <m:t>±</m:t>
        </m:r>
        <m:r>
          <w:rPr>
            <w:rFonts w:ascii="Cambria Math" w:hAnsi="Cambria Math" w:cs="Times New Roman"/>
            <w:color w:val="000000" w:themeColor="text1"/>
            <w:szCs w:val="24"/>
            <w:lang w:eastAsia="pt-BR"/>
          </w:rPr>
          <m:t>20</m:t>
        </m:r>
      </m:oMath>
      <w:r w:rsidRPr="005F3287">
        <w:rPr>
          <w:rFonts w:cs="Times New Roman"/>
          <w:color w:val="000000" w:themeColor="text1"/>
          <w:szCs w:val="24"/>
          <w:lang w:eastAsia="pt-BR"/>
        </w:rPr>
        <w:t xml:space="preserve">, a tolerance commonly used to reflect parameter-estimation uncertainty. In the Stable scenario, the relative ranking of policies does not change across the (z) variations reported in Table C2.2. </w:t>
      </w:r>
    </w:p>
    <w:p w14:paraId="5BB87D1F" w14:textId="77777777" w:rsidR="008651B1" w:rsidRPr="008651B1" w:rsidRDefault="008651B1" w:rsidP="0038108D">
      <w:pPr>
        <w:pStyle w:val="Ttulo3"/>
        <w:spacing w:after="0"/>
        <w:rPr>
          <w:lang w:eastAsia="pt-BR"/>
        </w:rPr>
      </w:pPr>
      <w:r w:rsidRPr="008651B1">
        <w:rPr>
          <w:rFonts w:eastAsia="Times New Roman"/>
          <w:sz w:val="20"/>
          <w:lang w:eastAsia="pt-BR"/>
        </w:rPr>
        <w:t xml:space="preserve">C.3 Reinforcement Learning </w:t>
      </w:r>
      <w:r w:rsidR="008E6BBA" w:rsidRPr="008E6BBA">
        <w:rPr>
          <w:rFonts w:eastAsia="Times New Roman"/>
          <w:sz w:val="20"/>
          <w:lang w:eastAsia="pt-BR"/>
        </w:rPr>
        <w:t>Algorithm Implementation Details</w:t>
      </w:r>
    </w:p>
    <w:p w14:paraId="4FA4E434" w14:textId="0E30BF1C" w:rsidR="006F7FCD" w:rsidRPr="005F3287" w:rsidRDefault="00FA2752" w:rsidP="00FB53C7">
      <w:pPr>
        <w:pStyle w:val="text-base"/>
        <w:spacing w:before="0" w:after="0" w:afterAutospacing="0"/>
        <w:jc w:val="both"/>
        <w:rPr>
          <w:color w:val="000000" w:themeColor="text1"/>
          <w:lang w:val="en-US"/>
        </w:rPr>
      </w:pPr>
      <w:r w:rsidRPr="005F3287">
        <w:rPr>
          <w:color w:val="000000" w:themeColor="text1"/>
          <w:lang w:val="en-US"/>
        </w:rPr>
        <w:t xml:space="preserve">The Double Q-learning implementation uses a learning rate of </w:t>
      </w:r>
      <m:oMath>
        <m:r>
          <m:rPr>
            <m:sty m:val="p"/>
          </m:rPr>
          <w:rPr>
            <w:rFonts w:ascii="Cambria Math" w:hAnsi="Cambria Math"/>
            <w:color w:val="000000" w:themeColor="text1"/>
            <w:lang w:val="en-US"/>
          </w:rPr>
          <m:t>α</m:t>
        </m:r>
        <m:r>
          <w:rPr>
            <w:rFonts w:ascii="Cambria Math" w:hAnsi="Cambria Math"/>
            <w:color w:val="000000" w:themeColor="text1"/>
            <w:lang w:val="en-US"/>
          </w:rPr>
          <m:t xml:space="preserve"> = 0.01</m:t>
        </m:r>
        <m:r>
          <m:rPr>
            <m:sty m:val="p"/>
          </m:rPr>
          <w:rPr>
            <w:rFonts w:ascii="Cambria Math" w:hAnsi="Cambria Math"/>
            <w:color w:val="000000" w:themeColor="text1"/>
            <w:lang w:val="en-US"/>
          </w:rPr>
          <m:t>, a discount factor of</m:t>
        </m:r>
        <m:r>
          <w:rPr>
            <w:rFonts w:ascii="Cambria Math" w:hAnsi="Cambria Math"/>
            <w:color w:val="000000" w:themeColor="text1"/>
            <w:lang w:val="en-US"/>
          </w:rPr>
          <m:t xml:space="preserve"> γ = 0.95</m:t>
        </m:r>
      </m:oMath>
      <w:r w:rsidRPr="005F3287">
        <w:rPr>
          <w:color w:val="000000" w:themeColor="text1"/>
          <w:lang w:val="en-US"/>
        </w:rPr>
        <w:t xml:space="preserve">, and an </w:t>
      </w:r>
      <m:oMath>
        <m:r>
          <m:rPr>
            <m:sty m:val="p"/>
          </m:rPr>
          <w:rPr>
            <w:rFonts w:ascii="Cambria Math" w:hAnsi="Cambria Math"/>
            <w:color w:val="000000" w:themeColor="text1"/>
            <w:lang w:val="en-US"/>
          </w:rPr>
          <m:t>ϵ</m:t>
        </m:r>
      </m:oMath>
      <w:r w:rsidRPr="005F3287">
        <w:rPr>
          <w:color w:val="000000" w:themeColor="text1"/>
          <w:lang w:val="en-US"/>
        </w:rPr>
        <w:t xml:space="preserve">-greedy exploration schedule in which </w:t>
      </w:r>
      <m:oMath>
        <m:r>
          <m:rPr>
            <m:sty m:val="p"/>
          </m:rPr>
          <w:rPr>
            <w:rFonts w:ascii="Cambria Math" w:hAnsi="Cambria Math"/>
            <w:color w:val="000000" w:themeColor="text1"/>
            <w:lang w:val="en-US"/>
          </w:rPr>
          <m:t>ϵ</m:t>
        </m:r>
      </m:oMath>
      <w:r w:rsidRPr="005F3287">
        <w:rPr>
          <w:color w:val="000000" w:themeColor="text1"/>
          <w:lang w:val="en-US"/>
        </w:rPr>
        <w:t xml:space="preserve"> declines from 0.20 to 0.02 over the course of training. Experience replay stores up to 10,000 transitions, </w:t>
      </w:r>
      <w:proofErr w:type="gramStart"/>
      <w:r w:rsidRPr="005F3287">
        <w:rPr>
          <w:color w:val="000000" w:themeColor="text1"/>
          <w:lang w:val="en-US"/>
        </w:rPr>
        <w:t>mini-batches</w:t>
      </w:r>
      <w:proofErr w:type="gramEnd"/>
      <w:r w:rsidRPr="005F3287">
        <w:rPr>
          <w:color w:val="000000" w:themeColor="text1"/>
          <w:lang w:val="en-US"/>
        </w:rPr>
        <w:t xml:space="preserve"> contain 32 observations, and the target network is updated every 50 steps. Convergence is monitored using the criterion defined in Section 3.3.</w:t>
      </w:r>
    </w:p>
    <w:p w14:paraId="03D385D9" w14:textId="07ECDBBB" w:rsidR="0047501B" w:rsidRPr="005F3287" w:rsidRDefault="00FA2752" w:rsidP="00FB53C7">
      <w:pPr>
        <w:pStyle w:val="text-base"/>
        <w:spacing w:before="0" w:after="0" w:afterAutospacing="0"/>
        <w:jc w:val="both"/>
        <w:rPr>
          <w:color w:val="000000" w:themeColor="text1"/>
          <w:lang w:val="en-US"/>
        </w:rPr>
      </w:pPr>
      <w:r w:rsidRPr="005F3287">
        <w:rPr>
          <w:color w:val="000000" w:themeColor="text1"/>
          <w:lang w:val="en-US"/>
        </w:rPr>
        <w:t>During evaluation, the learned policy remains fixed. Q-values are no longer updated, and exploration is turned off (</w:t>
      </w:r>
      <m:oMath>
        <m:r>
          <m:rPr>
            <m:sty m:val="p"/>
          </m:rPr>
          <w:rPr>
            <w:rFonts w:ascii="Cambria Math" w:hAnsi="Cambria Math"/>
            <w:color w:val="000000" w:themeColor="text1"/>
            <w:lang w:val="en-US"/>
          </w:rPr>
          <m:t>ϵ</m:t>
        </m:r>
      </m:oMath>
      <w:r w:rsidRPr="005F3287">
        <w:rPr>
          <w:color w:val="000000" w:themeColor="text1"/>
          <w:lang w:val="en-US"/>
        </w:rPr>
        <w:t xml:space="preserve"> = 0). The 90-day and 180-day performance metrics, therefore, reflect a frozen policy applied to new stochastic realizations, rather than continued online learning.</w:t>
      </w:r>
    </w:p>
    <w:p w14:paraId="64C278F9" w14:textId="08F7788A" w:rsidR="00FB53C7" w:rsidRPr="005F3287" w:rsidRDefault="00FA2752" w:rsidP="00FB53C7">
      <w:pPr>
        <w:pStyle w:val="text-base"/>
        <w:spacing w:before="0" w:after="0" w:afterAutospacing="0"/>
        <w:jc w:val="both"/>
        <w:rPr>
          <w:color w:val="000000" w:themeColor="text1"/>
          <w:lang w:val="en-US"/>
        </w:rPr>
      </w:pPr>
      <w:r w:rsidRPr="005F3287">
        <w:rPr>
          <w:color w:val="000000" w:themeColor="text1"/>
          <w:lang w:val="en-US"/>
        </w:rPr>
        <w:t xml:space="preserve">The state vector </w:t>
      </w:r>
      <m:oMath>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S</m:t>
                </m:r>
              </m:e>
              <m:sub>
                <m:r>
                  <w:rPr>
                    <w:rFonts w:ascii="Cambria Math" w:hAnsi="Cambria Math"/>
                    <w:color w:val="000000" w:themeColor="text1"/>
                    <w:lang w:val="en-US"/>
                  </w:rPr>
                  <m:t>t</m:t>
                </m:r>
              </m:sub>
            </m:sSub>
          </m:e>
        </m:d>
      </m:oMath>
      <w:r w:rsidRPr="005F3287">
        <w:rPr>
          <w:color w:val="000000" w:themeColor="text1"/>
          <w:lang w:val="en-US"/>
        </w:rPr>
        <w:t xml:space="preserve"> contains four components: on-hand inventory </w:t>
      </w:r>
      <m:oMath>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I</m:t>
                </m:r>
              </m:e>
              <m:sub>
                <m:r>
                  <w:rPr>
                    <w:rFonts w:ascii="Cambria Math" w:hAnsi="Cambria Math"/>
                    <w:color w:val="000000" w:themeColor="text1"/>
                    <w:lang w:val="en-US"/>
                  </w:rPr>
                  <m:t>t</m:t>
                </m:r>
              </m:sub>
            </m:sSub>
          </m:e>
        </m:d>
      </m:oMath>
      <w:r w:rsidRPr="005F3287">
        <w:rPr>
          <w:color w:val="000000" w:themeColor="text1"/>
          <w:lang w:val="en-US"/>
        </w:rPr>
        <w:t xml:space="preserve">, forecast mean demand </w:t>
      </w:r>
      <m:oMath>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μ</m:t>
                </m:r>
              </m:e>
              <m:sub>
                <m:r>
                  <w:rPr>
                    <w:rFonts w:ascii="Cambria Math" w:hAnsi="Cambria Math"/>
                    <w:color w:val="000000" w:themeColor="text1"/>
                    <w:lang w:val="en-US"/>
                  </w:rPr>
                  <m:t>t</m:t>
                </m:r>
              </m:sub>
            </m:sSub>
          </m:e>
        </m:d>
      </m:oMath>
      <w:r w:rsidRPr="005F3287">
        <w:rPr>
          <w:color w:val="000000" w:themeColor="text1"/>
          <w:lang w:val="en-US"/>
        </w:rPr>
        <w:t xml:space="preserve">, pipeline inventory </w:t>
      </w:r>
      <m:oMath>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P</m:t>
                </m:r>
              </m:e>
              <m:sub>
                <m:r>
                  <w:rPr>
                    <w:rFonts w:ascii="Cambria Math" w:hAnsi="Cambria Math"/>
                    <w:color w:val="000000" w:themeColor="text1"/>
                    <w:lang w:val="en-US"/>
                  </w:rPr>
                  <m:t>t</m:t>
                </m:r>
              </m:sub>
            </m:sSub>
          </m:e>
        </m:d>
      </m:oMath>
      <w:r w:rsidRPr="005F3287">
        <w:rPr>
          <w:color w:val="000000" w:themeColor="text1"/>
          <w:lang w:val="en-US"/>
        </w:rPr>
        <w:t xml:space="preserve">, and expected lead time </w:t>
      </w:r>
      <m:oMath>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L</m:t>
                </m:r>
              </m:e>
              <m:sub>
                <m:r>
                  <w:rPr>
                    <w:rFonts w:ascii="Cambria Math" w:hAnsi="Cambria Math"/>
                    <w:color w:val="000000" w:themeColor="text1"/>
                    <w:lang w:val="en-US"/>
                  </w:rPr>
                  <m:t>t</m:t>
                </m:r>
              </m:sub>
            </m:sSub>
          </m:e>
        </m:d>
      </m:oMath>
      <w:r w:rsidRPr="005F3287">
        <w:rPr>
          <w:color w:val="000000" w:themeColor="text1"/>
          <w:lang w:val="en-US"/>
        </w:rPr>
        <w:t xml:space="preserve">. At each decision point, the agent chooses from a bounded discrete action set that modifies an internal order-up-to target. The simulator then converts that adjustment into an order quantity, </w:t>
      </w:r>
      <m:oMath>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q</m:t>
                </m:r>
              </m:e>
              <m:sub>
                <m:r>
                  <w:rPr>
                    <w:rFonts w:ascii="Cambria Math" w:hAnsi="Cambria Math"/>
                    <w:color w:val="000000" w:themeColor="text1"/>
                    <w:lang w:val="en-US"/>
                  </w:rPr>
                  <m:t>t</m:t>
                </m:r>
              </m:sub>
            </m:sSub>
          </m:e>
        </m:d>
      </m:oMath>
      <w:r w:rsidRPr="005F3287">
        <w:rPr>
          <w:color w:val="000000" w:themeColor="text1"/>
          <w:lang w:val="en-US"/>
        </w:rPr>
        <w:t>, subject to non-negativity and inventory-balance constraints.</w:t>
      </w:r>
    </w:p>
    <w:p w14:paraId="13A7C991" w14:textId="6FBCF954" w:rsidR="006F7FCD" w:rsidRPr="002A771E" w:rsidRDefault="00FA2752" w:rsidP="00FB53C7">
      <w:pPr>
        <w:pStyle w:val="text-base"/>
        <w:spacing w:before="0" w:after="0" w:afterAutospacing="0"/>
        <w:jc w:val="both"/>
        <w:rPr>
          <w:color w:val="FFC000"/>
          <w:lang w:val="en-US"/>
        </w:rPr>
      </w:pPr>
      <w:r w:rsidRPr="005F3287">
        <w:rPr>
          <w:color w:val="000000" w:themeColor="text1"/>
          <w:lang w:val="en-US"/>
        </w:rPr>
        <w:t xml:space="preserve">To support reproducibility across Monte Carlo replications, we fix the random number generator seeds at NumPy (= 42), TensorFlow (= 42), and training (= 2024). This configuration is intended to keep the learned policy stable across replications and to make training behavior traceable in the audit artifacts. </w:t>
      </w:r>
      <w:r w:rsidRPr="00FA2752">
        <w:rPr>
          <w:color w:val="FFC000"/>
          <w:lang w:val="en-US"/>
        </w:rPr>
        <w:t>Figure E1 reports episode-to-episode variation within the training run used to generate the evaluated policy; it does not summarize variation across multiple random initializations.</w:t>
      </w:r>
    </w:p>
    <w:p w14:paraId="26EC82BD" w14:textId="02E494B7" w:rsidR="006F7FCD" w:rsidRPr="002A771E" w:rsidRDefault="002A771E" w:rsidP="006F7FCD">
      <w:pPr>
        <w:pStyle w:val="text-base"/>
        <w:spacing w:before="0" w:after="0"/>
        <w:jc w:val="both"/>
        <w:rPr>
          <w:color w:val="FFC000"/>
          <w:lang w:val="en-US"/>
        </w:rPr>
      </w:pPr>
      <w:r w:rsidRPr="002A771E">
        <w:rPr>
          <w:color w:val="FFC000"/>
          <w:lang w:val="en-US"/>
        </w:rPr>
        <w:t>The measured convergence time</w:t>
      </w:r>
      <w:r w:rsidR="00FA2752">
        <w:rPr>
          <w:color w:val="FFC000"/>
          <w:lang w:val="en-US"/>
        </w:rPr>
        <w:t xml:space="preserve"> of 400 ±50 episodes is consistent with published Double Q-learning benchmarks in supply chain applications </w:t>
      </w:r>
      <w:r w:rsidR="009B20C1" w:rsidRPr="002A771E">
        <w:rPr>
          <w:color w:val="FFC000"/>
          <w:lang w:val="en-US"/>
        </w:rPr>
        <w:fldChar w:fldCharType="begin"/>
      </w:r>
      <w:r w:rsidR="009B20C1" w:rsidRPr="002A771E">
        <w:rPr>
          <w:color w:val="FFC000"/>
          <w:lang w:val="en-US"/>
        </w:rPr>
        <w:instrText xml:space="preserve"> ADDIN ZOTERO_ITEM CSL_CITATION {"citationID":"QhZeXBei","properties":{"formattedCitation":"(Stranieri et al., 2024)","plainCitation":"(Stranieri et al., 2024)","noteIndex":0},"citationItems":[{"id":3483,"uris":["http://zotero.org/users/12903205/items/EGMTTSVU"],"itemData":{"id":3483,"type":"article-journal","container-title":"International Journal of Production Economics","DOI":"10.1016/j.ijpe.2023.109099","ISSN":"09255273","journalAbbreviation":"International Journal of Production Economics","language":"en","page":"109099","source":"DOI.org (Crossref)","title":"Combining deep reinforcement learning and multi-stage stochastic programming to address the supply chain inventory management problem","volume":"268","author":[{"family":"Stranieri","given":"Francesco"},{"family":"Fadda","given":"Edoardo"},{"family":"Stella","given":"Fabio"}],"issued":{"date-parts":[["2024",2]]}}}],"schema":"https://github.com/citation-style-language/schema/raw/master/csl-citation.json"} </w:instrText>
      </w:r>
      <w:r w:rsidR="009B20C1" w:rsidRPr="002A771E">
        <w:rPr>
          <w:color w:val="FFC000"/>
          <w:lang w:val="en-US"/>
        </w:rPr>
        <w:fldChar w:fldCharType="separate"/>
      </w:r>
      <w:r w:rsidR="009B20C1" w:rsidRPr="002A771E">
        <w:rPr>
          <w:color w:val="FFC000"/>
          <w:lang w:val="en-US"/>
        </w:rPr>
        <w:t>(Stranieri et al., 2024)</w:t>
      </w:r>
      <w:r w:rsidR="009B20C1" w:rsidRPr="002A771E">
        <w:rPr>
          <w:color w:val="FFC000"/>
          <w:lang w:val="en-US"/>
        </w:rPr>
        <w:fldChar w:fldCharType="end"/>
      </w:r>
      <w:r w:rsidR="006F7FCD" w:rsidRPr="002A771E">
        <w:rPr>
          <w:color w:val="FFC000"/>
          <w:lang w:val="en-US"/>
        </w:rPr>
        <w:t>.</w:t>
      </w:r>
    </w:p>
    <w:p w14:paraId="5A6055F0" w14:textId="77777777" w:rsidR="006F7FCD" w:rsidRDefault="006F7FCD" w:rsidP="006F7FCD">
      <w:pPr>
        <w:pStyle w:val="text-base"/>
        <w:spacing w:before="0" w:after="0"/>
        <w:jc w:val="both"/>
        <w:rPr>
          <w:color w:val="000000" w:themeColor="text1"/>
          <w:lang w:val="en-US"/>
        </w:rPr>
      </w:pPr>
      <w:r w:rsidRPr="00653ACC">
        <w:rPr>
          <w:lang w:val="en-US"/>
        </w:rPr>
        <w:t>Training diagnostics indicate that episode costs decrease early in training and then stabilize under the monitored convergence criterion (Figure E1).</w:t>
      </w:r>
    </w:p>
    <w:p w14:paraId="3CCDCAC1" w14:textId="77777777" w:rsidR="0047501B" w:rsidRDefault="00000000">
      <w:pPr>
        <w:pStyle w:val="Ttulo3"/>
        <w:spacing w:before="0" w:after="0"/>
      </w:pPr>
      <w:r>
        <w:rPr>
          <w:rFonts w:eastAsia="Times New Roman"/>
          <w:sz w:val="20"/>
        </w:rPr>
        <w:t>C.4 Deployment threshold diagnostics (volatility and volume)</w:t>
      </w:r>
    </w:p>
    <w:p w14:paraId="3DE81D8A" w14:textId="77777777" w:rsidR="0047501B" w:rsidRPr="00A25014" w:rsidRDefault="00000000" w:rsidP="00FB53C7">
      <w:pPr>
        <w:pStyle w:val="text-base"/>
        <w:spacing w:before="0" w:after="0"/>
        <w:jc w:val="both"/>
        <w:rPr>
          <w:lang w:val="en-US"/>
        </w:rPr>
      </w:pPr>
      <w:r w:rsidRPr="00F34B55">
        <w:rPr>
          <w:lang w:val="en-US"/>
        </w:rPr>
        <w:t xml:space="preserve">We compute volatility as the coefficient of variation (CV) of daily demand at the SKU-facility level. This diagnostic operates on a panel of 50 disaggregated SKU-facility series selected for the deployment-threshold check; aggregation into the SKU-equivalent simulator inputs (Section 3.5) yields lower CV values. We compute facility scale as daily line volume, defined as the number of SKU lines with positive demand per facility-day. We estimate distributional summaries with nonparametric bootstrap 95% confidence intervals across series for CV (n = 50) and across facility-days for volume (n = 1,095). The median CV equals 1.855 (95% CI [1.776, 1.937]) and the 75th percentile equals 2.009 (95% CI [1.927, 2.168]). All series satisfy CV &gt;= 0.40 in this diagnostic panel. Daily line volume has a median of 4.0 (95% CI [4.0, 4.0]) and a 90th percentile of 22.0 (95% CI [21.0, 22.0]). No </w:t>
      </w:r>
      <w:proofErr w:type="gramStart"/>
      <w:r w:rsidRPr="00F34B55">
        <w:rPr>
          <w:lang w:val="en-US"/>
        </w:rPr>
        <w:t>facility-day</w:t>
      </w:r>
      <w:proofErr w:type="gramEnd"/>
      <w:r w:rsidRPr="00F34B55">
        <w:rPr>
          <w:lang w:val="en-US"/>
        </w:rPr>
        <w:t xml:space="preserve"> in this dataset reaches 500 lines/day. This result indicates that the volume gate requires calibration to the operational aggregation used in deployment decisions (facility-level order lines, network-level order lines, or procurement batches).</w:t>
      </w:r>
    </w:p>
    <w:p w14:paraId="0CC1FF4B" w14:textId="77777777" w:rsidR="00FB53C7" w:rsidRPr="0038108D" w:rsidRDefault="00FB53C7" w:rsidP="0038108D">
      <w:pPr>
        <w:pStyle w:val="ng-star-inserted"/>
        <w:spacing w:before="0" w:after="0" w:afterAutospacing="0"/>
        <w:ind w:left="216" w:right="14"/>
        <w:rPr>
          <w:rStyle w:val="ng-star-inserted1"/>
          <w:rFonts w:eastAsiaTheme="majorEastAsia"/>
          <w:b/>
          <w:bCs/>
          <w:color w:val="000000" w:themeColor="text1"/>
          <w:sz w:val="22"/>
          <w:szCs w:val="22"/>
          <w:lang w:val="en-US"/>
        </w:rPr>
      </w:pPr>
      <w:r w:rsidRPr="0038108D">
        <w:rPr>
          <w:rStyle w:val="ng-star-inserted1"/>
          <w:rFonts w:eastAsiaTheme="majorEastAsia"/>
          <w:b/>
          <w:bCs/>
          <w:color w:val="000000" w:themeColor="text1"/>
          <w:sz w:val="22"/>
          <w:szCs w:val="22"/>
          <w:lang w:val="en-US"/>
        </w:rPr>
        <w:t>Table C4.1 - Diagnostic summaries for deployment gates.</w:t>
      </w:r>
    </w:p>
    <w:tbl>
      <w:tblPr>
        <w:tblStyle w:val="Tabelacomgrade"/>
        <w:tblW w:w="0" w:type="auto"/>
        <w:jc w:val="center"/>
        <w:tblLook w:val="04A0" w:firstRow="1" w:lastRow="0" w:firstColumn="1" w:lastColumn="0" w:noHBand="0" w:noVBand="1"/>
      </w:tblPr>
      <w:tblGrid>
        <w:gridCol w:w="2830"/>
        <w:gridCol w:w="1068"/>
        <w:gridCol w:w="1342"/>
        <w:gridCol w:w="709"/>
        <w:gridCol w:w="1276"/>
      </w:tblGrid>
      <w:tr w:rsidR="00FB53C7" w14:paraId="5ECCDC42" w14:textId="77777777" w:rsidTr="00115971">
        <w:trPr>
          <w:jc w:val="center"/>
        </w:trPr>
        <w:tc>
          <w:tcPr>
            <w:tcW w:w="2830" w:type="dxa"/>
          </w:tcPr>
          <w:p w14:paraId="096B90A7" w14:textId="77777777" w:rsidR="00FB53C7" w:rsidRPr="00033B67" w:rsidRDefault="00FB53C7" w:rsidP="00115971">
            <w:pPr>
              <w:rPr>
                <w:rFonts w:cs="Times New Roman"/>
                <w:b/>
                <w:bCs/>
                <w:sz w:val="18"/>
                <w:szCs w:val="18"/>
              </w:rPr>
            </w:pPr>
            <w:r w:rsidRPr="00033B67">
              <w:rPr>
                <w:rFonts w:cs="Times New Roman"/>
                <w:b/>
                <w:bCs/>
                <w:sz w:val="18"/>
                <w:szCs w:val="18"/>
              </w:rPr>
              <w:t>Metric</w:t>
            </w:r>
          </w:p>
        </w:tc>
        <w:tc>
          <w:tcPr>
            <w:tcW w:w="1068" w:type="dxa"/>
          </w:tcPr>
          <w:p w14:paraId="7E99172E" w14:textId="77777777" w:rsidR="00FB53C7" w:rsidRPr="00033B67" w:rsidRDefault="00FB53C7" w:rsidP="00115971">
            <w:pPr>
              <w:jc w:val="center"/>
              <w:rPr>
                <w:rFonts w:cs="Times New Roman"/>
                <w:b/>
                <w:bCs/>
                <w:sz w:val="18"/>
                <w:szCs w:val="18"/>
              </w:rPr>
            </w:pPr>
            <w:r w:rsidRPr="00033B67">
              <w:rPr>
                <w:rFonts w:cs="Times New Roman"/>
                <w:b/>
                <w:bCs/>
                <w:sz w:val="18"/>
                <w:szCs w:val="18"/>
              </w:rPr>
              <w:t>Estimate</w:t>
            </w:r>
          </w:p>
        </w:tc>
        <w:tc>
          <w:tcPr>
            <w:tcW w:w="1342" w:type="dxa"/>
          </w:tcPr>
          <w:p w14:paraId="521B289C" w14:textId="77777777" w:rsidR="00FB53C7" w:rsidRPr="00033B67" w:rsidRDefault="00FB53C7" w:rsidP="00115971">
            <w:pPr>
              <w:jc w:val="center"/>
              <w:rPr>
                <w:rFonts w:cs="Times New Roman"/>
                <w:b/>
                <w:bCs/>
                <w:sz w:val="18"/>
                <w:szCs w:val="18"/>
              </w:rPr>
            </w:pPr>
            <w:r w:rsidRPr="00033B67">
              <w:rPr>
                <w:rFonts w:cs="Times New Roman"/>
                <w:b/>
                <w:bCs/>
                <w:sz w:val="18"/>
                <w:szCs w:val="18"/>
              </w:rPr>
              <w:t>95% CI</w:t>
            </w:r>
          </w:p>
        </w:tc>
        <w:tc>
          <w:tcPr>
            <w:tcW w:w="709" w:type="dxa"/>
          </w:tcPr>
          <w:p w14:paraId="76F1CDE6" w14:textId="77777777" w:rsidR="00FB53C7" w:rsidRPr="00033B67" w:rsidRDefault="00FB53C7" w:rsidP="00115971">
            <w:pPr>
              <w:jc w:val="center"/>
              <w:rPr>
                <w:rFonts w:cs="Times New Roman"/>
                <w:b/>
                <w:bCs/>
                <w:sz w:val="18"/>
                <w:szCs w:val="18"/>
              </w:rPr>
            </w:pPr>
            <w:r w:rsidRPr="00033B67">
              <w:rPr>
                <w:rFonts w:cs="Times New Roman"/>
                <w:b/>
                <w:bCs/>
                <w:sz w:val="18"/>
                <w:szCs w:val="18"/>
              </w:rPr>
              <w:t>n</w:t>
            </w:r>
          </w:p>
        </w:tc>
        <w:tc>
          <w:tcPr>
            <w:tcW w:w="1276" w:type="dxa"/>
          </w:tcPr>
          <w:p w14:paraId="3574D99B" w14:textId="77777777" w:rsidR="00FB53C7" w:rsidRPr="00033B67" w:rsidRDefault="00FB53C7" w:rsidP="00115971">
            <w:pPr>
              <w:jc w:val="center"/>
              <w:rPr>
                <w:rFonts w:cs="Times New Roman"/>
                <w:b/>
                <w:bCs/>
                <w:sz w:val="18"/>
                <w:szCs w:val="18"/>
              </w:rPr>
            </w:pPr>
            <w:r w:rsidRPr="00033B67">
              <w:rPr>
                <w:rFonts w:cs="Times New Roman"/>
                <w:b/>
                <w:bCs/>
                <w:sz w:val="18"/>
                <w:szCs w:val="18"/>
              </w:rPr>
              <w:t>Cutoff</w:t>
            </w:r>
            <w:r w:rsidR="00136957">
              <w:rPr>
                <w:rFonts w:cs="Times New Roman"/>
                <w:b/>
                <w:bCs/>
                <w:sz w:val="18"/>
                <w:szCs w:val="18"/>
              </w:rPr>
              <w:t>/</w:t>
            </w:r>
            <w:r w:rsidRPr="00033B67">
              <w:rPr>
                <w:rFonts w:cs="Times New Roman"/>
                <w:b/>
                <w:bCs/>
                <w:sz w:val="18"/>
                <w:szCs w:val="18"/>
              </w:rPr>
              <w:t>note</w:t>
            </w:r>
          </w:p>
        </w:tc>
      </w:tr>
      <w:tr w:rsidR="00FB53C7" w14:paraId="255DEE0F" w14:textId="77777777" w:rsidTr="00115971">
        <w:trPr>
          <w:jc w:val="center"/>
        </w:trPr>
        <w:tc>
          <w:tcPr>
            <w:tcW w:w="2830" w:type="dxa"/>
          </w:tcPr>
          <w:p w14:paraId="742ABEB8" w14:textId="77777777" w:rsidR="00FB53C7" w:rsidRPr="00033B67" w:rsidRDefault="00FB53C7" w:rsidP="00115971">
            <w:pPr>
              <w:rPr>
                <w:rFonts w:cs="Times New Roman"/>
                <w:sz w:val="18"/>
                <w:szCs w:val="18"/>
              </w:rPr>
            </w:pPr>
            <w:r w:rsidRPr="00033B67">
              <w:rPr>
                <w:rFonts w:cs="Times New Roman"/>
                <w:sz w:val="18"/>
                <w:szCs w:val="18"/>
              </w:rPr>
              <w:t>CV median</w:t>
            </w:r>
          </w:p>
        </w:tc>
        <w:tc>
          <w:tcPr>
            <w:tcW w:w="1068" w:type="dxa"/>
          </w:tcPr>
          <w:p w14:paraId="26E38484" w14:textId="77777777" w:rsidR="00FB53C7" w:rsidRPr="00033B67" w:rsidRDefault="00FB53C7" w:rsidP="00115971">
            <w:pPr>
              <w:jc w:val="center"/>
              <w:rPr>
                <w:rFonts w:cs="Times New Roman"/>
                <w:sz w:val="18"/>
                <w:szCs w:val="18"/>
              </w:rPr>
            </w:pPr>
            <w:r w:rsidRPr="00033B67">
              <w:rPr>
                <w:rFonts w:cs="Times New Roman"/>
                <w:sz w:val="18"/>
                <w:szCs w:val="18"/>
              </w:rPr>
              <w:t>1.855</w:t>
            </w:r>
          </w:p>
        </w:tc>
        <w:tc>
          <w:tcPr>
            <w:tcW w:w="1342" w:type="dxa"/>
          </w:tcPr>
          <w:p w14:paraId="015F968C" w14:textId="77777777" w:rsidR="00FB53C7" w:rsidRPr="00033B67" w:rsidRDefault="00FB53C7" w:rsidP="00115971">
            <w:pPr>
              <w:jc w:val="center"/>
              <w:rPr>
                <w:rFonts w:cs="Times New Roman"/>
                <w:sz w:val="18"/>
                <w:szCs w:val="18"/>
              </w:rPr>
            </w:pPr>
            <w:r w:rsidRPr="00033B67">
              <w:rPr>
                <w:rFonts w:cs="Times New Roman"/>
                <w:sz w:val="18"/>
                <w:szCs w:val="18"/>
              </w:rPr>
              <w:t>[1.776, 1.937]</w:t>
            </w:r>
          </w:p>
        </w:tc>
        <w:tc>
          <w:tcPr>
            <w:tcW w:w="709" w:type="dxa"/>
          </w:tcPr>
          <w:p w14:paraId="4B1F1D20" w14:textId="77777777" w:rsidR="00FB53C7" w:rsidRPr="00033B67" w:rsidRDefault="00FB53C7" w:rsidP="00115971">
            <w:pPr>
              <w:jc w:val="center"/>
              <w:rPr>
                <w:rFonts w:cs="Times New Roman"/>
                <w:sz w:val="18"/>
                <w:szCs w:val="18"/>
              </w:rPr>
            </w:pPr>
            <w:r w:rsidRPr="00033B67">
              <w:rPr>
                <w:rFonts w:cs="Times New Roman"/>
                <w:sz w:val="18"/>
                <w:szCs w:val="18"/>
              </w:rPr>
              <w:t>50</w:t>
            </w:r>
          </w:p>
        </w:tc>
        <w:tc>
          <w:tcPr>
            <w:tcW w:w="1276" w:type="dxa"/>
          </w:tcPr>
          <w:p w14:paraId="03AD2B2C" w14:textId="77777777" w:rsidR="00FB53C7" w:rsidRPr="00033B67" w:rsidRDefault="00FB53C7" w:rsidP="00115971">
            <w:pPr>
              <w:jc w:val="center"/>
              <w:rPr>
                <w:rFonts w:cs="Times New Roman"/>
                <w:sz w:val="18"/>
                <w:szCs w:val="18"/>
              </w:rPr>
            </w:pPr>
          </w:p>
        </w:tc>
      </w:tr>
      <w:tr w:rsidR="00FB53C7" w14:paraId="0BB0D530" w14:textId="77777777" w:rsidTr="00115971">
        <w:trPr>
          <w:jc w:val="center"/>
        </w:trPr>
        <w:tc>
          <w:tcPr>
            <w:tcW w:w="2830" w:type="dxa"/>
          </w:tcPr>
          <w:p w14:paraId="1F827C55" w14:textId="77777777" w:rsidR="00FB53C7" w:rsidRPr="00033B67" w:rsidRDefault="00FB53C7" w:rsidP="00115971">
            <w:pPr>
              <w:rPr>
                <w:rFonts w:cs="Times New Roman"/>
                <w:sz w:val="18"/>
                <w:szCs w:val="18"/>
              </w:rPr>
            </w:pPr>
            <w:r w:rsidRPr="00033B67">
              <w:rPr>
                <w:rFonts w:cs="Times New Roman"/>
                <w:sz w:val="18"/>
                <w:szCs w:val="18"/>
              </w:rPr>
              <w:lastRenderedPageBreak/>
              <w:t>CV 75th percentile</w:t>
            </w:r>
          </w:p>
        </w:tc>
        <w:tc>
          <w:tcPr>
            <w:tcW w:w="1068" w:type="dxa"/>
          </w:tcPr>
          <w:p w14:paraId="6BE89C46" w14:textId="77777777" w:rsidR="00FB53C7" w:rsidRPr="00033B67" w:rsidRDefault="00FB53C7" w:rsidP="00115971">
            <w:pPr>
              <w:jc w:val="center"/>
              <w:rPr>
                <w:rFonts w:cs="Times New Roman"/>
                <w:sz w:val="18"/>
                <w:szCs w:val="18"/>
              </w:rPr>
            </w:pPr>
            <w:r w:rsidRPr="00033B67">
              <w:rPr>
                <w:rFonts w:cs="Times New Roman"/>
                <w:sz w:val="18"/>
                <w:szCs w:val="18"/>
              </w:rPr>
              <w:t>2.009</w:t>
            </w:r>
          </w:p>
        </w:tc>
        <w:tc>
          <w:tcPr>
            <w:tcW w:w="1342" w:type="dxa"/>
          </w:tcPr>
          <w:p w14:paraId="55C009A3" w14:textId="77777777" w:rsidR="00FB53C7" w:rsidRPr="00033B67" w:rsidRDefault="00FB53C7" w:rsidP="00115971">
            <w:pPr>
              <w:jc w:val="center"/>
              <w:rPr>
                <w:rFonts w:cs="Times New Roman"/>
                <w:sz w:val="18"/>
                <w:szCs w:val="18"/>
              </w:rPr>
            </w:pPr>
            <w:r w:rsidRPr="00033B67">
              <w:rPr>
                <w:rFonts w:cs="Times New Roman"/>
                <w:sz w:val="18"/>
                <w:szCs w:val="18"/>
              </w:rPr>
              <w:t>[1.927, 2.168]</w:t>
            </w:r>
          </w:p>
        </w:tc>
        <w:tc>
          <w:tcPr>
            <w:tcW w:w="709" w:type="dxa"/>
          </w:tcPr>
          <w:p w14:paraId="433E94BF" w14:textId="77777777" w:rsidR="00FB53C7" w:rsidRPr="00033B67" w:rsidRDefault="00FB53C7" w:rsidP="00115971">
            <w:pPr>
              <w:jc w:val="center"/>
              <w:rPr>
                <w:rFonts w:cs="Times New Roman"/>
                <w:sz w:val="18"/>
                <w:szCs w:val="18"/>
              </w:rPr>
            </w:pPr>
            <w:r w:rsidRPr="00033B67">
              <w:rPr>
                <w:rFonts w:cs="Times New Roman"/>
                <w:sz w:val="18"/>
                <w:szCs w:val="18"/>
              </w:rPr>
              <w:t>50</w:t>
            </w:r>
          </w:p>
        </w:tc>
        <w:tc>
          <w:tcPr>
            <w:tcW w:w="1276" w:type="dxa"/>
          </w:tcPr>
          <w:p w14:paraId="52DD37C1" w14:textId="77777777" w:rsidR="00FB53C7" w:rsidRPr="00033B67" w:rsidRDefault="00FB53C7" w:rsidP="00115971">
            <w:pPr>
              <w:jc w:val="center"/>
              <w:rPr>
                <w:rFonts w:cs="Times New Roman"/>
                <w:sz w:val="18"/>
                <w:szCs w:val="18"/>
              </w:rPr>
            </w:pPr>
          </w:p>
        </w:tc>
      </w:tr>
      <w:tr w:rsidR="00FB53C7" w14:paraId="6B82C9C6" w14:textId="77777777" w:rsidTr="00115971">
        <w:trPr>
          <w:jc w:val="center"/>
        </w:trPr>
        <w:tc>
          <w:tcPr>
            <w:tcW w:w="2830" w:type="dxa"/>
          </w:tcPr>
          <w:p w14:paraId="19EF3F66" w14:textId="77777777" w:rsidR="00FB53C7" w:rsidRPr="00033B67" w:rsidRDefault="00FB53C7" w:rsidP="00115971">
            <w:pPr>
              <w:rPr>
                <w:rFonts w:cs="Times New Roman"/>
                <w:sz w:val="18"/>
                <w:szCs w:val="18"/>
              </w:rPr>
            </w:pPr>
            <w:proofErr w:type="gramStart"/>
            <w:r w:rsidRPr="00033B67">
              <w:rPr>
                <w:rFonts w:cs="Times New Roman"/>
                <w:sz w:val="18"/>
                <w:szCs w:val="18"/>
              </w:rPr>
              <w:t>Share(</w:t>
            </w:r>
            <w:proofErr w:type="gramEnd"/>
            <w:r w:rsidRPr="00033B67">
              <w:rPr>
                <w:rFonts w:cs="Times New Roman"/>
                <w:sz w:val="18"/>
                <w:szCs w:val="18"/>
              </w:rPr>
              <w:t>CV &gt;= 0.40)</w:t>
            </w:r>
          </w:p>
        </w:tc>
        <w:tc>
          <w:tcPr>
            <w:tcW w:w="1068" w:type="dxa"/>
          </w:tcPr>
          <w:p w14:paraId="0A5FDEEF" w14:textId="77777777" w:rsidR="00FB53C7" w:rsidRPr="00033B67" w:rsidRDefault="00FB53C7" w:rsidP="00115971">
            <w:pPr>
              <w:jc w:val="center"/>
              <w:rPr>
                <w:rFonts w:cs="Times New Roman"/>
                <w:sz w:val="18"/>
                <w:szCs w:val="18"/>
              </w:rPr>
            </w:pPr>
            <w:r w:rsidRPr="00033B67">
              <w:rPr>
                <w:rFonts w:cs="Times New Roman"/>
                <w:sz w:val="18"/>
                <w:szCs w:val="18"/>
              </w:rPr>
              <w:t>100.0%</w:t>
            </w:r>
          </w:p>
        </w:tc>
        <w:tc>
          <w:tcPr>
            <w:tcW w:w="1342" w:type="dxa"/>
          </w:tcPr>
          <w:p w14:paraId="1AF8371E" w14:textId="77777777" w:rsidR="00FB53C7" w:rsidRPr="00033B67" w:rsidRDefault="00FB53C7" w:rsidP="00115971">
            <w:pPr>
              <w:jc w:val="center"/>
              <w:rPr>
                <w:rFonts w:cs="Times New Roman"/>
                <w:sz w:val="18"/>
                <w:szCs w:val="18"/>
              </w:rPr>
            </w:pPr>
          </w:p>
        </w:tc>
        <w:tc>
          <w:tcPr>
            <w:tcW w:w="709" w:type="dxa"/>
          </w:tcPr>
          <w:p w14:paraId="3F672788" w14:textId="77777777" w:rsidR="00FB53C7" w:rsidRPr="00033B67" w:rsidRDefault="00FB53C7" w:rsidP="00115971">
            <w:pPr>
              <w:jc w:val="center"/>
              <w:rPr>
                <w:rFonts w:cs="Times New Roman"/>
                <w:sz w:val="18"/>
                <w:szCs w:val="18"/>
              </w:rPr>
            </w:pPr>
            <w:r w:rsidRPr="00033B67">
              <w:rPr>
                <w:rFonts w:cs="Times New Roman"/>
                <w:sz w:val="18"/>
                <w:szCs w:val="18"/>
              </w:rPr>
              <w:t>50</w:t>
            </w:r>
          </w:p>
        </w:tc>
        <w:tc>
          <w:tcPr>
            <w:tcW w:w="1276" w:type="dxa"/>
          </w:tcPr>
          <w:p w14:paraId="736457A2" w14:textId="77777777" w:rsidR="00FB53C7" w:rsidRPr="00033B67" w:rsidRDefault="00FB53C7" w:rsidP="00115971">
            <w:pPr>
              <w:jc w:val="center"/>
              <w:rPr>
                <w:rFonts w:cs="Times New Roman"/>
                <w:sz w:val="18"/>
                <w:szCs w:val="18"/>
              </w:rPr>
            </w:pPr>
            <w:r w:rsidRPr="00033B67">
              <w:rPr>
                <w:rFonts w:cs="Times New Roman"/>
                <w:sz w:val="18"/>
                <w:szCs w:val="18"/>
              </w:rPr>
              <w:t>cutoff = 0.40</w:t>
            </w:r>
          </w:p>
        </w:tc>
      </w:tr>
      <w:tr w:rsidR="00FB53C7" w14:paraId="255343B7" w14:textId="77777777" w:rsidTr="00115971">
        <w:trPr>
          <w:jc w:val="center"/>
        </w:trPr>
        <w:tc>
          <w:tcPr>
            <w:tcW w:w="2830" w:type="dxa"/>
          </w:tcPr>
          <w:p w14:paraId="1383AEBD" w14:textId="77777777" w:rsidR="00FB53C7" w:rsidRPr="00033B67" w:rsidRDefault="00FB53C7" w:rsidP="00115971">
            <w:pPr>
              <w:rPr>
                <w:rFonts w:cs="Times New Roman"/>
                <w:sz w:val="18"/>
                <w:szCs w:val="18"/>
              </w:rPr>
            </w:pPr>
            <w:r w:rsidRPr="00033B67">
              <w:rPr>
                <w:rFonts w:cs="Times New Roman"/>
                <w:sz w:val="18"/>
                <w:szCs w:val="18"/>
              </w:rPr>
              <w:t>Daily line volume median</w:t>
            </w:r>
          </w:p>
        </w:tc>
        <w:tc>
          <w:tcPr>
            <w:tcW w:w="1068" w:type="dxa"/>
          </w:tcPr>
          <w:p w14:paraId="3DD33B3D" w14:textId="77777777" w:rsidR="00FB53C7" w:rsidRPr="00033B67" w:rsidRDefault="00FB53C7" w:rsidP="00115971">
            <w:pPr>
              <w:jc w:val="center"/>
              <w:rPr>
                <w:rFonts w:cs="Times New Roman"/>
                <w:sz w:val="18"/>
                <w:szCs w:val="18"/>
              </w:rPr>
            </w:pPr>
            <w:r w:rsidRPr="00033B67">
              <w:rPr>
                <w:rFonts w:cs="Times New Roman"/>
                <w:sz w:val="18"/>
                <w:szCs w:val="18"/>
              </w:rPr>
              <w:t>4.0</w:t>
            </w:r>
          </w:p>
        </w:tc>
        <w:tc>
          <w:tcPr>
            <w:tcW w:w="1342" w:type="dxa"/>
          </w:tcPr>
          <w:p w14:paraId="6B945DF0" w14:textId="77777777" w:rsidR="00FB53C7" w:rsidRPr="00033B67" w:rsidRDefault="00FB53C7" w:rsidP="00115971">
            <w:pPr>
              <w:jc w:val="center"/>
              <w:rPr>
                <w:rFonts w:cs="Times New Roman"/>
                <w:sz w:val="18"/>
                <w:szCs w:val="18"/>
              </w:rPr>
            </w:pPr>
            <w:r w:rsidRPr="00033B67">
              <w:rPr>
                <w:rFonts w:cs="Times New Roman"/>
                <w:sz w:val="18"/>
                <w:szCs w:val="18"/>
              </w:rPr>
              <w:t>[4.0, 4.0]</w:t>
            </w:r>
          </w:p>
        </w:tc>
        <w:tc>
          <w:tcPr>
            <w:tcW w:w="709" w:type="dxa"/>
          </w:tcPr>
          <w:p w14:paraId="35E4A4AB" w14:textId="77777777" w:rsidR="00FB53C7" w:rsidRPr="00033B67" w:rsidRDefault="00FB53C7" w:rsidP="00115971">
            <w:pPr>
              <w:jc w:val="center"/>
              <w:rPr>
                <w:rFonts w:cs="Times New Roman"/>
                <w:sz w:val="18"/>
                <w:szCs w:val="18"/>
              </w:rPr>
            </w:pPr>
            <w:r w:rsidRPr="00033B67">
              <w:rPr>
                <w:rFonts w:cs="Times New Roman"/>
                <w:sz w:val="18"/>
                <w:szCs w:val="18"/>
              </w:rPr>
              <w:t>1095</w:t>
            </w:r>
          </w:p>
        </w:tc>
        <w:tc>
          <w:tcPr>
            <w:tcW w:w="1276" w:type="dxa"/>
          </w:tcPr>
          <w:p w14:paraId="1F8DFDEE" w14:textId="77777777" w:rsidR="00FB53C7" w:rsidRPr="00033B67" w:rsidRDefault="00FB53C7" w:rsidP="00115971">
            <w:pPr>
              <w:jc w:val="center"/>
              <w:rPr>
                <w:rFonts w:cs="Times New Roman"/>
                <w:sz w:val="18"/>
                <w:szCs w:val="18"/>
              </w:rPr>
            </w:pPr>
          </w:p>
        </w:tc>
      </w:tr>
      <w:tr w:rsidR="00FB53C7" w14:paraId="68CBAF0A" w14:textId="77777777" w:rsidTr="00115971">
        <w:trPr>
          <w:jc w:val="center"/>
        </w:trPr>
        <w:tc>
          <w:tcPr>
            <w:tcW w:w="2830" w:type="dxa"/>
          </w:tcPr>
          <w:p w14:paraId="06599C6D" w14:textId="77777777" w:rsidR="00FB53C7" w:rsidRPr="00033B67" w:rsidRDefault="00FB53C7" w:rsidP="00115971">
            <w:pPr>
              <w:rPr>
                <w:rFonts w:cs="Times New Roman"/>
                <w:sz w:val="18"/>
                <w:szCs w:val="18"/>
              </w:rPr>
            </w:pPr>
            <w:r w:rsidRPr="00033B67">
              <w:rPr>
                <w:rFonts w:cs="Times New Roman"/>
                <w:sz w:val="18"/>
                <w:szCs w:val="18"/>
              </w:rPr>
              <w:t>Daily line volume 90th percentile</w:t>
            </w:r>
          </w:p>
        </w:tc>
        <w:tc>
          <w:tcPr>
            <w:tcW w:w="1068" w:type="dxa"/>
          </w:tcPr>
          <w:p w14:paraId="36D2A604" w14:textId="77777777" w:rsidR="00FB53C7" w:rsidRPr="00033B67" w:rsidRDefault="00FB53C7" w:rsidP="00115971">
            <w:pPr>
              <w:jc w:val="center"/>
              <w:rPr>
                <w:rFonts w:cs="Times New Roman"/>
                <w:sz w:val="18"/>
                <w:szCs w:val="18"/>
              </w:rPr>
            </w:pPr>
            <w:r w:rsidRPr="00033B67">
              <w:rPr>
                <w:rFonts w:cs="Times New Roman"/>
                <w:sz w:val="18"/>
                <w:szCs w:val="18"/>
              </w:rPr>
              <w:t>22.0</w:t>
            </w:r>
          </w:p>
        </w:tc>
        <w:tc>
          <w:tcPr>
            <w:tcW w:w="1342" w:type="dxa"/>
          </w:tcPr>
          <w:p w14:paraId="4A37A592" w14:textId="77777777" w:rsidR="00FB53C7" w:rsidRPr="00033B67" w:rsidRDefault="00FB53C7" w:rsidP="00115971">
            <w:pPr>
              <w:jc w:val="center"/>
              <w:rPr>
                <w:rFonts w:cs="Times New Roman"/>
                <w:sz w:val="18"/>
                <w:szCs w:val="18"/>
              </w:rPr>
            </w:pPr>
            <w:r w:rsidRPr="00033B67">
              <w:rPr>
                <w:rFonts w:cs="Times New Roman"/>
                <w:sz w:val="18"/>
                <w:szCs w:val="18"/>
              </w:rPr>
              <w:t>[21.0, 22.0]</w:t>
            </w:r>
          </w:p>
        </w:tc>
        <w:tc>
          <w:tcPr>
            <w:tcW w:w="709" w:type="dxa"/>
          </w:tcPr>
          <w:p w14:paraId="53D79BC5" w14:textId="77777777" w:rsidR="00FB53C7" w:rsidRPr="00033B67" w:rsidRDefault="00FB53C7" w:rsidP="00115971">
            <w:pPr>
              <w:jc w:val="center"/>
              <w:rPr>
                <w:rFonts w:cs="Times New Roman"/>
                <w:sz w:val="18"/>
                <w:szCs w:val="18"/>
              </w:rPr>
            </w:pPr>
            <w:r w:rsidRPr="00033B67">
              <w:rPr>
                <w:rFonts w:cs="Times New Roman"/>
                <w:sz w:val="18"/>
                <w:szCs w:val="18"/>
              </w:rPr>
              <w:t>1095</w:t>
            </w:r>
          </w:p>
        </w:tc>
        <w:tc>
          <w:tcPr>
            <w:tcW w:w="1276" w:type="dxa"/>
          </w:tcPr>
          <w:p w14:paraId="117FA438" w14:textId="77777777" w:rsidR="00FB53C7" w:rsidRPr="00033B67" w:rsidRDefault="00FB53C7" w:rsidP="00115971">
            <w:pPr>
              <w:jc w:val="center"/>
              <w:rPr>
                <w:rFonts w:cs="Times New Roman"/>
                <w:sz w:val="18"/>
                <w:szCs w:val="18"/>
              </w:rPr>
            </w:pPr>
          </w:p>
        </w:tc>
      </w:tr>
      <w:tr w:rsidR="00FB53C7" w14:paraId="2BE7B666" w14:textId="77777777" w:rsidTr="00115971">
        <w:trPr>
          <w:jc w:val="center"/>
        </w:trPr>
        <w:tc>
          <w:tcPr>
            <w:tcW w:w="2830" w:type="dxa"/>
          </w:tcPr>
          <w:p w14:paraId="69070366" w14:textId="77777777" w:rsidR="00FB53C7" w:rsidRPr="00033B67" w:rsidRDefault="00FB53C7" w:rsidP="00115971">
            <w:pPr>
              <w:rPr>
                <w:rFonts w:cs="Times New Roman"/>
                <w:sz w:val="18"/>
                <w:szCs w:val="18"/>
              </w:rPr>
            </w:pPr>
            <w:proofErr w:type="gramStart"/>
            <w:r w:rsidRPr="00033B67">
              <w:rPr>
                <w:rFonts w:cs="Times New Roman"/>
                <w:sz w:val="18"/>
                <w:szCs w:val="18"/>
              </w:rPr>
              <w:t>Share(</w:t>
            </w:r>
            <w:proofErr w:type="gramEnd"/>
            <w:r w:rsidRPr="00033B67">
              <w:rPr>
                <w:rFonts w:cs="Times New Roman"/>
                <w:sz w:val="18"/>
                <w:szCs w:val="18"/>
              </w:rPr>
              <w:t>volume &gt;= 500)</w:t>
            </w:r>
          </w:p>
        </w:tc>
        <w:tc>
          <w:tcPr>
            <w:tcW w:w="1068" w:type="dxa"/>
          </w:tcPr>
          <w:p w14:paraId="4D1A480E" w14:textId="77777777" w:rsidR="00FB53C7" w:rsidRPr="00033B67" w:rsidRDefault="00FB53C7" w:rsidP="00115971">
            <w:pPr>
              <w:jc w:val="center"/>
              <w:rPr>
                <w:rFonts w:cs="Times New Roman"/>
                <w:sz w:val="18"/>
                <w:szCs w:val="18"/>
              </w:rPr>
            </w:pPr>
            <w:r w:rsidRPr="00033B67">
              <w:rPr>
                <w:rFonts w:cs="Times New Roman"/>
                <w:sz w:val="18"/>
                <w:szCs w:val="18"/>
              </w:rPr>
              <w:t>0.0%</w:t>
            </w:r>
          </w:p>
        </w:tc>
        <w:tc>
          <w:tcPr>
            <w:tcW w:w="1342" w:type="dxa"/>
          </w:tcPr>
          <w:p w14:paraId="044B1F6D" w14:textId="77777777" w:rsidR="00FB53C7" w:rsidRPr="00033B67" w:rsidRDefault="00FB53C7" w:rsidP="00115971">
            <w:pPr>
              <w:jc w:val="center"/>
              <w:rPr>
                <w:rFonts w:cs="Times New Roman"/>
                <w:sz w:val="18"/>
                <w:szCs w:val="18"/>
              </w:rPr>
            </w:pPr>
          </w:p>
        </w:tc>
        <w:tc>
          <w:tcPr>
            <w:tcW w:w="709" w:type="dxa"/>
          </w:tcPr>
          <w:p w14:paraId="51014002" w14:textId="77777777" w:rsidR="00FB53C7" w:rsidRPr="00033B67" w:rsidRDefault="00FB53C7" w:rsidP="00115971">
            <w:pPr>
              <w:jc w:val="center"/>
              <w:rPr>
                <w:rFonts w:cs="Times New Roman"/>
                <w:sz w:val="18"/>
                <w:szCs w:val="18"/>
              </w:rPr>
            </w:pPr>
            <w:r w:rsidRPr="00033B67">
              <w:rPr>
                <w:rFonts w:cs="Times New Roman"/>
                <w:sz w:val="18"/>
                <w:szCs w:val="18"/>
              </w:rPr>
              <w:t>1095</w:t>
            </w:r>
          </w:p>
        </w:tc>
        <w:tc>
          <w:tcPr>
            <w:tcW w:w="1276" w:type="dxa"/>
          </w:tcPr>
          <w:p w14:paraId="38017B65" w14:textId="77777777" w:rsidR="00FB53C7" w:rsidRPr="00033B67" w:rsidRDefault="00FB53C7" w:rsidP="00115971">
            <w:pPr>
              <w:jc w:val="center"/>
              <w:rPr>
                <w:rFonts w:cs="Times New Roman"/>
                <w:sz w:val="18"/>
                <w:szCs w:val="18"/>
              </w:rPr>
            </w:pPr>
            <w:r w:rsidRPr="00033B67">
              <w:rPr>
                <w:rFonts w:cs="Times New Roman"/>
                <w:sz w:val="18"/>
                <w:szCs w:val="18"/>
              </w:rPr>
              <w:t>cutoff = 500</w:t>
            </w:r>
          </w:p>
        </w:tc>
      </w:tr>
    </w:tbl>
    <w:p w14:paraId="734D1F53" w14:textId="77777777" w:rsidR="0047501B" w:rsidRDefault="00000000" w:rsidP="0038108D">
      <w:pPr>
        <w:pStyle w:val="Ttulo3"/>
        <w:spacing w:after="0"/>
      </w:pPr>
      <w:r>
        <w:rPr>
          <w:rFonts w:eastAsia="Times New Roman"/>
          <w:sz w:val="20"/>
        </w:rPr>
        <w:t>C.5 Horizon truncation and long lead-time arrivals</w:t>
      </w:r>
    </w:p>
    <w:p w14:paraId="70B79CCC" w14:textId="28B3635F" w:rsidR="0047501B" w:rsidRPr="00EE7EAA" w:rsidRDefault="006247D1" w:rsidP="006247D1">
      <w:pPr>
        <w:pStyle w:val="text-base"/>
        <w:jc w:val="both"/>
        <w:rPr>
          <w:color w:val="000000" w:themeColor="text1"/>
          <w:lang w:val="en-US"/>
        </w:rPr>
      </w:pPr>
      <w:r w:rsidRPr="00EE7EAA">
        <w:rPr>
          <w:color w:val="000000" w:themeColor="text1"/>
          <w:lang w:val="en-US"/>
        </w:rPr>
        <w:t xml:space="preserve">The disruption scenario assigns lead times of 8 to 10 weeks. Given evaluation horizons of T ∈ {90, 180} days, some deliveries may occur near the end of the observation window, particularly when T=90. The simulator tracks pipeline inventory through the arrival process, so orders still in transit at </w:t>
      </w:r>
      <w:proofErr w:type="gramStart"/>
      <w:r w:rsidRPr="00EE7EAA">
        <w:rPr>
          <w:color w:val="000000" w:themeColor="text1"/>
          <w:lang w:val="en-US"/>
        </w:rPr>
        <w:t>time T</w:t>
      </w:r>
      <w:proofErr w:type="gramEnd"/>
      <w:r w:rsidRPr="00EE7EAA">
        <w:rPr>
          <w:color w:val="000000" w:themeColor="text1"/>
          <w:lang w:val="en-US"/>
        </w:rPr>
        <w:t xml:space="preserve"> neither satisfy demand beyond the evaluation window nor inflate the fill rate. The 90-day horizon is intended to reflect within-quarter planning cycles in SUS settings. By contrast, the 180-day horizon makes longer lead times and persistence dynamics more visible.</w:t>
      </w:r>
    </w:p>
    <w:p w14:paraId="4F0742CF" w14:textId="77777777" w:rsidR="0047501B" w:rsidRDefault="00000000">
      <w:pPr>
        <w:pStyle w:val="Ttulo3"/>
        <w:spacing w:before="0" w:after="0"/>
      </w:pPr>
      <w:r>
        <w:rPr>
          <w:rFonts w:eastAsia="Times New Roman"/>
          <w:sz w:val="20"/>
        </w:rPr>
        <w:t xml:space="preserve">C.6 </w:t>
      </w:r>
      <w:proofErr w:type="gramStart"/>
      <w:r>
        <w:rPr>
          <w:rFonts w:eastAsia="Times New Roman"/>
          <w:sz w:val="20"/>
        </w:rPr>
        <w:t>Short-history</w:t>
      </w:r>
      <w:proofErr w:type="gramEnd"/>
      <w:r>
        <w:rPr>
          <w:rFonts w:eastAsia="Times New Roman"/>
          <w:sz w:val="20"/>
        </w:rPr>
        <w:t xml:space="preserve"> forecasting ablation</w:t>
      </w:r>
    </w:p>
    <w:p w14:paraId="649ACD0C" w14:textId="77777777" w:rsidR="0047501B" w:rsidRPr="00A25014" w:rsidRDefault="00000000" w:rsidP="00C44EDA">
      <w:pPr>
        <w:pStyle w:val="text-base"/>
        <w:spacing w:before="0" w:after="0"/>
        <w:jc w:val="both"/>
        <w:rPr>
          <w:lang w:val="en-US"/>
        </w:rPr>
      </w:pPr>
      <w:r w:rsidRPr="00653ACC">
        <w:rPr>
          <w:lang w:val="en-US"/>
        </w:rPr>
        <w:t>We evaluate three parsimonious forecasters using a rolling origin evaluation (</w:t>
      </w:r>
      <w:proofErr w:type="spellStart"/>
      <w:r w:rsidRPr="00653ACC">
        <w:rPr>
          <w:lang w:val="en-US"/>
        </w:rPr>
        <w:t>min_train</w:t>
      </w:r>
      <w:proofErr w:type="spellEnd"/>
      <w:r w:rsidRPr="00653ACC">
        <w:rPr>
          <w:lang w:val="en-US"/>
        </w:rPr>
        <w:t xml:space="preserve"> = 12, horizon = 7 days) on the empirical daily panel. The sampling procedure selects up to 300 SKU-facility series; 50 series satisfy the minimum length </w:t>
      </w:r>
      <w:r w:rsidR="00D508F7">
        <w:rPr>
          <w:lang w:val="en-US"/>
        </w:rPr>
        <w:t>requirement</w:t>
      </w:r>
      <w:r w:rsidRPr="00653ACC">
        <w:rPr>
          <w:lang w:val="en-US"/>
        </w:rPr>
        <w:t xml:space="preserve"> and enter the summary. Table C6.1 reports RMSE and </w:t>
      </w:r>
      <w:proofErr w:type="spellStart"/>
      <w:r w:rsidRPr="00653ACC">
        <w:rPr>
          <w:lang w:val="en-US"/>
        </w:rPr>
        <w:t>sMAPE</w:t>
      </w:r>
      <w:proofErr w:type="spellEnd"/>
      <w:r w:rsidRPr="00653ACC">
        <w:rPr>
          <w:lang w:val="en-US"/>
        </w:rPr>
        <w:t xml:space="preserve"> for SES, Holt, and Croston. This ablation provides a short-history benchmark for intermittent and volatile demand; Appendix F.1 reports separate diagnostics for the LSTM-RF ensemble used in the AI policy.</w:t>
      </w:r>
    </w:p>
    <w:p w14:paraId="21B93B00" w14:textId="77777777" w:rsidR="00115EB9" w:rsidRPr="0038108D" w:rsidRDefault="00115EB9" w:rsidP="0038108D">
      <w:pPr>
        <w:pStyle w:val="ng-star-inserted"/>
        <w:spacing w:before="0" w:after="0" w:afterAutospacing="0"/>
        <w:ind w:left="216" w:right="14"/>
        <w:rPr>
          <w:rStyle w:val="ng-star-inserted1"/>
          <w:rFonts w:eastAsiaTheme="majorEastAsia"/>
          <w:b/>
          <w:bCs/>
          <w:color w:val="000000" w:themeColor="text1"/>
          <w:sz w:val="22"/>
          <w:szCs w:val="22"/>
          <w:lang w:val="en-US"/>
        </w:rPr>
      </w:pPr>
      <w:bookmarkStart w:id="2" w:name="_Hlk210656406"/>
      <w:r w:rsidRPr="0038108D">
        <w:rPr>
          <w:rStyle w:val="ng-star-inserted1"/>
          <w:rFonts w:eastAsiaTheme="majorEastAsia"/>
          <w:b/>
          <w:bCs/>
          <w:color w:val="000000" w:themeColor="text1"/>
          <w:sz w:val="22"/>
          <w:szCs w:val="22"/>
          <w:lang w:val="en-US"/>
        </w:rPr>
        <w:t>Table C6.1 - Forecasting ablation under short histories (rolling-origin evaluation).</w:t>
      </w:r>
    </w:p>
    <w:tbl>
      <w:tblPr>
        <w:tblStyle w:val="Tabelacomgrade"/>
        <w:tblW w:w="0" w:type="auto"/>
        <w:jc w:val="center"/>
        <w:tblLook w:val="04A0" w:firstRow="1" w:lastRow="0" w:firstColumn="1" w:lastColumn="0" w:noHBand="0" w:noVBand="1"/>
      </w:tblPr>
      <w:tblGrid>
        <w:gridCol w:w="1217"/>
        <w:gridCol w:w="1217"/>
        <w:gridCol w:w="1217"/>
        <w:gridCol w:w="1217"/>
        <w:gridCol w:w="1217"/>
        <w:gridCol w:w="1217"/>
        <w:gridCol w:w="1217"/>
        <w:gridCol w:w="1217"/>
      </w:tblGrid>
      <w:tr w:rsidR="00115EB9" w14:paraId="51E69E61" w14:textId="77777777" w:rsidTr="00115971">
        <w:trPr>
          <w:jc w:val="center"/>
        </w:trPr>
        <w:tc>
          <w:tcPr>
            <w:tcW w:w="1218" w:type="dxa"/>
            <w:vAlign w:val="center"/>
          </w:tcPr>
          <w:p w14:paraId="5A192938" w14:textId="77777777" w:rsidR="00115EB9" w:rsidRPr="00033B67" w:rsidRDefault="00115EB9" w:rsidP="00115971">
            <w:pPr>
              <w:rPr>
                <w:rFonts w:cs="Times New Roman"/>
                <w:b/>
                <w:bCs/>
                <w:sz w:val="18"/>
                <w:szCs w:val="18"/>
              </w:rPr>
            </w:pPr>
            <w:r w:rsidRPr="00033B67">
              <w:rPr>
                <w:rFonts w:cs="Times New Roman"/>
                <w:b/>
                <w:bCs/>
                <w:sz w:val="18"/>
                <w:szCs w:val="18"/>
              </w:rPr>
              <w:t>Method</w:t>
            </w:r>
          </w:p>
        </w:tc>
        <w:tc>
          <w:tcPr>
            <w:tcW w:w="1218" w:type="dxa"/>
            <w:vAlign w:val="center"/>
          </w:tcPr>
          <w:p w14:paraId="124F285B" w14:textId="77777777" w:rsidR="00115EB9" w:rsidRPr="00033B67" w:rsidRDefault="00115EB9" w:rsidP="00115971">
            <w:pPr>
              <w:rPr>
                <w:rFonts w:cs="Times New Roman"/>
                <w:b/>
                <w:bCs/>
                <w:sz w:val="18"/>
                <w:szCs w:val="18"/>
              </w:rPr>
            </w:pPr>
            <w:r w:rsidRPr="00033B67">
              <w:rPr>
                <w:rFonts w:cs="Times New Roman"/>
                <w:b/>
                <w:bCs/>
                <w:sz w:val="18"/>
                <w:szCs w:val="18"/>
              </w:rPr>
              <w:t>RMSE mean</w:t>
            </w:r>
          </w:p>
        </w:tc>
        <w:tc>
          <w:tcPr>
            <w:tcW w:w="1218" w:type="dxa"/>
            <w:vAlign w:val="center"/>
          </w:tcPr>
          <w:p w14:paraId="01CBEAD4" w14:textId="77777777" w:rsidR="00115EB9" w:rsidRPr="00033B67" w:rsidRDefault="00115EB9" w:rsidP="00115971">
            <w:pPr>
              <w:rPr>
                <w:rFonts w:cs="Times New Roman"/>
                <w:b/>
                <w:bCs/>
                <w:sz w:val="18"/>
                <w:szCs w:val="18"/>
              </w:rPr>
            </w:pPr>
            <w:r w:rsidRPr="00033B67">
              <w:rPr>
                <w:rFonts w:cs="Times New Roman"/>
                <w:b/>
                <w:bCs/>
                <w:sz w:val="18"/>
                <w:szCs w:val="18"/>
              </w:rPr>
              <w:t>RMSE SD</w:t>
            </w:r>
          </w:p>
        </w:tc>
        <w:tc>
          <w:tcPr>
            <w:tcW w:w="1218" w:type="dxa"/>
            <w:vAlign w:val="center"/>
          </w:tcPr>
          <w:p w14:paraId="06FC6A3C" w14:textId="77777777" w:rsidR="00115EB9" w:rsidRPr="00033B67" w:rsidRDefault="00115EB9" w:rsidP="00115971">
            <w:pPr>
              <w:rPr>
                <w:rFonts w:cs="Times New Roman"/>
                <w:b/>
                <w:bCs/>
                <w:sz w:val="18"/>
                <w:szCs w:val="18"/>
              </w:rPr>
            </w:pPr>
            <w:r w:rsidRPr="00033B67">
              <w:rPr>
                <w:rFonts w:cs="Times New Roman"/>
                <w:b/>
                <w:bCs/>
                <w:sz w:val="18"/>
                <w:szCs w:val="18"/>
              </w:rPr>
              <w:t>RMSE median</w:t>
            </w:r>
          </w:p>
        </w:tc>
        <w:tc>
          <w:tcPr>
            <w:tcW w:w="1218" w:type="dxa"/>
            <w:vAlign w:val="center"/>
          </w:tcPr>
          <w:p w14:paraId="1C844184" w14:textId="77777777" w:rsidR="00115EB9" w:rsidRPr="00033B67" w:rsidRDefault="00115EB9" w:rsidP="00115971">
            <w:pPr>
              <w:rPr>
                <w:rFonts w:cs="Times New Roman"/>
                <w:b/>
                <w:bCs/>
                <w:sz w:val="18"/>
                <w:szCs w:val="18"/>
              </w:rPr>
            </w:pPr>
            <w:proofErr w:type="spellStart"/>
            <w:r w:rsidRPr="00033B67">
              <w:rPr>
                <w:rFonts w:cs="Times New Roman"/>
                <w:b/>
                <w:bCs/>
                <w:sz w:val="18"/>
                <w:szCs w:val="18"/>
              </w:rPr>
              <w:t>sMAPE</w:t>
            </w:r>
            <w:proofErr w:type="spellEnd"/>
            <w:r w:rsidRPr="00033B67">
              <w:rPr>
                <w:rFonts w:cs="Times New Roman"/>
                <w:b/>
                <w:bCs/>
                <w:sz w:val="18"/>
                <w:szCs w:val="18"/>
              </w:rPr>
              <w:t xml:space="preserve"> mean</w:t>
            </w:r>
          </w:p>
        </w:tc>
        <w:tc>
          <w:tcPr>
            <w:tcW w:w="1218" w:type="dxa"/>
            <w:vAlign w:val="center"/>
          </w:tcPr>
          <w:p w14:paraId="18D21487" w14:textId="77777777" w:rsidR="00115EB9" w:rsidRPr="00033B67" w:rsidRDefault="00115EB9" w:rsidP="00115971">
            <w:pPr>
              <w:rPr>
                <w:rFonts w:cs="Times New Roman"/>
                <w:b/>
                <w:bCs/>
                <w:sz w:val="18"/>
                <w:szCs w:val="18"/>
              </w:rPr>
            </w:pPr>
            <w:proofErr w:type="spellStart"/>
            <w:r w:rsidRPr="00033B67">
              <w:rPr>
                <w:rFonts w:cs="Times New Roman"/>
                <w:b/>
                <w:bCs/>
                <w:sz w:val="18"/>
                <w:szCs w:val="18"/>
              </w:rPr>
              <w:t>sMAPE</w:t>
            </w:r>
            <w:proofErr w:type="spellEnd"/>
            <w:r w:rsidRPr="00033B67">
              <w:rPr>
                <w:rFonts w:cs="Times New Roman"/>
                <w:b/>
                <w:bCs/>
                <w:sz w:val="18"/>
                <w:szCs w:val="18"/>
              </w:rPr>
              <w:t xml:space="preserve"> SD</w:t>
            </w:r>
          </w:p>
        </w:tc>
        <w:tc>
          <w:tcPr>
            <w:tcW w:w="1218" w:type="dxa"/>
            <w:vAlign w:val="center"/>
          </w:tcPr>
          <w:p w14:paraId="4E6A3062" w14:textId="77777777" w:rsidR="00115EB9" w:rsidRPr="00033B67" w:rsidRDefault="00115EB9" w:rsidP="00115971">
            <w:pPr>
              <w:rPr>
                <w:rFonts w:cs="Times New Roman"/>
                <w:b/>
                <w:bCs/>
                <w:sz w:val="18"/>
                <w:szCs w:val="18"/>
              </w:rPr>
            </w:pPr>
            <w:proofErr w:type="spellStart"/>
            <w:r w:rsidRPr="00033B67">
              <w:rPr>
                <w:rFonts w:cs="Times New Roman"/>
                <w:b/>
                <w:bCs/>
                <w:sz w:val="18"/>
                <w:szCs w:val="18"/>
              </w:rPr>
              <w:t>sMAPE</w:t>
            </w:r>
            <w:proofErr w:type="spellEnd"/>
            <w:r w:rsidRPr="00033B67">
              <w:rPr>
                <w:rFonts w:cs="Times New Roman"/>
                <w:b/>
                <w:bCs/>
                <w:sz w:val="18"/>
                <w:szCs w:val="18"/>
              </w:rPr>
              <w:t xml:space="preserve"> median</w:t>
            </w:r>
          </w:p>
        </w:tc>
        <w:tc>
          <w:tcPr>
            <w:tcW w:w="1218" w:type="dxa"/>
            <w:vAlign w:val="center"/>
          </w:tcPr>
          <w:p w14:paraId="5ACEFDAC" w14:textId="77777777" w:rsidR="00115EB9" w:rsidRPr="00033B67" w:rsidRDefault="00115EB9" w:rsidP="00115971">
            <w:pPr>
              <w:rPr>
                <w:rFonts w:cs="Times New Roman"/>
                <w:b/>
                <w:bCs/>
                <w:sz w:val="18"/>
                <w:szCs w:val="18"/>
              </w:rPr>
            </w:pPr>
            <w:r w:rsidRPr="00033B67">
              <w:rPr>
                <w:rFonts w:cs="Times New Roman"/>
                <w:b/>
                <w:bCs/>
                <w:sz w:val="18"/>
                <w:szCs w:val="18"/>
              </w:rPr>
              <w:t>Series used</w:t>
            </w:r>
          </w:p>
        </w:tc>
      </w:tr>
      <w:tr w:rsidR="00115EB9" w14:paraId="11B91E72" w14:textId="77777777" w:rsidTr="00115971">
        <w:trPr>
          <w:jc w:val="center"/>
        </w:trPr>
        <w:tc>
          <w:tcPr>
            <w:tcW w:w="1218" w:type="dxa"/>
          </w:tcPr>
          <w:p w14:paraId="1756C27D" w14:textId="77777777" w:rsidR="00115EB9" w:rsidRPr="00033B67" w:rsidRDefault="00115EB9" w:rsidP="00115971">
            <w:pPr>
              <w:rPr>
                <w:rFonts w:cs="Times New Roman"/>
                <w:sz w:val="18"/>
                <w:szCs w:val="18"/>
              </w:rPr>
            </w:pPr>
            <w:r w:rsidRPr="00033B67">
              <w:rPr>
                <w:rFonts w:cs="Times New Roman"/>
                <w:sz w:val="18"/>
                <w:szCs w:val="18"/>
              </w:rPr>
              <w:t>Croston</w:t>
            </w:r>
          </w:p>
        </w:tc>
        <w:tc>
          <w:tcPr>
            <w:tcW w:w="1218" w:type="dxa"/>
            <w:vAlign w:val="center"/>
          </w:tcPr>
          <w:p w14:paraId="766FE151" w14:textId="77777777" w:rsidR="00115EB9" w:rsidRPr="00033B67" w:rsidRDefault="00115EB9" w:rsidP="00115971">
            <w:pPr>
              <w:jc w:val="center"/>
              <w:rPr>
                <w:rFonts w:cs="Times New Roman"/>
                <w:sz w:val="18"/>
                <w:szCs w:val="18"/>
              </w:rPr>
            </w:pPr>
            <w:r w:rsidRPr="00033B67">
              <w:rPr>
                <w:rFonts w:cs="Times New Roman"/>
                <w:sz w:val="18"/>
                <w:szCs w:val="18"/>
              </w:rPr>
              <w:t>45,256.0</w:t>
            </w:r>
          </w:p>
        </w:tc>
        <w:tc>
          <w:tcPr>
            <w:tcW w:w="1218" w:type="dxa"/>
            <w:vAlign w:val="center"/>
          </w:tcPr>
          <w:p w14:paraId="3D23CB33" w14:textId="77777777" w:rsidR="00115EB9" w:rsidRPr="00033B67" w:rsidRDefault="00115EB9" w:rsidP="00115971">
            <w:pPr>
              <w:jc w:val="center"/>
              <w:rPr>
                <w:rFonts w:cs="Times New Roman"/>
                <w:sz w:val="18"/>
                <w:szCs w:val="18"/>
              </w:rPr>
            </w:pPr>
            <w:r w:rsidRPr="00033B67">
              <w:rPr>
                <w:rFonts w:cs="Times New Roman"/>
                <w:sz w:val="18"/>
                <w:szCs w:val="18"/>
              </w:rPr>
              <w:t>59,629.0</w:t>
            </w:r>
          </w:p>
        </w:tc>
        <w:tc>
          <w:tcPr>
            <w:tcW w:w="1218" w:type="dxa"/>
            <w:vAlign w:val="center"/>
          </w:tcPr>
          <w:p w14:paraId="21373739" w14:textId="77777777" w:rsidR="00115EB9" w:rsidRPr="00033B67" w:rsidRDefault="00115EB9" w:rsidP="00115971">
            <w:pPr>
              <w:jc w:val="center"/>
              <w:rPr>
                <w:rFonts w:cs="Times New Roman"/>
                <w:sz w:val="18"/>
                <w:szCs w:val="18"/>
              </w:rPr>
            </w:pPr>
            <w:r w:rsidRPr="00033B67">
              <w:rPr>
                <w:rFonts w:cs="Times New Roman"/>
                <w:sz w:val="18"/>
                <w:szCs w:val="18"/>
              </w:rPr>
              <w:t>15,127.3</w:t>
            </w:r>
          </w:p>
        </w:tc>
        <w:tc>
          <w:tcPr>
            <w:tcW w:w="1218" w:type="dxa"/>
            <w:vAlign w:val="center"/>
          </w:tcPr>
          <w:p w14:paraId="5E4E5B6C" w14:textId="77777777" w:rsidR="00115EB9" w:rsidRPr="00033B67" w:rsidRDefault="00115EB9" w:rsidP="00115971">
            <w:pPr>
              <w:jc w:val="center"/>
              <w:rPr>
                <w:rFonts w:cs="Times New Roman"/>
                <w:sz w:val="18"/>
                <w:szCs w:val="18"/>
              </w:rPr>
            </w:pPr>
            <w:r w:rsidRPr="00033B67">
              <w:rPr>
                <w:rFonts w:cs="Times New Roman"/>
                <w:sz w:val="18"/>
                <w:szCs w:val="18"/>
              </w:rPr>
              <w:t>137.8</w:t>
            </w:r>
          </w:p>
        </w:tc>
        <w:tc>
          <w:tcPr>
            <w:tcW w:w="1218" w:type="dxa"/>
            <w:vAlign w:val="center"/>
          </w:tcPr>
          <w:p w14:paraId="7F1636A4" w14:textId="77777777" w:rsidR="00115EB9" w:rsidRPr="00033B67" w:rsidRDefault="00115EB9" w:rsidP="00115971">
            <w:pPr>
              <w:jc w:val="center"/>
              <w:rPr>
                <w:rFonts w:cs="Times New Roman"/>
                <w:sz w:val="18"/>
                <w:szCs w:val="18"/>
              </w:rPr>
            </w:pPr>
            <w:r w:rsidRPr="00033B67">
              <w:rPr>
                <w:rFonts w:cs="Times New Roman"/>
                <w:sz w:val="18"/>
                <w:szCs w:val="18"/>
              </w:rPr>
              <w:t>5.3</w:t>
            </w:r>
          </w:p>
        </w:tc>
        <w:tc>
          <w:tcPr>
            <w:tcW w:w="1218" w:type="dxa"/>
            <w:vAlign w:val="center"/>
          </w:tcPr>
          <w:p w14:paraId="123B2DD0" w14:textId="77777777" w:rsidR="00115EB9" w:rsidRPr="00033B67" w:rsidRDefault="00115EB9" w:rsidP="00115971">
            <w:pPr>
              <w:jc w:val="center"/>
              <w:rPr>
                <w:rFonts w:cs="Times New Roman"/>
                <w:sz w:val="18"/>
                <w:szCs w:val="18"/>
              </w:rPr>
            </w:pPr>
            <w:r w:rsidRPr="00033B67">
              <w:rPr>
                <w:rFonts w:cs="Times New Roman"/>
                <w:sz w:val="18"/>
                <w:szCs w:val="18"/>
              </w:rPr>
              <w:t>139.1</w:t>
            </w:r>
          </w:p>
        </w:tc>
        <w:tc>
          <w:tcPr>
            <w:tcW w:w="1218" w:type="dxa"/>
            <w:vAlign w:val="center"/>
          </w:tcPr>
          <w:p w14:paraId="03593E56" w14:textId="77777777" w:rsidR="00115EB9" w:rsidRPr="00033B67" w:rsidRDefault="00115EB9" w:rsidP="00115971">
            <w:pPr>
              <w:jc w:val="center"/>
              <w:rPr>
                <w:rFonts w:cs="Times New Roman"/>
                <w:sz w:val="18"/>
                <w:szCs w:val="18"/>
              </w:rPr>
            </w:pPr>
            <w:r w:rsidRPr="00033B67">
              <w:rPr>
                <w:rFonts w:cs="Times New Roman"/>
                <w:sz w:val="18"/>
                <w:szCs w:val="18"/>
              </w:rPr>
              <w:t>50</w:t>
            </w:r>
          </w:p>
        </w:tc>
      </w:tr>
      <w:tr w:rsidR="00115EB9" w14:paraId="3535F975" w14:textId="77777777" w:rsidTr="00115971">
        <w:trPr>
          <w:jc w:val="center"/>
        </w:trPr>
        <w:tc>
          <w:tcPr>
            <w:tcW w:w="1218" w:type="dxa"/>
          </w:tcPr>
          <w:p w14:paraId="05D1AD8C" w14:textId="77777777" w:rsidR="00115EB9" w:rsidRPr="00033B67" w:rsidRDefault="00115EB9" w:rsidP="00115971">
            <w:pPr>
              <w:rPr>
                <w:rFonts w:cs="Times New Roman"/>
                <w:sz w:val="18"/>
                <w:szCs w:val="18"/>
              </w:rPr>
            </w:pPr>
            <w:r w:rsidRPr="00033B67">
              <w:rPr>
                <w:rFonts w:cs="Times New Roman"/>
                <w:sz w:val="18"/>
                <w:szCs w:val="18"/>
              </w:rPr>
              <w:t>Holt</w:t>
            </w:r>
          </w:p>
        </w:tc>
        <w:tc>
          <w:tcPr>
            <w:tcW w:w="1218" w:type="dxa"/>
            <w:vAlign w:val="center"/>
          </w:tcPr>
          <w:p w14:paraId="57FB74D4" w14:textId="77777777" w:rsidR="00115EB9" w:rsidRPr="00033B67" w:rsidRDefault="00115EB9" w:rsidP="00115971">
            <w:pPr>
              <w:jc w:val="center"/>
              <w:rPr>
                <w:rFonts w:cs="Times New Roman"/>
                <w:sz w:val="18"/>
                <w:szCs w:val="18"/>
              </w:rPr>
            </w:pPr>
            <w:r w:rsidRPr="00033B67">
              <w:rPr>
                <w:rFonts w:cs="Times New Roman"/>
                <w:sz w:val="18"/>
                <w:szCs w:val="18"/>
              </w:rPr>
              <w:t>50,528.9</w:t>
            </w:r>
          </w:p>
        </w:tc>
        <w:tc>
          <w:tcPr>
            <w:tcW w:w="1218" w:type="dxa"/>
            <w:vAlign w:val="center"/>
          </w:tcPr>
          <w:p w14:paraId="64BDBFDB" w14:textId="77777777" w:rsidR="00115EB9" w:rsidRPr="00033B67" w:rsidRDefault="00115EB9" w:rsidP="00115971">
            <w:pPr>
              <w:jc w:val="center"/>
              <w:rPr>
                <w:rFonts w:cs="Times New Roman"/>
                <w:sz w:val="18"/>
                <w:szCs w:val="18"/>
              </w:rPr>
            </w:pPr>
            <w:r w:rsidRPr="00033B67">
              <w:rPr>
                <w:rFonts w:cs="Times New Roman"/>
                <w:sz w:val="18"/>
                <w:szCs w:val="18"/>
              </w:rPr>
              <w:t>66,122.7</w:t>
            </w:r>
          </w:p>
        </w:tc>
        <w:tc>
          <w:tcPr>
            <w:tcW w:w="1218" w:type="dxa"/>
            <w:vAlign w:val="center"/>
          </w:tcPr>
          <w:p w14:paraId="5E762267" w14:textId="77777777" w:rsidR="00115EB9" w:rsidRPr="00033B67" w:rsidRDefault="00115EB9" w:rsidP="00115971">
            <w:pPr>
              <w:jc w:val="center"/>
              <w:rPr>
                <w:rFonts w:cs="Times New Roman"/>
                <w:sz w:val="18"/>
                <w:szCs w:val="18"/>
              </w:rPr>
            </w:pPr>
            <w:r w:rsidRPr="00033B67">
              <w:rPr>
                <w:rFonts w:cs="Times New Roman"/>
                <w:sz w:val="18"/>
                <w:szCs w:val="18"/>
              </w:rPr>
              <w:t>16,823.8</w:t>
            </w:r>
          </w:p>
        </w:tc>
        <w:tc>
          <w:tcPr>
            <w:tcW w:w="1218" w:type="dxa"/>
            <w:vAlign w:val="center"/>
          </w:tcPr>
          <w:p w14:paraId="7512AE32" w14:textId="77777777" w:rsidR="00115EB9" w:rsidRPr="00033B67" w:rsidRDefault="00115EB9" w:rsidP="00115971">
            <w:pPr>
              <w:jc w:val="center"/>
              <w:rPr>
                <w:rFonts w:cs="Times New Roman"/>
                <w:sz w:val="18"/>
                <w:szCs w:val="18"/>
              </w:rPr>
            </w:pPr>
            <w:r w:rsidRPr="00033B67">
              <w:rPr>
                <w:rFonts w:cs="Times New Roman"/>
                <w:sz w:val="18"/>
                <w:szCs w:val="18"/>
              </w:rPr>
              <w:t>152.8</w:t>
            </w:r>
          </w:p>
        </w:tc>
        <w:tc>
          <w:tcPr>
            <w:tcW w:w="1218" w:type="dxa"/>
            <w:vAlign w:val="center"/>
          </w:tcPr>
          <w:p w14:paraId="68B199C4" w14:textId="77777777" w:rsidR="00115EB9" w:rsidRPr="00033B67" w:rsidRDefault="00115EB9" w:rsidP="00115971">
            <w:pPr>
              <w:jc w:val="center"/>
              <w:rPr>
                <w:rFonts w:cs="Times New Roman"/>
                <w:sz w:val="18"/>
                <w:szCs w:val="18"/>
              </w:rPr>
            </w:pPr>
            <w:r w:rsidRPr="00033B67">
              <w:rPr>
                <w:rFonts w:cs="Times New Roman"/>
                <w:sz w:val="18"/>
                <w:szCs w:val="18"/>
              </w:rPr>
              <w:t>5.8</w:t>
            </w:r>
          </w:p>
        </w:tc>
        <w:tc>
          <w:tcPr>
            <w:tcW w:w="1218" w:type="dxa"/>
            <w:vAlign w:val="center"/>
          </w:tcPr>
          <w:p w14:paraId="0064D9BC" w14:textId="77777777" w:rsidR="00115EB9" w:rsidRPr="00033B67" w:rsidRDefault="00115EB9" w:rsidP="00115971">
            <w:pPr>
              <w:jc w:val="center"/>
              <w:rPr>
                <w:rFonts w:cs="Times New Roman"/>
                <w:sz w:val="18"/>
                <w:szCs w:val="18"/>
              </w:rPr>
            </w:pPr>
            <w:r w:rsidRPr="00033B67">
              <w:rPr>
                <w:rFonts w:cs="Times New Roman"/>
                <w:sz w:val="18"/>
                <w:szCs w:val="18"/>
              </w:rPr>
              <w:t>153.6</w:t>
            </w:r>
          </w:p>
        </w:tc>
        <w:tc>
          <w:tcPr>
            <w:tcW w:w="1218" w:type="dxa"/>
            <w:vAlign w:val="center"/>
          </w:tcPr>
          <w:p w14:paraId="3801B97E" w14:textId="77777777" w:rsidR="00115EB9" w:rsidRPr="00033B67" w:rsidRDefault="00115EB9" w:rsidP="00115971">
            <w:pPr>
              <w:jc w:val="center"/>
              <w:rPr>
                <w:rFonts w:cs="Times New Roman"/>
                <w:sz w:val="18"/>
                <w:szCs w:val="18"/>
              </w:rPr>
            </w:pPr>
            <w:r w:rsidRPr="00033B67">
              <w:rPr>
                <w:rFonts w:cs="Times New Roman"/>
                <w:sz w:val="18"/>
                <w:szCs w:val="18"/>
              </w:rPr>
              <w:t>50</w:t>
            </w:r>
          </w:p>
        </w:tc>
      </w:tr>
      <w:tr w:rsidR="00115EB9" w14:paraId="47241183" w14:textId="77777777" w:rsidTr="00115971">
        <w:trPr>
          <w:jc w:val="center"/>
        </w:trPr>
        <w:tc>
          <w:tcPr>
            <w:tcW w:w="1218" w:type="dxa"/>
          </w:tcPr>
          <w:p w14:paraId="72AFC7D4" w14:textId="77777777" w:rsidR="00115EB9" w:rsidRPr="00033B67" w:rsidRDefault="00115EB9" w:rsidP="00115971">
            <w:pPr>
              <w:rPr>
                <w:rFonts w:cs="Times New Roman"/>
                <w:sz w:val="18"/>
                <w:szCs w:val="18"/>
              </w:rPr>
            </w:pPr>
            <w:r w:rsidRPr="00033B67">
              <w:rPr>
                <w:rFonts w:cs="Times New Roman"/>
                <w:sz w:val="18"/>
                <w:szCs w:val="18"/>
              </w:rPr>
              <w:t>SES</w:t>
            </w:r>
          </w:p>
        </w:tc>
        <w:tc>
          <w:tcPr>
            <w:tcW w:w="1218" w:type="dxa"/>
            <w:vAlign w:val="center"/>
          </w:tcPr>
          <w:p w14:paraId="5C921769" w14:textId="77777777" w:rsidR="00115EB9" w:rsidRPr="00033B67" w:rsidRDefault="00115EB9" w:rsidP="00115971">
            <w:pPr>
              <w:jc w:val="center"/>
              <w:rPr>
                <w:rFonts w:cs="Times New Roman"/>
                <w:sz w:val="18"/>
                <w:szCs w:val="18"/>
              </w:rPr>
            </w:pPr>
            <w:r w:rsidRPr="00033B67">
              <w:rPr>
                <w:rFonts w:cs="Times New Roman"/>
                <w:sz w:val="18"/>
                <w:szCs w:val="18"/>
              </w:rPr>
              <w:t>46,457.0</w:t>
            </w:r>
          </w:p>
        </w:tc>
        <w:tc>
          <w:tcPr>
            <w:tcW w:w="1218" w:type="dxa"/>
            <w:vAlign w:val="center"/>
          </w:tcPr>
          <w:p w14:paraId="6B98F9AC" w14:textId="77777777" w:rsidR="00115EB9" w:rsidRPr="00033B67" w:rsidRDefault="00115EB9" w:rsidP="00115971">
            <w:pPr>
              <w:jc w:val="center"/>
              <w:rPr>
                <w:rFonts w:cs="Times New Roman"/>
                <w:sz w:val="18"/>
                <w:szCs w:val="18"/>
              </w:rPr>
            </w:pPr>
            <w:r w:rsidRPr="00033B67">
              <w:rPr>
                <w:rFonts w:cs="Times New Roman"/>
                <w:sz w:val="18"/>
                <w:szCs w:val="18"/>
              </w:rPr>
              <w:t>60,855.1</w:t>
            </w:r>
          </w:p>
        </w:tc>
        <w:tc>
          <w:tcPr>
            <w:tcW w:w="1218" w:type="dxa"/>
            <w:vAlign w:val="center"/>
          </w:tcPr>
          <w:p w14:paraId="66AF3637" w14:textId="77777777" w:rsidR="00115EB9" w:rsidRPr="00033B67" w:rsidRDefault="00115EB9" w:rsidP="00115971">
            <w:pPr>
              <w:jc w:val="center"/>
              <w:rPr>
                <w:rFonts w:cs="Times New Roman"/>
                <w:sz w:val="18"/>
                <w:szCs w:val="18"/>
              </w:rPr>
            </w:pPr>
            <w:r w:rsidRPr="00033B67">
              <w:rPr>
                <w:rFonts w:cs="Times New Roman"/>
                <w:sz w:val="18"/>
                <w:szCs w:val="18"/>
              </w:rPr>
              <w:t>15,448.4</w:t>
            </w:r>
          </w:p>
        </w:tc>
        <w:tc>
          <w:tcPr>
            <w:tcW w:w="1218" w:type="dxa"/>
            <w:vAlign w:val="center"/>
          </w:tcPr>
          <w:p w14:paraId="6ABFCA33" w14:textId="77777777" w:rsidR="00115EB9" w:rsidRPr="00033B67" w:rsidRDefault="00115EB9" w:rsidP="00115971">
            <w:pPr>
              <w:jc w:val="center"/>
              <w:rPr>
                <w:rFonts w:cs="Times New Roman"/>
                <w:sz w:val="18"/>
                <w:szCs w:val="18"/>
              </w:rPr>
            </w:pPr>
            <w:r w:rsidRPr="00033B67">
              <w:rPr>
                <w:rFonts w:cs="Times New Roman"/>
                <w:sz w:val="18"/>
                <w:szCs w:val="18"/>
              </w:rPr>
              <w:t>142.8</w:t>
            </w:r>
          </w:p>
        </w:tc>
        <w:tc>
          <w:tcPr>
            <w:tcW w:w="1218" w:type="dxa"/>
            <w:vAlign w:val="center"/>
          </w:tcPr>
          <w:p w14:paraId="5ABCE7C8" w14:textId="77777777" w:rsidR="00115EB9" w:rsidRPr="00033B67" w:rsidRDefault="00115EB9" w:rsidP="00115971">
            <w:pPr>
              <w:jc w:val="center"/>
              <w:rPr>
                <w:rFonts w:cs="Times New Roman"/>
                <w:sz w:val="18"/>
                <w:szCs w:val="18"/>
              </w:rPr>
            </w:pPr>
            <w:r w:rsidRPr="00033B67">
              <w:rPr>
                <w:rFonts w:cs="Times New Roman"/>
                <w:sz w:val="18"/>
                <w:szCs w:val="18"/>
              </w:rPr>
              <w:t>5.1</w:t>
            </w:r>
          </w:p>
        </w:tc>
        <w:tc>
          <w:tcPr>
            <w:tcW w:w="1218" w:type="dxa"/>
            <w:vAlign w:val="center"/>
          </w:tcPr>
          <w:p w14:paraId="1C14DB05" w14:textId="77777777" w:rsidR="00115EB9" w:rsidRPr="00033B67" w:rsidRDefault="00115EB9" w:rsidP="00115971">
            <w:pPr>
              <w:jc w:val="center"/>
              <w:rPr>
                <w:rFonts w:cs="Times New Roman"/>
                <w:sz w:val="18"/>
                <w:szCs w:val="18"/>
              </w:rPr>
            </w:pPr>
            <w:r w:rsidRPr="00033B67">
              <w:rPr>
                <w:rFonts w:cs="Times New Roman"/>
                <w:sz w:val="18"/>
                <w:szCs w:val="18"/>
              </w:rPr>
              <w:t>143.4</w:t>
            </w:r>
          </w:p>
        </w:tc>
        <w:tc>
          <w:tcPr>
            <w:tcW w:w="1218" w:type="dxa"/>
            <w:vAlign w:val="center"/>
          </w:tcPr>
          <w:p w14:paraId="67230FDA" w14:textId="77777777" w:rsidR="00115EB9" w:rsidRPr="00033B67" w:rsidRDefault="00115EB9" w:rsidP="00115971">
            <w:pPr>
              <w:jc w:val="center"/>
              <w:rPr>
                <w:rFonts w:cs="Times New Roman"/>
                <w:sz w:val="18"/>
                <w:szCs w:val="18"/>
              </w:rPr>
            </w:pPr>
            <w:r w:rsidRPr="00033B67">
              <w:rPr>
                <w:rFonts w:cs="Times New Roman"/>
                <w:sz w:val="18"/>
                <w:szCs w:val="18"/>
              </w:rPr>
              <w:t>50</w:t>
            </w:r>
          </w:p>
        </w:tc>
      </w:tr>
    </w:tbl>
    <w:p w14:paraId="4DC096F8" w14:textId="77777777" w:rsidR="00115EB9" w:rsidRPr="00033B67" w:rsidRDefault="00115EB9" w:rsidP="00115EB9">
      <w:pPr>
        <w:pStyle w:val="text-base"/>
        <w:spacing w:before="0" w:after="0"/>
        <w:jc w:val="both"/>
        <w:rPr>
          <w:lang w:val="en-US"/>
        </w:rPr>
      </w:pPr>
      <w:r w:rsidRPr="00033B67">
        <w:rPr>
          <w:lang w:val="en-US"/>
        </w:rPr>
        <w:t>Given the observed cost penalties and/or service degradation of the hybrid AI policy in most regimes, an implementation business case is not supported for the evaluated configuration. Any future feasibility analysis should be conditional on demonstrable improvements relative to the best classical baseline under the same service constraints.</w:t>
      </w:r>
    </w:p>
    <w:p w14:paraId="706C93C3" w14:textId="77777777" w:rsidR="00115EB9" w:rsidRPr="00033B67" w:rsidRDefault="00115EB9" w:rsidP="00115EB9">
      <w:pPr>
        <w:pStyle w:val="text-base"/>
        <w:spacing w:before="0" w:after="0"/>
        <w:jc w:val="both"/>
        <w:rPr>
          <w:lang w:val="en-US"/>
        </w:rPr>
      </w:pPr>
      <w:r w:rsidRPr="00033B67">
        <w:rPr>
          <w:lang w:val="en-US"/>
        </w:rPr>
        <w:t>The following appendix includes all additional calculations and viability assessments referred to in the main text of the paper.</w:t>
      </w:r>
    </w:p>
    <w:p w14:paraId="106DA0B8" w14:textId="77777777" w:rsidR="00747409" w:rsidRPr="00A70916" w:rsidRDefault="00747409" w:rsidP="00AB3735">
      <w:pPr>
        <w:pStyle w:val="Ttulo3"/>
        <w:spacing w:before="0" w:after="0"/>
        <w:rPr>
          <w:lang w:eastAsia="pt-BR"/>
        </w:rPr>
      </w:pPr>
      <w:r w:rsidRPr="00A70916">
        <w:rPr>
          <w:rFonts w:eastAsia="Times New Roman"/>
          <w:sz w:val="20"/>
          <w:lang w:eastAsia="pt-BR"/>
        </w:rPr>
        <w:t xml:space="preserve">D.1 </w:t>
      </w:r>
      <w:r w:rsidR="00CE02F3" w:rsidRPr="00A70916">
        <w:rPr>
          <w:rFonts w:eastAsia="Times New Roman"/>
          <w:sz w:val="20"/>
          <w:lang w:eastAsia="pt-BR"/>
        </w:rPr>
        <w:t xml:space="preserve">Sensitivity </w:t>
      </w:r>
      <w:r w:rsidRPr="00A70916">
        <w:rPr>
          <w:rFonts w:eastAsia="Times New Roman"/>
          <w:sz w:val="20"/>
          <w:lang w:eastAsia="pt-BR"/>
        </w:rPr>
        <w:t>Checks</w:t>
      </w:r>
    </w:p>
    <w:p w14:paraId="58BB7681" w14:textId="77777777" w:rsidR="004F4E8A" w:rsidRPr="00AA0753" w:rsidRDefault="00000000" w:rsidP="00AA0753">
      <w:pPr>
        <w:pStyle w:val="text-base"/>
        <w:spacing w:before="0" w:after="0"/>
        <w:jc w:val="both"/>
        <w:rPr>
          <w:lang w:val="en-US"/>
        </w:rPr>
      </w:pPr>
      <w:r w:rsidRPr="00AA0753">
        <w:rPr>
          <w:lang w:val="en-US"/>
        </w:rPr>
        <w:t>We treat synthetic supply-side parameters as a source of uncertainty in absolute cost magnitudes. Sensitivity checks should therefore perturb key cost ratios (holding, ordering, stockout penalties) and lead-time distributions and re-estimate policy rankings under the same paired design. The current manuscript reports primary results under a single calibrated parameter set and frames broader robustness analysis as future work.</w:t>
      </w:r>
    </w:p>
    <w:bookmarkEnd w:id="2"/>
    <w:p w14:paraId="2ABE0D87" w14:textId="77777777" w:rsidR="00747409" w:rsidRPr="00A70916" w:rsidRDefault="00747409" w:rsidP="00AB3735">
      <w:pPr>
        <w:pStyle w:val="Ttulo3"/>
        <w:spacing w:before="0" w:after="0"/>
        <w:rPr>
          <w:lang w:eastAsia="pt-BR"/>
        </w:rPr>
      </w:pPr>
      <w:r>
        <w:rPr>
          <w:rFonts w:eastAsia="Times New Roman"/>
          <w:sz w:val="20"/>
        </w:rPr>
        <w:t>D.3 Cost Magnitude Justification</w:t>
      </w:r>
    </w:p>
    <w:p w14:paraId="5819C5A4" w14:textId="2EA69855" w:rsidR="00747409" w:rsidRPr="00A70916" w:rsidRDefault="00747409" w:rsidP="00E91127">
      <w:pPr>
        <w:pStyle w:val="text-base"/>
        <w:spacing w:before="0" w:after="0"/>
        <w:jc w:val="both"/>
        <w:rPr>
          <w:color w:val="000000" w:themeColor="text1"/>
          <w:lang w:val="en-US"/>
        </w:rPr>
      </w:pPr>
      <w:r w:rsidRPr="00A25014">
        <w:rPr>
          <w:lang w:val="en-US"/>
        </w:rPr>
        <w:t xml:space="preserve">We employed the Wilcoxon signed-rank test for non-parametric performance comparisons on paired replications enabled by common random numbers. We controlled the family-wise error rate at </w:t>
      </w:r>
      <w:r>
        <w:t>α</w:t>
      </w:r>
      <w:r w:rsidRPr="00A25014">
        <w:rPr>
          <w:lang w:val="en-US"/>
        </w:rPr>
        <w:t xml:space="preserve"> = 0.05 using Holm correction across pairwise policy contrasts within each scenario. We computed 95% bootstrap percentile confidence intervals using 1,000 resamples and report standardized mean differences (Cohen’s </w:t>
      </w:r>
      <m:oMath>
        <m:r>
          <w:rPr>
            <w:rFonts w:ascii="Cambria Math" w:hAnsi="Cambria Math"/>
            <w:lang w:val="en-US"/>
          </w:rPr>
          <m:t>d</m:t>
        </m:r>
      </m:oMath>
      <w:r w:rsidRPr="00A25014">
        <w:rPr>
          <w:lang w:val="en-US"/>
        </w:rPr>
        <w:t>) as a descriptive magnitude indicator.</w:t>
      </w:r>
    </w:p>
    <w:p w14:paraId="6FBFF6FF" w14:textId="77777777" w:rsidR="00747409" w:rsidRPr="00A70916" w:rsidRDefault="00747409" w:rsidP="00DD5FF3">
      <w:pPr>
        <w:pStyle w:val="Ttulo2"/>
      </w:pPr>
      <w:r w:rsidRPr="00A70916">
        <w:t>Appendix E: Statistical Methods &amp; Power</w:t>
      </w:r>
    </w:p>
    <w:p w14:paraId="32738D59" w14:textId="77777777" w:rsidR="00493C6B" w:rsidRPr="00A70916" w:rsidRDefault="00493C6B" w:rsidP="007F1654">
      <w:pPr>
        <w:pStyle w:val="Ttulo3"/>
        <w:spacing w:after="0"/>
        <w:rPr>
          <w:lang w:eastAsia="pt-BR"/>
        </w:rPr>
      </w:pPr>
      <w:r w:rsidRPr="00A70916">
        <w:rPr>
          <w:rFonts w:eastAsia="Times New Roman"/>
          <w:sz w:val="20"/>
          <w:lang w:eastAsia="pt-BR"/>
        </w:rPr>
        <w:t>E.1 Statistical Analysis Framework</w:t>
      </w:r>
    </w:p>
    <w:p w14:paraId="16025ACA" w14:textId="25A98380" w:rsidR="00493C6B" w:rsidRPr="00A70916" w:rsidRDefault="00493C6B" w:rsidP="00E91127">
      <w:pPr>
        <w:pStyle w:val="text-base"/>
        <w:spacing w:before="0" w:after="0"/>
        <w:jc w:val="both"/>
        <w:rPr>
          <w:color w:val="000000" w:themeColor="text1"/>
          <w:lang w:val="en-US"/>
        </w:rPr>
      </w:pPr>
      <w:r w:rsidRPr="00A25014">
        <w:rPr>
          <w:lang w:val="en-US"/>
        </w:rPr>
        <w:t xml:space="preserve">We base statistical testing on replicate-level paired differences enabled by the common-random-numbers design. For each scenario and outcome, we compare policies using the Wilcoxon signed-rank test on paired replications. We report two-sided p-values with Holm sequential correction within each scenario. Effect sizes are expressed as Cohen’s </w:t>
      </w:r>
      <m:oMath>
        <m:r>
          <w:rPr>
            <w:rFonts w:ascii="Cambria Math" w:hAnsi="Cambria Math"/>
            <w:lang w:val="en-US"/>
          </w:rPr>
          <m:t>d</m:t>
        </m:r>
      </m:oMath>
      <w:r w:rsidRPr="00A25014">
        <w:rPr>
          <w:lang w:val="en-US"/>
        </w:rPr>
        <w:t xml:space="preserve"> computed on paired differences. Uncertainty around mean differences </w:t>
      </w:r>
      <w:proofErr w:type="gramStart"/>
      <w:r w:rsidRPr="00A25014">
        <w:rPr>
          <w:lang w:val="en-US"/>
        </w:rPr>
        <w:t>is</w:t>
      </w:r>
      <w:proofErr w:type="gramEnd"/>
      <w:r w:rsidRPr="00A25014">
        <w:rPr>
          <w:lang w:val="en-US"/>
        </w:rPr>
        <w:t xml:space="preserve"> summarized with percentile bootstrap confidence intervals (B = 1,000 resamples) drawn over paired replications.</w:t>
      </w:r>
    </w:p>
    <w:p w14:paraId="7361A77C" w14:textId="77777777" w:rsidR="00F61BA8" w:rsidRPr="003868EC" w:rsidRDefault="00000000" w:rsidP="00142744">
      <w:pPr>
        <w:pStyle w:val="text-base"/>
        <w:spacing w:before="0" w:after="0"/>
        <w:jc w:val="both"/>
        <w:rPr>
          <w:lang w:val="en-US"/>
        </w:rPr>
      </w:pPr>
      <w:r w:rsidRPr="003868EC">
        <w:rPr>
          <w:lang w:val="en-US"/>
        </w:rPr>
        <w:lastRenderedPageBreak/>
        <w:t>For High Volatility, we also report within-run TOST equivalence tests and minimum detectable effects as sensitivity checks (Appendix E.10).</w:t>
      </w:r>
    </w:p>
    <w:p w14:paraId="0463316B" w14:textId="77777777" w:rsidR="00493C6B" w:rsidRPr="00A70916" w:rsidRDefault="00493C6B" w:rsidP="00AB3735">
      <w:pPr>
        <w:pStyle w:val="Ttulo3"/>
        <w:spacing w:before="0" w:after="0"/>
        <w:rPr>
          <w:lang w:eastAsia="pt-BR"/>
        </w:rPr>
      </w:pPr>
      <w:r w:rsidRPr="00A70916">
        <w:rPr>
          <w:rFonts w:eastAsia="Times New Roman"/>
          <w:sz w:val="20"/>
          <w:lang w:eastAsia="pt-BR"/>
        </w:rPr>
        <w:t>E.2 Cross-Validation Protocol for Temporal Data</w:t>
      </w:r>
    </w:p>
    <w:p w14:paraId="6C6B829A" w14:textId="77777777" w:rsidR="00493C6B" w:rsidRPr="00A70916" w:rsidRDefault="00AF56A8" w:rsidP="00E91127">
      <w:pPr>
        <w:pStyle w:val="text-base"/>
        <w:spacing w:before="0" w:after="0"/>
        <w:jc w:val="both"/>
        <w:rPr>
          <w:color w:val="000000" w:themeColor="text1"/>
          <w:lang w:val="en-US"/>
        </w:rPr>
      </w:pPr>
      <w:r w:rsidRPr="00A70916">
        <w:rPr>
          <w:color w:val="000000" w:themeColor="text1"/>
          <w:lang w:val="en-US"/>
        </w:rPr>
        <w:t xml:space="preserve">To prevent data leakage, </w:t>
      </w:r>
      <w:r w:rsidR="00FF55C1" w:rsidRPr="00A70916">
        <w:rPr>
          <w:color w:val="000000" w:themeColor="text1"/>
          <w:lang w:val="en-US"/>
        </w:rPr>
        <w:t>a common issue</w:t>
      </w:r>
      <w:r w:rsidRPr="00A70916">
        <w:rPr>
          <w:color w:val="000000" w:themeColor="text1"/>
          <w:lang w:val="en-US"/>
        </w:rPr>
        <w:t xml:space="preserve"> in time series studies, we applied a deliberate temporal split. The training set </w:t>
      </w:r>
      <w:r w:rsidR="00FF55C1" w:rsidRPr="00A70916">
        <w:rPr>
          <w:color w:val="000000" w:themeColor="text1"/>
          <w:lang w:val="en-US"/>
        </w:rPr>
        <w:t xml:space="preserve">spans days </w:t>
      </w:r>
      <w:r w:rsidR="009B20C1">
        <w:rPr>
          <w:color w:val="000000" w:themeColor="text1"/>
          <w:lang w:val="en-US"/>
        </w:rPr>
        <w:t>one</w:t>
      </w:r>
      <w:r w:rsidR="00B96954">
        <w:rPr>
          <w:color w:val="000000" w:themeColor="text1"/>
          <w:lang w:val="en-US"/>
        </w:rPr>
        <w:t xml:space="preserve"> to </w:t>
      </w:r>
      <w:r w:rsidR="00FF55C1" w:rsidRPr="00A70916">
        <w:rPr>
          <w:color w:val="000000" w:themeColor="text1"/>
          <w:lang w:val="en-US"/>
        </w:rPr>
        <w:t>240, while days 241</w:t>
      </w:r>
      <w:r w:rsidR="00B96954">
        <w:rPr>
          <w:color w:val="000000" w:themeColor="text1"/>
          <w:lang w:val="en-US"/>
        </w:rPr>
        <w:t xml:space="preserve"> to </w:t>
      </w:r>
      <w:r w:rsidR="00FF55C1" w:rsidRPr="00A70916">
        <w:rPr>
          <w:color w:val="000000" w:themeColor="text1"/>
          <w:lang w:val="en-US"/>
        </w:rPr>
        <w:t>300 are reserved</w:t>
      </w:r>
      <w:r w:rsidRPr="00A70916">
        <w:rPr>
          <w:color w:val="000000" w:themeColor="text1"/>
          <w:lang w:val="en-US"/>
        </w:rPr>
        <w:t xml:space="preserve"> for model assessment and hyperparameter selection. Finally, days 301</w:t>
      </w:r>
      <w:r w:rsidR="00B96954">
        <w:rPr>
          <w:color w:val="000000" w:themeColor="text1"/>
          <w:lang w:val="en-US"/>
        </w:rPr>
        <w:t xml:space="preserve"> to </w:t>
      </w:r>
      <w:r w:rsidRPr="00A70916">
        <w:rPr>
          <w:color w:val="000000" w:themeColor="text1"/>
          <w:lang w:val="en-US"/>
        </w:rPr>
        <w:t xml:space="preserve">390 </w:t>
      </w:r>
      <w:r w:rsidR="00136957">
        <w:rPr>
          <w:color w:val="000000" w:themeColor="text1"/>
          <w:lang w:val="en-US"/>
        </w:rPr>
        <w:t>are used for</w:t>
      </w:r>
      <w:r w:rsidRPr="00A70916">
        <w:rPr>
          <w:color w:val="000000" w:themeColor="text1"/>
          <w:lang w:val="en-US"/>
        </w:rPr>
        <w:t xml:space="preserve"> out-of-sample assessment. Hyperparameter tuning was </w:t>
      </w:r>
      <w:r w:rsidR="00FF55C1" w:rsidRPr="00A70916">
        <w:rPr>
          <w:color w:val="000000" w:themeColor="text1"/>
          <w:lang w:val="en-US"/>
        </w:rPr>
        <w:t>performed on the training set</w:t>
      </w:r>
      <w:r w:rsidR="006F48C9">
        <w:rPr>
          <w:color w:val="000000" w:themeColor="text1"/>
          <w:lang w:val="en-US"/>
        </w:rPr>
        <w:t>, but not</w:t>
      </w:r>
      <w:r w:rsidR="00FF55C1" w:rsidRPr="00A70916">
        <w:rPr>
          <w:color w:val="000000" w:themeColor="text1"/>
          <w:lang w:val="en-US"/>
        </w:rPr>
        <w:t xml:space="preserve"> on the validation set</w:t>
      </w:r>
      <w:r w:rsidR="00493C6B" w:rsidRPr="00A70916">
        <w:rPr>
          <w:color w:val="000000" w:themeColor="text1"/>
          <w:lang w:val="en-US"/>
        </w:rPr>
        <w:t>.</w:t>
      </w:r>
    </w:p>
    <w:p w14:paraId="737E38A4" w14:textId="77777777" w:rsidR="00493C6B" w:rsidRPr="00A70916" w:rsidRDefault="00493C6B" w:rsidP="00AB3735">
      <w:pPr>
        <w:pStyle w:val="Ttulo3"/>
        <w:spacing w:before="0" w:after="0"/>
        <w:rPr>
          <w:lang w:eastAsia="pt-BR"/>
        </w:rPr>
      </w:pPr>
      <w:r w:rsidRPr="00A70916">
        <w:rPr>
          <w:rFonts w:eastAsia="Times New Roman"/>
          <w:sz w:val="20"/>
          <w:lang w:eastAsia="pt-BR"/>
        </w:rPr>
        <w:t>E.3 Statistical Power Analysis</w:t>
      </w:r>
    </w:p>
    <w:p w14:paraId="4C4FDE98" w14:textId="77777777" w:rsidR="00493C6B" w:rsidRPr="00A70916" w:rsidRDefault="006E49F7" w:rsidP="00E91127">
      <w:pPr>
        <w:pStyle w:val="text-base"/>
        <w:spacing w:before="0" w:after="0"/>
        <w:jc w:val="both"/>
        <w:rPr>
          <w:color w:val="000000" w:themeColor="text1"/>
          <w:lang w:val="en-US"/>
        </w:rPr>
      </w:pPr>
      <w:r w:rsidRPr="00653ACC">
        <w:rPr>
          <w:lang w:val="en-US"/>
        </w:rPr>
        <w:t xml:space="preserve">We conducted power calculations in </w:t>
      </w:r>
      <w:r w:rsidRPr="009B20C1">
        <w:rPr>
          <w:i/>
          <w:iCs/>
          <w:lang w:val="en-US"/>
        </w:rPr>
        <w:t>G*Power 3.1.9.7</w:t>
      </w:r>
      <w:r w:rsidRPr="00653ACC">
        <w:rPr>
          <w:lang w:val="en-US"/>
        </w:rPr>
        <w:t xml:space="preserve"> using a conservative unpaired two-tailed approximation, because G*Power does not directly implement the Wilcoxon signed-rank test under our paired CRN design. Given the observed variance structures (CV ≈ 0.42), 80% power for medium standardized effects (Glass’s </w:t>
      </w:r>
      <w:r>
        <w:t>Δ</w:t>
      </w:r>
      <w:r w:rsidRPr="00653ACC">
        <w:rPr>
          <w:lang w:val="en-US"/>
        </w:rPr>
        <w:t xml:space="preserve"> = 0.40–0.75) </w:t>
      </w:r>
      <w:r w:rsidR="008E66BF">
        <w:rPr>
          <w:lang w:val="en-US"/>
        </w:rPr>
        <w:t>requires</w:t>
      </w:r>
      <w:r w:rsidRPr="00653ACC">
        <w:rPr>
          <w:lang w:val="en-US"/>
        </w:rPr>
        <w:t xml:space="preserve"> about 285 replications per condition. The current design (n = 100 paired replications) achieves about 45% power for medium effects under this conservative approximation. We therefore interpret small and medium deltas—especially in High Volatility—as sensitivity findings, while large effects (Glass’s </w:t>
      </w:r>
      <w:r>
        <w:t>Δ</w:t>
      </w:r>
      <w:r w:rsidRPr="00653ACC">
        <w:rPr>
          <w:lang w:val="en-US"/>
        </w:rPr>
        <w:t xml:space="preserve"> ≥ 2.0) remain detectable with high probability.</w:t>
      </w:r>
    </w:p>
    <w:p w14:paraId="2F1B402A" w14:textId="77777777" w:rsidR="00493C6B" w:rsidRPr="00A70916" w:rsidRDefault="00493C6B" w:rsidP="00AB3735">
      <w:pPr>
        <w:pStyle w:val="Ttulo3"/>
        <w:spacing w:before="0" w:after="0"/>
        <w:rPr>
          <w:lang w:eastAsia="pt-BR"/>
        </w:rPr>
      </w:pPr>
      <w:r w:rsidRPr="00A70916">
        <w:rPr>
          <w:rFonts w:eastAsia="Times New Roman"/>
          <w:sz w:val="20"/>
          <w:lang w:eastAsia="pt-BR"/>
        </w:rPr>
        <w:t>E.4 Effect Size Thresholds for Healthcare Operations</w:t>
      </w:r>
    </w:p>
    <w:p w14:paraId="43796805" w14:textId="77777777" w:rsidR="007E5F24" w:rsidRPr="00A70916" w:rsidRDefault="007E5F24" w:rsidP="00E91127">
      <w:pPr>
        <w:pStyle w:val="text-base"/>
        <w:spacing w:before="0" w:after="0"/>
        <w:jc w:val="both"/>
        <w:rPr>
          <w:color w:val="000000" w:themeColor="text1"/>
          <w:lang w:val="en-US"/>
        </w:rPr>
      </w:pPr>
      <w:r w:rsidRPr="00A70916">
        <w:rPr>
          <w:color w:val="000000" w:themeColor="text1"/>
          <w:lang w:val="en-US"/>
        </w:rPr>
        <w:t>The ways healthcare supply chains are measured are different from the statistical standard. We established domain-specific thresholds.</w:t>
      </w:r>
    </w:p>
    <w:p w14:paraId="23985CB6" w14:textId="77777777" w:rsidR="007E5F24" w:rsidRPr="00A70916" w:rsidRDefault="007E5F24" w:rsidP="00E91127">
      <w:pPr>
        <w:pStyle w:val="text-base"/>
        <w:spacing w:before="0" w:after="0"/>
        <w:jc w:val="both"/>
        <w:rPr>
          <w:color w:val="000000" w:themeColor="text1"/>
          <w:lang w:val="en-US"/>
        </w:rPr>
      </w:pPr>
      <w:r w:rsidRPr="00A70916">
        <w:rPr>
          <w:color w:val="000000" w:themeColor="text1"/>
          <w:lang w:val="en-US"/>
        </w:rPr>
        <w:t>Small effects</w:t>
      </w:r>
      <w:r w:rsidR="00FF55C1" w:rsidRPr="00A70916">
        <w:rPr>
          <w:color w:val="000000" w:themeColor="text1"/>
          <w:lang w:val="en-US"/>
        </w:rPr>
        <w:t>, ranging from d = 0.15 to 0.39,</w:t>
      </w:r>
      <w:r w:rsidRPr="00A70916">
        <w:rPr>
          <w:color w:val="000000" w:themeColor="text1"/>
          <w:lang w:val="en-US"/>
        </w:rPr>
        <w:t xml:space="preserve"> correspond to a 5</w:t>
      </w:r>
      <w:r w:rsidR="00136957">
        <w:rPr>
          <w:color w:val="000000" w:themeColor="text1"/>
          <w:lang w:val="en-US"/>
        </w:rPr>
        <w:t>-</w:t>
      </w:r>
      <w:r w:rsidRPr="00A70916">
        <w:rPr>
          <w:color w:val="000000" w:themeColor="text1"/>
          <w:lang w:val="en-US"/>
        </w:rPr>
        <w:t xml:space="preserve">15% difference in costs. When </w:t>
      </w:r>
      <w:r w:rsidR="00136957">
        <w:rPr>
          <w:color w:val="000000" w:themeColor="text1"/>
          <w:lang w:val="en-US"/>
        </w:rPr>
        <w:t>compounded across networks, this</w:t>
      </w:r>
      <w:r w:rsidRPr="00A70916">
        <w:rPr>
          <w:color w:val="000000" w:themeColor="text1"/>
          <w:lang w:val="en-US"/>
        </w:rPr>
        <w:t xml:space="preserve"> could justify implementation.</w:t>
      </w:r>
    </w:p>
    <w:p w14:paraId="2729843E" w14:textId="77777777" w:rsidR="007E5F24" w:rsidRPr="00A70916" w:rsidRDefault="007E5F24" w:rsidP="00E91127">
      <w:pPr>
        <w:pStyle w:val="text-base"/>
        <w:spacing w:before="0" w:after="0"/>
        <w:jc w:val="both"/>
        <w:rPr>
          <w:color w:val="000000" w:themeColor="text1"/>
          <w:lang w:val="en-US"/>
        </w:rPr>
      </w:pPr>
      <w:r w:rsidRPr="00A70916">
        <w:rPr>
          <w:color w:val="000000" w:themeColor="text1"/>
          <w:lang w:val="en-US"/>
        </w:rPr>
        <w:t>Medium effects (d</w:t>
      </w:r>
      <w:r w:rsidR="00FF55C1" w:rsidRPr="00A70916">
        <w:rPr>
          <w:color w:val="000000" w:themeColor="text1"/>
          <w:lang w:val="en-US"/>
        </w:rPr>
        <w:t xml:space="preserve"> = </w:t>
      </w:r>
      <w:r w:rsidRPr="00A70916">
        <w:rPr>
          <w:color w:val="000000" w:themeColor="text1"/>
          <w:lang w:val="en-US"/>
        </w:rPr>
        <w:t>0.40</w:t>
      </w:r>
      <w:r w:rsidR="009A6467" w:rsidRPr="009A6467">
        <w:rPr>
          <w:color w:val="000000" w:themeColor="text1"/>
          <w:lang w:val="en-US"/>
        </w:rPr>
        <w:t xml:space="preserve"> </w:t>
      </w:r>
      <w:r w:rsidR="009A6467" w:rsidRPr="00A70916">
        <w:rPr>
          <w:color w:val="000000" w:themeColor="text1"/>
          <w:lang w:val="en-US"/>
        </w:rPr>
        <w:t xml:space="preserve">to </w:t>
      </w:r>
      <w:r w:rsidRPr="00A70916">
        <w:rPr>
          <w:color w:val="000000" w:themeColor="text1"/>
          <w:lang w:val="en-US"/>
        </w:rPr>
        <w:t>0.75) indicate cost differences of 15</w:t>
      </w:r>
      <w:r w:rsidR="00136957">
        <w:rPr>
          <w:color w:val="000000" w:themeColor="text1"/>
          <w:lang w:val="en-US"/>
        </w:rPr>
        <w:t>-</w:t>
      </w:r>
      <w:r w:rsidRPr="00A70916">
        <w:rPr>
          <w:color w:val="000000" w:themeColor="text1"/>
          <w:lang w:val="en-US"/>
        </w:rPr>
        <w:t xml:space="preserve">35%. These effects provide economic justification </w:t>
      </w:r>
      <w:r w:rsidR="008064B5">
        <w:rPr>
          <w:color w:val="000000" w:themeColor="text1"/>
          <w:lang w:val="en-US"/>
        </w:rPr>
        <w:t xml:space="preserve">for </w:t>
      </w:r>
      <w:r w:rsidR="00136957">
        <w:rPr>
          <w:color w:val="000000" w:themeColor="text1"/>
          <w:lang w:val="en-US"/>
        </w:rPr>
        <w:t>adopting</w:t>
      </w:r>
      <w:r w:rsidR="008064B5">
        <w:rPr>
          <w:color w:val="000000" w:themeColor="text1"/>
          <w:lang w:val="en-US"/>
        </w:rPr>
        <w:t xml:space="preserve"> </w:t>
      </w:r>
      <w:proofErr w:type="gramStart"/>
      <w:r w:rsidR="008064B5">
        <w:rPr>
          <w:color w:val="000000" w:themeColor="text1"/>
          <w:lang w:val="en-US"/>
        </w:rPr>
        <w:t>the technology</w:t>
      </w:r>
      <w:proofErr w:type="gramEnd"/>
      <w:r w:rsidR="008064B5">
        <w:rPr>
          <w:color w:val="000000" w:themeColor="text1"/>
          <w:lang w:val="en-US"/>
        </w:rPr>
        <w:t>, pending further</w:t>
      </w:r>
      <w:r w:rsidRPr="00A70916">
        <w:rPr>
          <w:color w:val="000000" w:themeColor="text1"/>
          <w:lang w:val="en-US"/>
        </w:rPr>
        <w:t xml:space="preserve"> validation.</w:t>
      </w:r>
    </w:p>
    <w:p w14:paraId="7EC2F4FE" w14:textId="77777777" w:rsidR="00493C6B" w:rsidRPr="00A70916" w:rsidRDefault="007E5F24" w:rsidP="00E91127">
      <w:pPr>
        <w:pStyle w:val="text-base"/>
        <w:spacing w:before="0" w:after="0"/>
        <w:jc w:val="both"/>
        <w:rPr>
          <w:color w:val="000000" w:themeColor="text1"/>
          <w:lang w:val="en-US"/>
        </w:rPr>
      </w:pPr>
      <w:r w:rsidRPr="00A25014">
        <w:rPr>
          <w:lang w:val="en-US"/>
        </w:rPr>
        <w:t>This study relies on synchronized stochastic inputs across policies (common random numbers) and paired testing to improve precision. As a result, small cost gaps should be interpreted in the context of the paired design and the pre-specified practical-effect thresholds, rather than as evidence of broad operational superiority.</w:t>
      </w:r>
    </w:p>
    <w:p w14:paraId="183DB680" w14:textId="77777777" w:rsidR="00493C6B" w:rsidRPr="00A70916" w:rsidRDefault="00493C6B" w:rsidP="00AB3735">
      <w:pPr>
        <w:pStyle w:val="Ttulo3"/>
        <w:spacing w:before="0" w:after="0"/>
        <w:rPr>
          <w:lang w:eastAsia="pt-BR"/>
        </w:rPr>
      </w:pPr>
      <w:r w:rsidRPr="00A70916">
        <w:rPr>
          <w:rFonts w:eastAsia="Times New Roman"/>
          <w:sz w:val="20"/>
          <w:lang w:eastAsia="pt-BR"/>
        </w:rPr>
        <w:t>E.5 Phased Implementation Roadmap</w:t>
      </w:r>
    </w:p>
    <w:p w14:paraId="76B9DAA7" w14:textId="1F826022" w:rsidR="000D502C" w:rsidRPr="0069049F" w:rsidRDefault="000D502C" w:rsidP="000D502C">
      <w:pPr>
        <w:pStyle w:val="text-base"/>
        <w:jc w:val="both"/>
        <w:rPr>
          <w:color w:val="000000" w:themeColor="text1"/>
          <w:lang w:val="en-US"/>
        </w:rPr>
      </w:pPr>
      <w:r w:rsidRPr="0069049F">
        <w:rPr>
          <w:color w:val="000000" w:themeColor="text1"/>
          <w:lang w:val="en-US"/>
        </w:rPr>
        <w:t>Organizations using this model typically require an 18 to 36-month rollout period. Deployment is structured into five operational phases.</w:t>
      </w:r>
    </w:p>
    <w:p w14:paraId="6636A32A" w14:textId="38DAA1C0" w:rsidR="000D502C" w:rsidRPr="000D502C" w:rsidRDefault="000D502C" w:rsidP="000D502C">
      <w:pPr>
        <w:pStyle w:val="text-base"/>
        <w:jc w:val="both"/>
        <w:rPr>
          <w:color w:val="FFC000"/>
          <w:lang w:val="en-US"/>
        </w:rPr>
      </w:pPr>
      <w:r w:rsidRPr="0069049F">
        <w:rPr>
          <w:color w:val="000000" w:themeColor="text1"/>
          <w:lang w:val="en-US"/>
        </w:rPr>
        <w:t xml:space="preserve">Phase 1: Testing Pilot (Months 1 to 2). </w:t>
      </w:r>
      <w:r w:rsidRPr="000D502C">
        <w:rPr>
          <w:color w:val="FFC000"/>
          <w:lang w:val="en-US"/>
        </w:rPr>
        <w:t>The first phase selects 5 to 10 high-variance SKUs</w:t>
      </w:r>
      <w:r w:rsidR="006247D1">
        <w:rPr>
          <w:color w:val="FFC000"/>
          <w:lang w:val="en-US"/>
        </w:rPr>
        <w:t xml:space="preserve"> with</w:t>
      </w:r>
      <w:r w:rsidRPr="000D502C">
        <w:rPr>
          <w:color w:val="FFC000"/>
          <w:lang w:val="en-US"/>
        </w:rPr>
        <w:t xml:space="preserve"> </w:t>
      </w:r>
      <w:r w:rsidR="002332FB" w:rsidRPr="000D502C">
        <w:rPr>
          <w:color w:val="FFC000"/>
          <w:lang w:val="en-US"/>
        </w:rPr>
        <w:t xml:space="preserve">CV ≥ 0.40 </w:t>
      </w:r>
      <w:r w:rsidRPr="000D502C">
        <w:rPr>
          <w:color w:val="FFC000"/>
          <w:lang w:val="en-US"/>
        </w:rPr>
        <w:t xml:space="preserve">at a single facility. AI policies are operated in parallel with classical policies, with no operational commitment. Over </w:t>
      </w:r>
      <w:r>
        <w:rPr>
          <w:color w:val="FFC000"/>
          <w:lang w:val="en-US"/>
        </w:rPr>
        <w:t>two months</w:t>
      </w:r>
      <w:r w:rsidRPr="000D502C">
        <w:rPr>
          <w:color w:val="FFC000"/>
          <w:lang w:val="en-US"/>
        </w:rPr>
        <w:t>, both approaches are observed under the same test conditions. A central design modification is the use of paired testing with synchronized stochastic inputs across all policies. In each Monte Carlo replication, the Static, Dynamic, AI, and Base-stock policies are exposed to identical realizations of demand and lead times, using fixed random seeds of 42 for NumPy and TensorFlow. This design supports paired statistical testing through the Wilcoxon signed-rank test, which is more powerful than an unpaired alternative. In the present study, power is estimated at 45%; under paired testing with synchronized stochastic inputs, it reaches 80% or more (Appendix C.4). Policy-specific randomness, including GA mutation and RL exploration noise, remains independently seeded, but deterministically so. The decision gate is whether all four KPIs meet their targets, as defined in Table 2 and operationalized in Appendix H. If the answer is yes, deployment moves to Phase 2. If not, the issue is diagnosed, hyperparameters are adjusted, and testing returns to Phase 1.</w:t>
      </w:r>
    </w:p>
    <w:p w14:paraId="591E6443" w14:textId="25462853" w:rsidR="000D502C" w:rsidRPr="000D502C" w:rsidRDefault="000D502C" w:rsidP="000D502C">
      <w:pPr>
        <w:pStyle w:val="text-base"/>
        <w:jc w:val="both"/>
        <w:rPr>
          <w:color w:val="FFC000"/>
          <w:lang w:val="en-US"/>
        </w:rPr>
      </w:pPr>
      <w:r w:rsidRPr="000D502C">
        <w:rPr>
          <w:color w:val="FFC000"/>
          <w:lang w:val="en-US"/>
        </w:rPr>
        <w:t xml:space="preserve">Phase 2: Operational Scaling (Months 3 to 12). This phase focuses on operational assessment, </w:t>
      </w:r>
      <w:r w:rsidR="006247D1">
        <w:rPr>
          <w:color w:val="FFC000"/>
          <w:lang w:val="en-US"/>
        </w:rPr>
        <w:t xml:space="preserve">the collection of site-specific input values, </w:t>
      </w:r>
      <w:r w:rsidR="00C95B37">
        <w:rPr>
          <w:color w:val="FFC000"/>
          <w:lang w:val="en-US"/>
        </w:rPr>
        <w:t>financial accountability and</w:t>
      </w:r>
      <w:r w:rsidR="006247D1">
        <w:rPr>
          <w:color w:val="FFC000"/>
          <w:lang w:val="en-US"/>
        </w:rPr>
        <w:t xml:space="preserve"> alignment with</w:t>
      </w:r>
      <w:r w:rsidRPr="000D502C">
        <w:rPr>
          <w:color w:val="FFC000"/>
          <w:lang w:val="en-US"/>
        </w:rPr>
        <w:t xml:space="preserve"> clinical decision-making protocols.</w:t>
      </w:r>
    </w:p>
    <w:p w14:paraId="604B6795" w14:textId="77777777" w:rsidR="000D502C" w:rsidRPr="000D502C" w:rsidRDefault="000D502C" w:rsidP="000D502C">
      <w:pPr>
        <w:pStyle w:val="text-base"/>
        <w:jc w:val="both"/>
        <w:rPr>
          <w:color w:val="FFC000"/>
          <w:lang w:val="en-US"/>
        </w:rPr>
      </w:pPr>
      <w:r w:rsidRPr="000D502C">
        <w:rPr>
          <w:color w:val="FFC000"/>
          <w:lang w:val="en-US"/>
        </w:rPr>
        <w:t>Phase 3: Data Infrastructure and Compliance (Months 12 to 18). The third phase develops the data infrastructure and assesses regulatory compliance requirements. It may proceed concurrently with Phase 2, although procurement cycles can delay execution.</w:t>
      </w:r>
    </w:p>
    <w:p w14:paraId="534D0112" w14:textId="77777777" w:rsidR="000D502C" w:rsidRPr="000D502C" w:rsidRDefault="000D502C" w:rsidP="000D502C">
      <w:pPr>
        <w:pStyle w:val="text-base"/>
        <w:jc w:val="both"/>
        <w:rPr>
          <w:color w:val="FFC000"/>
          <w:lang w:val="en-US"/>
        </w:rPr>
      </w:pPr>
      <w:r w:rsidRPr="000D502C">
        <w:rPr>
          <w:color w:val="FFC000"/>
          <w:lang w:val="en-US"/>
        </w:rPr>
        <w:lastRenderedPageBreak/>
        <w:t>Phase 4: Parallel Operations and Validation (Months 18 to 24). Once the AI framework is operational, parallel runs are conducted alongside the legacy system. The purpose is to validate training and system behavior under actual operating conditions.</w:t>
      </w:r>
    </w:p>
    <w:p w14:paraId="33DB9225" w14:textId="13E325ED" w:rsidR="00D81FF8" w:rsidRPr="000D502C" w:rsidRDefault="000D502C" w:rsidP="000D502C">
      <w:pPr>
        <w:pStyle w:val="text-base"/>
        <w:spacing w:before="0" w:after="0"/>
        <w:jc w:val="both"/>
        <w:rPr>
          <w:color w:val="FFC000"/>
          <w:lang w:val="en-US"/>
        </w:rPr>
      </w:pPr>
      <w:r w:rsidRPr="000D502C">
        <w:rPr>
          <w:color w:val="FFC000"/>
          <w:lang w:val="en-US"/>
        </w:rPr>
        <w:t xml:space="preserve">Phase 5: Full Deployment (Months 24 to 36). Full </w:t>
      </w:r>
      <w:proofErr w:type="gramStart"/>
      <w:r w:rsidRPr="000D502C">
        <w:rPr>
          <w:color w:val="FFC000"/>
          <w:lang w:val="en-US"/>
        </w:rPr>
        <w:t>cutover is</w:t>
      </w:r>
      <w:proofErr w:type="gramEnd"/>
      <w:r w:rsidRPr="000D502C">
        <w:rPr>
          <w:color w:val="FFC000"/>
          <w:lang w:val="en-US"/>
        </w:rPr>
        <w:t xml:space="preserve"> typically completed 24 to 36 months after initial implementation, with management support. Implementations completed in less than 18 months are typically inefficient.</w:t>
      </w:r>
    </w:p>
    <w:p w14:paraId="09825ECD" w14:textId="77777777" w:rsidR="00493C6B" w:rsidRPr="00A70916" w:rsidRDefault="00493C6B" w:rsidP="00AB3735">
      <w:pPr>
        <w:pStyle w:val="Ttulo3"/>
        <w:spacing w:before="0" w:after="0"/>
        <w:rPr>
          <w:lang w:eastAsia="pt-BR"/>
        </w:rPr>
      </w:pPr>
      <w:r w:rsidRPr="00A70916">
        <w:rPr>
          <w:rFonts w:eastAsia="Times New Roman"/>
          <w:sz w:val="20"/>
          <w:lang w:eastAsia="pt-BR"/>
        </w:rPr>
        <w:t>E.6 Supplementary Analysis: Non-Stationarity</w:t>
      </w:r>
    </w:p>
    <w:p w14:paraId="697B8B47" w14:textId="12C3548E" w:rsidR="00493C6B" w:rsidRPr="000D502C" w:rsidRDefault="000D502C" w:rsidP="00E91127">
      <w:pPr>
        <w:pStyle w:val="text-base"/>
        <w:spacing w:before="0" w:after="0"/>
        <w:jc w:val="both"/>
        <w:rPr>
          <w:color w:val="FFC000"/>
          <w:lang w:val="en-US"/>
        </w:rPr>
      </w:pPr>
      <w:r w:rsidRPr="000D502C">
        <w:rPr>
          <w:color w:val="FFC000"/>
          <w:lang w:val="en-US"/>
        </w:rPr>
        <w:t>The Dynamic baseline combines exponential smoothing with a fixed</w:t>
      </w:r>
      <w:r w:rsidR="00214B00" w:rsidRPr="000D502C">
        <w:rPr>
          <w:color w:val="FFC000"/>
          <w:lang w:val="en-US"/>
        </w:rPr>
        <w:t xml:space="preserve"> </w:t>
      </w:r>
      <w:r w:rsidR="00214B00" w:rsidRPr="000D502C">
        <w:rPr>
          <w:color w:val="FFC000"/>
        </w:rPr>
        <w:t>α</w:t>
      </w:r>
      <w:r w:rsidR="00214B00" w:rsidRPr="000D502C">
        <w:rPr>
          <w:color w:val="FFC000"/>
          <w:lang w:val="en-US"/>
        </w:rPr>
        <w:t xml:space="preserve"> </w:t>
      </w:r>
      <w:r w:rsidRPr="000D502C">
        <w:rPr>
          <w:color w:val="FFC000"/>
          <w:lang w:val="en-US"/>
        </w:rPr>
        <w:t>and analytical reorder logic. Under stable demand, it remains competitive with Base-stock. Under stress conditions, however, it trails more adaptive control policies</w:t>
      </w:r>
      <w:r w:rsidR="00214B00" w:rsidRPr="000D502C">
        <w:rPr>
          <w:color w:val="FFC000"/>
          <w:lang w:val="en-US"/>
        </w:rPr>
        <w:t>.</w:t>
      </w:r>
    </w:p>
    <w:p w14:paraId="439B1476" w14:textId="77777777" w:rsidR="00493C6B" w:rsidRPr="00A70916" w:rsidRDefault="00493C6B" w:rsidP="00AB3735">
      <w:pPr>
        <w:pStyle w:val="Ttulo3"/>
        <w:spacing w:before="0" w:after="0"/>
        <w:rPr>
          <w:lang w:eastAsia="pt-BR"/>
        </w:rPr>
      </w:pPr>
      <w:r w:rsidRPr="00A70916">
        <w:rPr>
          <w:rFonts w:eastAsia="Times New Roman"/>
          <w:sz w:val="20"/>
          <w:lang w:eastAsia="pt-BR"/>
        </w:rPr>
        <w:t>E.7 Supplementary Figures</w:t>
      </w:r>
    </w:p>
    <w:p w14:paraId="2F6CBB66" w14:textId="569DB361" w:rsidR="00AB22A2" w:rsidRPr="00CC72B6" w:rsidRDefault="00DB6FD1" w:rsidP="00CC72B6">
      <w:pPr>
        <w:pStyle w:val="text-base"/>
        <w:spacing w:before="0" w:after="0"/>
        <w:jc w:val="both"/>
        <w:rPr>
          <w:lang w:val="en-US"/>
        </w:rPr>
      </w:pPr>
      <w:r w:rsidRPr="00DB6FD1">
        <w:rPr>
          <w:color w:val="FFC000"/>
          <w:lang w:val="en-US"/>
        </w:rPr>
        <w:t xml:space="preserve">RL training diagnostics (Figure E1) show cumulative reward on the y-axis, expressed in summed reward units, against training episodes on the x-axis for learning rates </w:t>
      </w:r>
      <w:r w:rsidR="00AB22A2" w:rsidRPr="005153BA">
        <w:rPr>
          <w:color w:val="FFC000"/>
          <w:lang w:val="en-US"/>
        </w:rPr>
        <w:t xml:space="preserve">α = 0.05 (slow learning), α = 0.10 (default), and α = 0.20 (fast learning). </w:t>
      </w:r>
      <w:r w:rsidRPr="00DB6FD1">
        <w:rPr>
          <w:color w:val="FFC000"/>
          <w:lang w:val="en-US"/>
        </w:rPr>
        <w:t>Shaded bands indicate 95% bootstrap percentile confidence intervals based on 1,000 resamples of the per-episode reward series within each deterministic training run, using fixed seeds for NumPy</w:t>
      </w:r>
      <w:r w:rsidR="000D502C">
        <w:rPr>
          <w:color w:val="FFC000"/>
          <w:lang w:val="en-US"/>
        </w:rPr>
        <w:t xml:space="preserve"> </w:t>
      </w:r>
      <w:r w:rsidR="00AB22A2" w:rsidRPr="005153BA">
        <w:rPr>
          <w:color w:val="FFC000"/>
          <w:lang w:val="en-US"/>
        </w:rPr>
        <w:t xml:space="preserve">= 42, TensorFlow = 42, training seed = 2024. </w:t>
      </w:r>
      <w:r w:rsidRPr="00DB6FD1">
        <w:rPr>
          <w:color w:val="FFC000"/>
          <w:lang w:val="en-US"/>
        </w:rPr>
        <w:t xml:space="preserve">Convergence is defined as a maximum Q-value difference below 0.001 for 50 consecutive episodes. Under </w:t>
      </w:r>
      <w:r w:rsidR="00AB22A2" w:rsidRPr="005153BA">
        <w:rPr>
          <w:color w:val="FFC000"/>
          <w:lang w:val="en-US"/>
        </w:rPr>
        <w:t xml:space="preserve">α = 0.10, </w:t>
      </w:r>
      <w:r w:rsidR="005153BA" w:rsidRPr="005153BA">
        <w:rPr>
          <w:color w:val="FFC000"/>
          <w:lang w:val="en-US"/>
        </w:rPr>
        <w:t>the monitored criterion is reached at about episode 400, after which the reward trajectory remains stable</w:t>
      </w:r>
      <w:r w:rsidR="00AB22A2" w:rsidRPr="005153BA">
        <w:rPr>
          <w:color w:val="FFC000"/>
          <w:lang w:val="en-US"/>
        </w:rPr>
        <w:t xml:space="preserve">. </w:t>
      </w:r>
      <w:r w:rsidR="00AB22A2" w:rsidRPr="005153BA">
        <w:rPr>
          <w:lang w:val="en-US"/>
        </w:rPr>
        <w:t>The discount</w:t>
      </w:r>
      <w:r w:rsidR="00AB22A2" w:rsidRPr="00CC72B6">
        <w:rPr>
          <w:lang w:val="en-US"/>
        </w:rPr>
        <w:t xml:space="preserve"> factor is γ = 0.95, and the exploration factor ε decreases linearly from 0.20 to 0.02 across episodes.</w:t>
      </w:r>
    </w:p>
    <w:p w14:paraId="795E0B4C" w14:textId="77777777" w:rsidR="0047501B" w:rsidRDefault="00000000">
      <w:pPr>
        <w:pStyle w:val="Ttulo3"/>
        <w:spacing w:before="0" w:after="0"/>
      </w:pPr>
      <w:r>
        <w:rPr>
          <w:rFonts w:eastAsia="Times New Roman"/>
          <w:sz w:val="20"/>
        </w:rPr>
        <w:t>Appendix E.8. Supply-disruption diagnostic: cost and service distributions</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32"/>
      </w:tblGrid>
      <w:tr w:rsidR="009915A3" w:rsidRPr="00801790" w14:paraId="7E8D4471" w14:textId="77777777" w:rsidTr="005E2831">
        <w:trPr>
          <w:jc w:val="center"/>
        </w:trPr>
        <w:tc>
          <w:tcPr>
            <w:tcW w:w="9330" w:type="dxa"/>
          </w:tcPr>
          <w:p w14:paraId="27E45B3F" w14:textId="77777777" w:rsidR="009915A3" w:rsidRPr="00801790" w:rsidRDefault="009915A3" w:rsidP="00115971">
            <w:pPr>
              <w:pStyle w:val="text-base"/>
              <w:spacing w:before="0" w:after="0"/>
              <w:jc w:val="both"/>
              <w:rPr>
                <w:lang w:val="en-US"/>
              </w:rPr>
            </w:pPr>
            <w:r w:rsidRPr="00801790">
              <w:rPr>
                <w:lang w:val="en-US"/>
              </w:rPr>
              <w:t xml:space="preserve"> </w:t>
            </w:r>
            <w:r w:rsidR="003868EC" w:rsidRPr="00801790">
              <w:rPr>
                <w:noProof/>
                <w:lang w:val="en-US"/>
                <w14:ligatures w14:val="standardContextual"/>
              </w:rPr>
              <w:drawing>
                <wp:inline distT="0" distB="0" distL="0" distR="0" wp14:anchorId="002B65FC" wp14:editId="1BF42E18">
                  <wp:extent cx="5852358" cy="4389268"/>
                  <wp:effectExtent l="0" t="0" r="0" b="0"/>
                  <wp:docPr id="349350115" name="Imagem 1" descr="Gráfico, Gráfico de caixa estre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50115" name="Imagem 1" descr="Gráfico, Gráfico de caixa estreita"/>
                          <pic:cNvPicPr/>
                        </pic:nvPicPr>
                        <pic:blipFill>
                          <a:blip r:embed="rId9">
                            <a:extLst>
                              <a:ext uri="{28A0092B-C50C-407E-A947-70E740481C1C}">
                                <a14:useLocalDpi xmlns:a14="http://schemas.microsoft.com/office/drawing/2010/main" val="0"/>
                              </a:ext>
                            </a:extLst>
                          </a:blip>
                          <a:stretch>
                            <a:fillRect/>
                          </a:stretch>
                        </pic:blipFill>
                        <pic:spPr>
                          <a:xfrm>
                            <a:off x="0" y="0"/>
                            <a:ext cx="5852358" cy="4389268"/>
                          </a:xfrm>
                          <a:prstGeom prst="rect">
                            <a:avLst/>
                          </a:prstGeom>
                        </pic:spPr>
                      </pic:pic>
                    </a:graphicData>
                  </a:graphic>
                </wp:inline>
              </w:drawing>
            </w:r>
          </w:p>
        </w:tc>
      </w:tr>
      <w:tr w:rsidR="009915A3" w:rsidRPr="009B20C1" w14:paraId="4BB6D91D" w14:textId="77777777" w:rsidTr="005E2831">
        <w:trPr>
          <w:jc w:val="center"/>
        </w:trPr>
        <w:tc>
          <w:tcPr>
            <w:tcW w:w="9330" w:type="dxa"/>
          </w:tcPr>
          <w:p w14:paraId="0C87AAF9" w14:textId="77777777" w:rsidR="004A70BA" w:rsidRPr="009B20C1" w:rsidRDefault="00000000">
            <w:pPr>
              <w:rPr>
                <w:rFonts w:cs="Times New Roman"/>
              </w:rPr>
            </w:pPr>
            <w:r w:rsidRPr="009B20C1">
              <w:rPr>
                <w:rFonts w:cs="Times New Roman"/>
                <w:b/>
                <w:bCs/>
              </w:rPr>
              <w:t>Figure E.8.1</w:t>
            </w:r>
            <w:r w:rsidRPr="009B20C1">
              <w:rPr>
                <w:rFonts w:cs="Times New Roman"/>
              </w:rPr>
              <w:t xml:space="preserve">. Distribution of total cost across replications by policy under Supply Disruption (180-day horizon; n = 30). Diagnostic run settings: GA off; reward = </w:t>
            </w:r>
            <w:proofErr w:type="spellStart"/>
            <w:r w:rsidRPr="009B20C1">
              <w:rPr>
                <w:rFonts w:cs="Times New Roman"/>
              </w:rPr>
              <w:t>inventory_only</w:t>
            </w:r>
            <w:proofErr w:type="spellEnd"/>
            <w:r w:rsidRPr="009B20C1">
              <w:rPr>
                <w:rFonts w:cs="Times New Roman"/>
              </w:rPr>
              <w:t>.</w:t>
            </w:r>
          </w:p>
        </w:tc>
      </w:tr>
      <w:tr w:rsidR="009915A3" w:rsidRPr="00801790" w14:paraId="57324C89" w14:textId="77777777" w:rsidTr="005E28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9330" w:type="dxa"/>
            <w:tcBorders>
              <w:top w:val="nil"/>
              <w:left w:val="nil"/>
              <w:bottom w:val="nil"/>
              <w:right w:val="nil"/>
            </w:tcBorders>
          </w:tcPr>
          <w:p w14:paraId="40B41264" w14:textId="77777777" w:rsidR="009915A3" w:rsidRPr="00801790" w:rsidRDefault="003868EC" w:rsidP="00115971">
            <w:pPr>
              <w:pStyle w:val="text-base"/>
              <w:spacing w:before="0" w:after="0"/>
              <w:jc w:val="both"/>
              <w:rPr>
                <w:lang w:val="en-US"/>
              </w:rPr>
            </w:pPr>
            <w:r w:rsidRPr="00801790">
              <w:rPr>
                <w:noProof/>
                <w:lang w:val="en-US"/>
                <w14:ligatures w14:val="standardContextual"/>
              </w:rPr>
              <w:lastRenderedPageBreak/>
              <w:drawing>
                <wp:inline distT="0" distB="0" distL="0" distR="0" wp14:anchorId="0C85A656" wp14:editId="7E4AE64A">
                  <wp:extent cx="5852358" cy="4389268"/>
                  <wp:effectExtent l="0" t="0" r="0" b="0"/>
                  <wp:docPr id="2140777145" name="Imagem 2"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77145" name="Imagem 2" descr="Gráfico, Gráfico de caixa estreita&#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5852358" cy="4389268"/>
                          </a:xfrm>
                          <a:prstGeom prst="rect">
                            <a:avLst/>
                          </a:prstGeom>
                        </pic:spPr>
                      </pic:pic>
                    </a:graphicData>
                  </a:graphic>
                </wp:inline>
              </w:drawing>
            </w:r>
          </w:p>
        </w:tc>
      </w:tr>
      <w:tr w:rsidR="009915A3" w:rsidRPr="009B20C1" w14:paraId="38666E48" w14:textId="77777777" w:rsidTr="005E2831">
        <w:trPr>
          <w:jc w:val="center"/>
        </w:trPr>
        <w:tc>
          <w:tcPr>
            <w:tcW w:w="9330" w:type="dxa"/>
          </w:tcPr>
          <w:p w14:paraId="3FAF052D" w14:textId="77777777" w:rsidR="004A70BA" w:rsidRPr="009B20C1" w:rsidRDefault="00000000">
            <w:pPr>
              <w:rPr>
                <w:rFonts w:cs="Times New Roman"/>
              </w:rPr>
            </w:pPr>
            <w:r w:rsidRPr="009B20C1">
              <w:rPr>
                <w:rFonts w:cs="Times New Roman"/>
                <w:b/>
                <w:bCs/>
              </w:rPr>
              <w:t>Figure E.8.2</w:t>
            </w:r>
            <w:r w:rsidRPr="009B20C1">
              <w:rPr>
                <w:rFonts w:cs="Times New Roman"/>
              </w:rPr>
              <w:t>. Distribution of fill rate across replications by policy under Supply Disruption (180-day horizon; n = 30). Same diagnostic settings as Figure E.8.1.</w:t>
            </w:r>
          </w:p>
        </w:tc>
      </w:tr>
      <w:tr w:rsidR="009915A3" w:rsidRPr="0037418A" w14:paraId="6F69B420" w14:textId="77777777" w:rsidTr="005E28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9330" w:type="dxa"/>
          </w:tcPr>
          <w:p w14:paraId="4CA19F51" w14:textId="77777777" w:rsidR="009915A3" w:rsidRPr="0037418A" w:rsidRDefault="003868EC" w:rsidP="00115971">
            <w:pPr>
              <w:pStyle w:val="text-base"/>
              <w:spacing w:before="0" w:after="0"/>
              <w:jc w:val="both"/>
              <w:rPr>
                <w:lang w:val="en-US"/>
              </w:rPr>
            </w:pPr>
            <w:r w:rsidRPr="0037418A">
              <w:rPr>
                <w:noProof/>
                <w:lang w:val="en-US"/>
                <w14:ligatures w14:val="standardContextual"/>
              </w:rPr>
              <w:drawing>
                <wp:inline distT="0" distB="0" distL="0" distR="0" wp14:anchorId="44915B40" wp14:editId="1766735B">
                  <wp:extent cx="5852358" cy="4389268"/>
                  <wp:effectExtent l="0" t="0" r="0" b="0"/>
                  <wp:docPr id="1531556570" name="Imagem 3"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56570" name="Imagem 3" descr="Gráfico, Gráfico de dispersão&#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852358" cy="4389268"/>
                          </a:xfrm>
                          <a:prstGeom prst="rect">
                            <a:avLst/>
                          </a:prstGeom>
                        </pic:spPr>
                      </pic:pic>
                    </a:graphicData>
                  </a:graphic>
                </wp:inline>
              </w:drawing>
            </w:r>
          </w:p>
        </w:tc>
      </w:tr>
      <w:tr w:rsidR="009915A3" w:rsidRPr="009B20C1" w14:paraId="60FBB3FA" w14:textId="77777777" w:rsidTr="005E28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9330" w:type="dxa"/>
          </w:tcPr>
          <w:p w14:paraId="45301753" w14:textId="77777777" w:rsidR="004A70BA" w:rsidRPr="009B20C1" w:rsidRDefault="00000000">
            <w:pPr>
              <w:rPr>
                <w:rFonts w:cs="Times New Roman"/>
              </w:rPr>
            </w:pPr>
            <w:r w:rsidRPr="009B20C1">
              <w:rPr>
                <w:rFonts w:cs="Times New Roman"/>
                <w:b/>
                <w:bCs/>
              </w:rPr>
              <w:t>Figure E.8.3</w:t>
            </w:r>
            <w:r w:rsidRPr="009B20C1">
              <w:rPr>
                <w:rFonts w:cs="Times New Roman"/>
              </w:rPr>
              <w:t xml:space="preserve">. Replication-level relationship between service and cost under Supply Disruption (180-day horizon; </w:t>
            </w:r>
            <w:r w:rsidRPr="009B20C1">
              <w:rPr>
                <w:rFonts w:cs="Times New Roman"/>
              </w:rPr>
              <w:lastRenderedPageBreak/>
              <w:t>n = 30). Each point is a replication; markers are colored by policy.</w:t>
            </w:r>
          </w:p>
        </w:tc>
      </w:tr>
    </w:tbl>
    <w:p w14:paraId="33345C15" w14:textId="77777777" w:rsidR="00884D0D" w:rsidRPr="005E2831" w:rsidRDefault="00000000" w:rsidP="005E2831">
      <w:pPr>
        <w:pStyle w:val="text-base"/>
        <w:spacing w:before="0" w:after="0"/>
        <w:ind w:left="426"/>
        <w:jc w:val="both"/>
        <w:rPr>
          <w:sz w:val="18"/>
          <w:szCs w:val="18"/>
          <w:lang w:val="en-US"/>
        </w:rPr>
      </w:pPr>
      <w:r w:rsidRPr="005E2831">
        <w:rPr>
          <w:sz w:val="18"/>
          <w:szCs w:val="18"/>
          <w:lang w:val="en-US"/>
        </w:rPr>
        <w:lastRenderedPageBreak/>
        <w:t>Note: The diagnostic run uses a reduced replication count and a simplified configuration and therefore supports qualitative mechanism interpretation; quantitative conclusions remain based on the primary paired Monte Carlo design in Tables 3–6.</w:t>
      </w:r>
    </w:p>
    <w:p w14:paraId="7ABD586F" w14:textId="77777777" w:rsidR="00F61BA8" w:rsidRPr="003868EC" w:rsidRDefault="00000000" w:rsidP="003868EC">
      <w:pPr>
        <w:pStyle w:val="text-base"/>
        <w:spacing w:before="0" w:after="0"/>
        <w:ind w:left="142"/>
        <w:jc w:val="both"/>
        <w:rPr>
          <w:lang w:val="en-US"/>
        </w:rPr>
      </w:pPr>
      <w:r w:rsidRPr="00F34B55">
        <w:rPr>
          <w:lang w:val="en-US"/>
        </w:rPr>
        <w:t xml:space="preserve">We report a bottleneck-isolation diagnostic for the Supply Disruption regime to test whether the collapse observed in Table 5 originates from the routing proxy (GA), the forecaster (LSTM+RF), or reward coupling. We ran an auxiliary experiment at a 180-day horizon in quick mode (n = 30 paired replications per policy), with GA off and reward = </w:t>
      </w:r>
      <w:proofErr w:type="spellStart"/>
      <w:r w:rsidRPr="00F34B55">
        <w:rPr>
          <w:lang w:val="en-US"/>
        </w:rPr>
        <w:t>inventory_only</w:t>
      </w:r>
      <w:proofErr w:type="spellEnd"/>
      <w:r w:rsidRPr="00F34B55">
        <w:rPr>
          <w:lang w:val="en-US"/>
        </w:rPr>
        <w:t xml:space="preserve">. The diagnostic preserves paired-replication-index alignment and exports the standard audit trail (raw_replications.csv, summary_means_ci.csv, </w:t>
      </w:r>
      <w:proofErr w:type="spellStart"/>
      <w:r w:rsidRPr="00F34B55">
        <w:rPr>
          <w:lang w:val="en-US"/>
        </w:rPr>
        <w:t>run_</w:t>
      </w:r>
      <w:proofErr w:type="gramStart"/>
      <w:r w:rsidRPr="00F34B55">
        <w:rPr>
          <w:lang w:val="en-US"/>
        </w:rPr>
        <w:t>manifest.json</w:t>
      </w:r>
      <w:proofErr w:type="spellEnd"/>
      <w:proofErr w:type="gramEnd"/>
      <w:r w:rsidRPr="00F34B55">
        <w:rPr>
          <w:lang w:val="en-US"/>
        </w:rPr>
        <w:t xml:space="preserve">, </w:t>
      </w:r>
      <w:proofErr w:type="spellStart"/>
      <w:r w:rsidRPr="00F34B55">
        <w:rPr>
          <w:lang w:val="en-US"/>
        </w:rPr>
        <w:t>run_</w:t>
      </w:r>
      <w:proofErr w:type="gramStart"/>
      <w:r w:rsidRPr="00F34B55">
        <w:rPr>
          <w:lang w:val="en-US"/>
        </w:rPr>
        <w:t>fingerprint.json</w:t>
      </w:r>
      <w:proofErr w:type="spellEnd"/>
      <w:proofErr w:type="gramEnd"/>
      <w:r w:rsidRPr="00F34B55">
        <w:rPr>
          <w:lang w:val="en-US"/>
        </w:rPr>
        <w:t>).</w:t>
      </w:r>
    </w:p>
    <w:p w14:paraId="4CF68D1D" w14:textId="77777777" w:rsidR="00884D0D" w:rsidRPr="005E2831" w:rsidRDefault="00000000" w:rsidP="005E2831">
      <w:pPr>
        <w:pStyle w:val="text-base"/>
        <w:spacing w:before="0" w:after="0"/>
        <w:ind w:left="142"/>
        <w:jc w:val="both"/>
        <w:rPr>
          <w:lang w:val="en-US"/>
        </w:rPr>
      </w:pPr>
      <w:r w:rsidRPr="00F34B55">
        <w:rPr>
          <w:lang w:val="en-US"/>
        </w:rPr>
        <w:t xml:space="preserve">In this GA-off, inventory-only diagnostic, Hybrid AI reduces mean total cost relative to </w:t>
      </w:r>
      <w:proofErr w:type="spellStart"/>
      <w:r w:rsidRPr="00F34B55">
        <w:rPr>
          <w:lang w:val="en-US"/>
        </w:rPr>
        <w:t>Dynamic+Forecast</w:t>
      </w:r>
      <w:proofErr w:type="spellEnd"/>
      <w:r w:rsidRPr="00F34B55">
        <w:rPr>
          <w:lang w:val="en-US"/>
        </w:rPr>
        <w:t xml:space="preserve"> and Base-stock, but it also yields a lower mean fill rate (Table E.8). The diagnostic therefore isolates a failure mode in which the routing-aware objective and bounded action space jointly </w:t>
      </w:r>
      <w:proofErr w:type="gramStart"/>
      <w:r w:rsidRPr="00F34B55">
        <w:rPr>
          <w:lang w:val="en-US"/>
        </w:rPr>
        <w:t>amplify</w:t>
      </w:r>
      <w:proofErr w:type="gramEnd"/>
      <w:r w:rsidRPr="00F34B55">
        <w:rPr>
          <w:lang w:val="en-US"/>
        </w:rPr>
        <w:t xml:space="preserve"> under-ordering under long lead times. The result does not establish safe deployment; it motivates explicit guardrails and constrained objectives for disruption regimes.</w:t>
      </w:r>
    </w:p>
    <w:p w14:paraId="299075DE" w14:textId="77777777" w:rsidR="00884D0D" w:rsidRPr="006F4D77" w:rsidRDefault="00000000" w:rsidP="0038108D">
      <w:pPr>
        <w:pStyle w:val="ng-star-inserted"/>
        <w:spacing w:before="0" w:after="0" w:afterAutospacing="0"/>
        <w:ind w:left="216" w:right="14"/>
        <w:rPr>
          <w:rStyle w:val="ng-star-inserted1"/>
          <w:rFonts w:eastAsiaTheme="majorEastAsia"/>
          <w:b/>
          <w:bCs/>
          <w:color w:val="000000" w:themeColor="text1"/>
          <w:sz w:val="22"/>
          <w:szCs w:val="22"/>
          <w:lang w:val="en-US"/>
        </w:rPr>
      </w:pPr>
      <w:r w:rsidRPr="006F4D77">
        <w:rPr>
          <w:rStyle w:val="ng-star-inserted1"/>
          <w:rFonts w:eastAsiaTheme="majorEastAsia"/>
          <w:b/>
          <w:bCs/>
          <w:color w:val="000000" w:themeColor="text1"/>
          <w:sz w:val="22"/>
          <w:szCs w:val="22"/>
          <w:lang w:val="en-US"/>
        </w:rPr>
        <w:t xml:space="preserve">Table E.8. Supply Disruption bottleneck-isolation diagnostic </w:t>
      </w:r>
      <w:r w:rsidR="005E2831" w:rsidRPr="0038108D">
        <w:rPr>
          <w:rStyle w:val="ng-star-inserted1"/>
          <w:rFonts w:eastAsiaTheme="majorEastAsia"/>
          <w:b/>
          <w:bCs/>
          <w:color w:val="000000" w:themeColor="text1"/>
          <w:sz w:val="22"/>
          <w:szCs w:val="22"/>
          <w:lang w:val="en-US"/>
        </w:rPr>
        <w:t>(180d)</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993"/>
        <w:gridCol w:w="1984"/>
        <w:gridCol w:w="1701"/>
        <w:gridCol w:w="1559"/>
        <w:gridCol w:w="1276"/>
        <w:gridCol w:w="1276"/>
      </w:tblGrid>
      <w:tr w:rsidR="00F61BA8" w14:paraId="33A4F77F" w14:textId="77777777" w:rsidTr="00EE1D9F">
        <w:trPr>
          <w:jc w:val="center"/>
        </w:trPr>
        <w:tc>
          <w:tcPr>
            <w:tcW w:w="1134" w:type="dxa"/>
            <w:vAlign w:val="center"/>
          </w:tcPr>
          <w:p w14:paraId="26068171" w14:textId="77777777" w:rsidR="00F61BA8" w:rsidRPr="00F534AF" w:rsidRDefault="00000000" w:rsidP="00F534AF">
            <w:pPr>
              <w:jc w:val="center"/>
              <w:rPr>
                <w:rFonts w:cs="Times New Roman"/>
                <w:sz w:val="18"/>
                <w:szCs w:val="18"/>
              </w:rPr>
            </w:pPr>
            <w:r w:rsidRPr="00F534AF">
              <w:rPr>
                <w:rFonts w:cs="Times New Roman"/>
                <w:b/>
                <w:sz w:val="18"/>
                <w:szCs w:val="18"/>
              </w:rPr>
              <w:t>Variant</w:t>
            </w:r>
          </w:p>
        </w:tc>
        <w:tc>
          <w:tcPr>
            <w:tcW w:w="993" w:type="dxa"/>
            <w:vAlign w:val="center"/>
          </w:tcPr>
          <w:p w14:paraId="62A0A3F1" w14:textId="77777777" w:rsidR="00F61BA8" w:rsidRPr="00F534AF" w:rsidRDefault="00000000" w:rsidP="00F534AF">
            <w:pPr>
              <w:jc w:val="center"/>
              <w:rPr>
                <w:rFonts w:cs="Times New Roman"/>
                <w:sz w:val="18"/>
                <w:szCs w:val="18"/>
              </w:rPr>
            </w:pPr>
            <w:r w:rsidRPr="00F534AF">
              <w:rPr>
                <w:rFonts w:cs="Times New Roman"/>
                <w:b/>
                <w:sz w:val="18"/>
                <w:szCs w:val="18"/>
              </w:rPr>
              <w:t>Policy</w:t>
            </w:r>
          </w:p>
        </w:tc>
        <w:tc>
          <w:tcPr>
            <w:tcW w:w="1984" w:type="dxa"/>
            <w:vAlign w:val="center"/>
          </w:tcPr>
          <w:p w14:paraId="47BE30DD" w14:textId="77777777" w:rsidR="00F61BA8" w:rsidRPr="00F534AF" w:rsidRDefault="00000000" w:rsidP="00F534AF">
            <w:pPr>
              <w:jc w:val="center"/>
              <w:rPr>
                <w:rFonts w:cs="Times New Roman"/>
                <w:sz w:val="18"/>
                <w:szCs w:val="18"/>
              </w:rPr>
            </w:pPr>
            <w:r w:rsidRPr="00F534AF">
              <w:rPr>
                <w:rFonts w:cs="Times New Roman"/>
                <w:b/>
                <w:sz w:val="18"/>
                <w:szCs w:val="18"/>
              </w:rPr>
              <w:t xml:space="preserve">Total cost </w:t>
            </w:r>
          </w:p>
        </w:tc>
        <w:tc>
          <w:tcPr>
            <w:tcW w:w="1701" w:type="dxa"/>
            <w:vAlign w:val="center"/>
          </w:tcPr>
          <w:p w14:paraId="66655FBB" w14:textId="77777777" w:rsidR="00F61BA8" w:rsidRPr="00F534AF" w:rsidRDefault="00000000" w:rsidP="00F534AF">
            <w:pPr>
              <w:jc w:val="center"/>
              <w:rPr>
                <w:rFonts w:cs="Times New Roman"/>
                <w:sz w:val="18"/>
                <w:szCs w:val="18"/>
              </w:rPr>
            </w:pPr>
            <w:r w:rsidRPr="00F534AF">
              <w:rPr>
                <w:rFonts w:cs="Times New Roman"/>
                <w:b/>
                <w:sz w:val="18"/>
                <w:szCs w:val="18"/>
              </w:rPr>
              <w:t>Ordering cost</w:t>
            </w:r>
          </w:p>
        </w:tc>
        <w:tc>
          <w:tcPr>
            <w:tcW w:w="1559" w:type="dxa"/>
            <w:vAlign w:val="center"/>
          </w:tcPr>
          <w:p w14:paraId="5A1673C8" w14:textId="77777777" w:rsidR="00F61BA8" w:rsidRPr="00F534AF" w:rsidRDefault="00000000" w:rsidP="00F534AF">
            <w:pPr>
              <w:jc w:val="center"/>
              <w:rPr>
                <w:rFonts w:cs="Times New Roman"/>
                <w:sz w:val="18"/>
                <w:szCs w:val="18"/>
              </w:rPr>
            </w:pPr>
            <w:r w:rsidRPr="00F534AF">
              <w:rPr>
                <w:rFonts w:cs="Times New Roman"/>
                <w:b/>
                <w:sz w:val="18"/>
                <w:szCs w:val="18"/>
              </w:rPr>
              <w:t>Routing cost</w:t>
            </w:r>
          </w:p>
        </w:tc>
        <w:tc>
          <w:tcPr>
            <w:tcW w:w="1276" w:type="dxa"/>
            <w:vAlign w:val="center"/>
          </w:tcPr>
          <w:p w14:paraId="2A649A3F" w14:textId="77777777" w:rsidR="00F61BA8" w:rsidRPr="00F534AF" w:rsidRDefault="00000000" w:rsidP="00F534AF">
            <w:pPr>
              <w:jc w:val="center"/>
              <w:rPr>
                <w:rFonts w:cs="Times New Roman"/>
                <w:sz w:val="18"/>
                <w:szCs w:val="18"/>
              </w:rPr>
            </w:pPr>
            <w:r w:rsidRPr="00F534AF">
              <w:rPr>
                <w:rFonts w:cs="Times New Roman"/>
                <w:b/>
                <w:sz w:val="18"/>
                <w:szCs w:val="18"/>
              </w:rPr>
              <w:t>Fill rate</w:t>
            </w:r>
          </w:p>
        </w:tc>
        <w:tc>
          <w:tcPr>
            <w:tcW w:w="1276" w:type="dxa"/>
            <w:vAlign w:val="center"/>
          </w:tcPr>
          <w:p w14:paraId="707E2D83" w14:textId="77777777" w:rsidR="00F61BA8" w:rsidRPr="00F534AF" w:rsidRDefault="00000000" w:rsidP="00F534AF">
            <w:pPr>
              <w:jc w:val="center"/>
              <w:rPr>
                <w:rFonts w:cs="Times New Roman"/>
                <w:sz w:val="18"/>
                <w:szCs w:val="18"/>
              </w:rPr>
            </w:pPr>
            <w:r w:rsidRPr="00F534AF">
              <w:rPr>
                <w:rFonts w:cs="Times New Roman"/>
                <w:b/>
                <w:sz w:val="18"/>
                <w:szCs w:val="18"/>
              </w:rPr>
              <w:t xml:space="preserve">Stockout rate </w:t>
            </w:r>
          </w:p>
        </w:tc>
      </w:tr>
      <w:tr w:rsidR="00A5533F" w14:paraId="7D18B3B9" w14:textId="77777777" w:rsidTr="00EE1D9F">
        <w:trPr>
          <w:jc w:val="center"/>
        </w:trPr>
        <w:tc>
          <w:tcPr>
            <w:tcW w:w="1134" w:type="dxa"/>
            <w:vMerge w:val="restart"/>
            <w:vAlign w:val="center"/>
          </w:tcPr>
          <w:p w14:paraId="5AB7952F" w14:textId="77777777" w:rsidR="00A5533F" w:rsidRPr="00EE1D9F" w:rsidRDefault="00A5533F" w:rsidP="00F534AF">
            <w:pPr>
              <w:rPr>
                <w:rFonts w:cs="Times New Roman"/>
                <w:sz w:val="16"/>
                <w:szCs w:val="16"/>
              </w:rPr>
            </w:pPr>
            <w:r w:rsidRPr="00EE1D9F">
              <w:rPr>
                <w:rFonts w:cs="Times New Roman"/>
                <w:sz w:val="16"/>
                <w:szCs w:val="16"/>
              </w:rPr>
              <w:t>Baseline diagnostic</w:t>
            </w:r>
          </w:p>
        </w:tc>
        <w:tc>
          <w:tcPr>
            <w:tcW w:w="993" w:type="dxa"/>
            <w:vAlign w:val="center"/>
          </w:tcPr>
          <w:p w14:paraId="4FE301F1" w14:textId="77777777" w:rsidR="00A5533F" w:rsidRPr="00EE1D9F" w:rsidRDefault="00A5533F" w:rsidP="00F534AF">
            <w:pPr>
              <w:jc w:val="center"/>
              <w:rPr>
                <w:rFonts w:cs="Times New Roman"/>
                <w:sz w:val="16"/>
                <w:szCs w:val="16"/>
              </w:rPr>
            </w:pPr>
            <w:r w:rsidRPr="00EE1D9F">
              <w:rPr>
                <w:rFonts w:cs="Times New Roman"/>
                <w:sz w:val="16"/>
                <w:szCs w:val="16"/>
              </w:rPr>
              <w:t>Dynamic + Forecast</w:t>
            </w:r>
          </w:p>
        </w:tc>
        <w:tc>
          <w:tcPr>
            <w:tcW w:w="1984" w:type="dxa"/>
            <w:vAlign w:val="center"/>
          </w:tcPr>
          <w:p w14:paraId="52CE5A88" w14:textId="77777777" w:rsidR="00A5533F" w:rsidRPr="00F534AF" w:rsidRDefault="00A5533F" w:rsidP="00F534AF">
            <w:pPr>
              <w:jc w:val="center"/>
              <w:rPr>
                <w:rFonts w:cs="Times New Roman"/>
                <w:sz w:val="16"/>
                <w:szCs w:val="16"/>
              </w:rPr>
            </w:pPr>
            <w:r w:rsidRPr="00F534AF">
              <w:rPr>
                <w:rFonts w:cs="Times New Roman"/>
                <w:sz w:val="16"/>
                <w:szCs w:val="16"/>
              </w:rPr>
              <w:t>23,651,225</w:t>
            </w:r>
            <w:r w:rsidRPr="00F534AF">
              <w:rPr>
                <w:rFonts w:cs="Times New Roman"/>
                <w:sz w:val="16"/>
                <w:szCs w:val="16"/>
              </w:rPr>
              <w:br/>
              <w:t>[22,985,171; 24,367,153]</w:t>
            </w:r>
          </w:p>
        </w:tc>
        <w:tc>
          <w:tcPr>
            <w:tcW w:w="1701" w:type="dxa"/>
            <w:vAlign w:val="center"/>
          </w:tcPr>
          <w:p w14:paraId="51740765" w14:textId="77777777" w:rsidR="00A5533F" w:rsidRPr="00F534AF" w:rsidRDefault="00A5533F" w:rsidP="00F534AF">
            <w:pPr>
              <w:jc w:val="center"/>
              <w:rPr>
                <w:rFonts w:cs="Times New Roman"/>
                <w:sz w:val="16"/>
                <w:szCs w:val="16"/>
              </w:rPr>
            </w:pPr>
            <w:r w:rsidRPr="00F534AF">
              <w:rPr>
                <w:rFonts w:cs="Times New Roman"/>
                <w:sz w:val="16"/>
                <w:szCs w:val="16"/>
              </w:rPr>
              <w:t>993,808</w:t>
            </w:r>
            <w:r w:rsidRPr="00F534AF">
              <w:rPr>
                <w:rFonts w:cs="Times New Roman"/>
                <w:sz w:val="16"/>
                <w:szCs w:val="16"/>
              </w:rPr>
              <w:br/>
              <w:t>[970,516; 1,019,517]</w:t>
            </w:r>
          </w:p>
        </w:tc>
        <w:tc>
          <w:tcPr>
            <w:tcW w:w="1559" w:type="dxa"/>
            <w:vAlign w:val="center"/>
          </w:tcPr>
          <w:p w14:paraId="6B4C8E6C" w14:textId="77777777" w:rsidR="00A5533F" w:rsidRPr="00F534AF" w:rsidRDefault="00A5533F" w:rsidP="00F534AF">
            <w:pPr>
              <w:jc w:val="center"/>
              <w:rPr>
                <w:rFonts w:cs="Times New Roman"/>
                <w:sz w:val="16"/>
                <w:szCs w:val="16"/>
              </w:rPr>
            </w:pPr>
            <w:r w:rsidRPr="00F534AF">
              <w:rPr>
                <w:rFonts w:cs="Times New Roman"/>
                <w:sz w:val="16"/>
                <w:szCs w:val="16"/>
              </w:rPr>
              <w:t>178,261</w:t>
            </w:r>
            <w:r w:rsidRPr="00F534AF">
              <w:rPr>
                <w:rFonts w:cs="Times New Roman"/>
                <w:sz w:val="16"/>
                <w:szCs w:val="16"/>
              </w:rPr>
              <w:br/>
              <w:t>[173,692; 182,923]</w:t>
            </w:r>
          </w:p>
        </w:tc>
        <w:tc>
          <w:tcPr>
            <w:tcW w:w="1276" w:type="dxa"/>
            <w:vAlign w:val="center"/>
          </w:tcPr>
          <w:p w14:paraId="7300B22D" w14:textId="77777777" w:rsidR="00A5533F" w:rsidRPr="00F534AF" w:rsidRDefault="00A5533F" w:rsidP="00F534AF">
            <w:pPr>
              <w:jc w:val="center"/>
              <w:rPr>
                <w:rFonts w:cs="Times New Roman"/>
                <w:sz w:val="16"/>
                <w:szCs w:val="16"/>
              </w:rPr>
            </w:pPr>
            <w:r w:rsidRPr="00F534AF">
              <w:rPr>
                <w:rFonts w:cs="Times New Roman"/>
                <w:sz w:val="16"/>
                <w:szCs w:val="16"/>
              </w:rPr>
              <w:t>75.4%</w:t>
            </w:r>
            <w:r w:rsidRPr="00F534AF">
              <w:rPr>
                <w:rFonts w:cs="Times New Roman"/>
                <w:sz w:val="16"/>
                <w:szCs w:val="16"/>
              </w:rPr>
              <w:br/>
              <w:t>[75.0%; 75.8%]</w:t>
            </w:r>
          </w:p>
        </w:tc>
        <w:tc>
          <w:tcPr>
            <w:tcW w:w="1276" w:type="dxa"/>
            <w:vAlign w:val="center"/>
          </w:tcPr>
          <w:p w14:paraId="7CC06CBE" w14:textId="77777777" w:rsidR="00A5533F" w:rsidRPr="00F534AF" w:rsidRDefault="00A5533F" w:rsidP="00F534AF">
            <w:pPr>
              <w:jc w:val="center"/>
              <w:rPr>
                <w:rFonts w:cs="Times New Roman"/>
                <w:sz w:val="16"/>
                <w:szCs w:val="16"/>
              </w:rPr>
            </w:pPr>
            <w:r w:rsidRPr="00F534AF">
              <w:rPr>
                <w:rFonts w:cs="Times New Roman"/>
                <w:sz w:val="16"/>
                <w:szCs w:val="16"/>
              </w:rPr>
              <w:t>24.6%</w:t>
            </w:r>
            <w:r w:rsidRPr="00F534AF">
              <w:rPr>
                <w:rFonts w:cs="Times New Roman"/>
                <w:sz w:val="16"/>
                <w:szCs w:val="16"/>
              </w:rPr>
              <w:br/>
              <w:t>[24.2%; 25.0%]</w:t>
            </w:r>
          </w:p>
        </w:tc>
      </w:tr>
      <w:tr w:rsidR="00A5533F" w14:paraId="598A2705" w14:textId="77777777" w:rsidTr="00EE1D9F">
        <w:trPr>
          <w:jc w:val="center"/>
        </w:trPr>
        <w:tc>
          <w:tcPr>
            <w:tcW w:w="1134" w:type="dxa"/>
            <w:vMerge/>
            <w:vAlign w:val="center"/>
          </w:tcPr>
          <w:p w14:paraId="37B3C668" w14:textId="77777777" w:rsidR="00A5533F" w:rsidRPr="00EE1D9F" w:rsidRDefault="00A5533F" w:rsidP="00F534AF">
            <w:pPr>
              <w:rPr>
                <w:rFonts w:cs="Times New Roman"/>
                <w:sz w:val="16"/>
                <w:szCs w:val="16"/>
              </w:rPr>
            </w:pPr>
          </w:p>
        </w:tc>
        <w:tc>
          <w:tcPr>
            <w:tcW w:w="993" w:type="dxa"/>
            <w:vAlign w:val="center"/>
          </w:tcPr>
          <w:p w14:paraId="06CF438D" w14:textId="77777777" w:rsidR="00A5533F" w:rsidRPr="00EE1D9F" w:rsidRDefault="00A5533F" w:rsidP="00F534AF">
            <w:pPr>
              <w:jc w:val="center"/>
              <w:rPr>
                <w:rFonts w:cs="Times New Roman"/>
                <w:sz w:val="16"/>
                <w:szCs w:val="16"/>
              </w:rPr>
            </w:pPr>
            <w:r w:rsidRPr="00EE1D9F">
              <w:rPr>
                <w:rFonts w:cs="Times New Roman"/>
                <w:sz w:val="16"/>
                <w:szCs w:val="16"/>
              </w:rPr>
              <w:t>Base-stock</w:t>
            </w:r>
          </w:p>
        </w:tc>
        <w:tc>
          <w:tcPr>
            <w:tcW w:w="1984" w:type="dxa"/>
            <w:vAlign w:val="center"/>
          </w:tcPr>
          <w:p w14:paraId="585F1B70" w14:textId="77777777" w:rsidR="00A5533F" w:rsidRPr="00F534AF" w:rsidRDefault="00A5533F" w:rsidP="00F534AF">
            <w:pPr>
              <w:jc w:val="center"/>
              <w:rPr>
                <w:rFonts w:cs="Times New Roman"/>
                <w:sz w:val="16"/>
                <w:szCs w:val="16"/>
              </w:rPr>
            </w:pPr>
            <w:r w:rsidRPr="00F534AF">
              <w:rPr>
                <w:rFonts w:cs="Times New Roman"/>
                <w:sz w:val="16"/>
                <w:szCs w:val="16"/>
              </w:rPr>
              <w:t>23,559,000</w:t>
            </w:r>
            <w:r w:rsidRPr="00F534AF">
              <w:rPr>
                <w:rFonts w:cs="Times New Roman"/>
                <w:sz w:val="16"/>
                <w:szCs w:val="16"/>
              </w:rPr>
              <w:br/>
              <w:t>[22,890,317; 24,237,406]</w:t>
            </w:r>
          </w:p>
        </w:tc>
        <w:tc>
          <w:tcPr>
            <w:tcW w:w="1701" w:type="dxa"/>
            <w:vAlign w:val="center"/>
          </w:tcPr>
          <w:p w14:paraId="53AC7FC3" w14:textId="77777777" w:rsidR="00A5533F" w:rsidRPr="00F534AF" w:rsidRDefault="00A5533F" w:rsidP="00F534AF">
            <w:pPr>
              <w:jc w:val="center"/>
              <w:rPr>
                <w:rFonts w:cs="Times New Roman"/>
                <w:sz w:val="16"/>
                <w:szCs w:val="16"/>
              </w:rPr>
            </w:pPr>
            <w:r w:rsidRPr="00F534AF">
              <w:rPr>
                <w:rFonts w:cs="Times New Roman"/>
                <w:sz w:val="16"/>
                <w:szCs w:val="16"/>
              </w:rPr>
              <w:t>987,750</w:t>
            </w:r>
            <w:r w:rsidRPr="00F534AF">
              <w:rPr>
                <w:rFonts w:cs="Times New Roman"/>
                <w:sz w:val="16"/>
                <w:szCs w:val="16"/>
              </w:rPr>
              <w:br/>
              <w:t>[964,540; 1,011,761]</w:t>
            </w:r>
          </w:p>
        </w:tc>
        <w:tc>
          <w:tcPr>
            <w:tcW w:w="1559" w:type="dxa"/>
            <w:vAlign w:val="center"/>
          </w:tcPr>
          <w:p w14:paraId="1BAE4125" w14:textId="77777777" w:rsidR="00A5533F" w:rsidRPr="00F534AF" w:rsidRDefault="00A5533F" w:rsidP="00F534AF">
            <w:pPr>
              <w:jc w:val="center"/>
              <w:rPr>
                <w:rFonts w:cs="Times New Roman"/>
                <w:sz w:val="16"/>
                <w:szCs w:val="16"/>
              </w:rPr>
            </w:pPr>
            <w:r w:rsidRPr="00F534AF">
              <w:rPr>
                <w:rFonts w:cs="Times New Roman"/>
                <w:sz w:val="16"/>
                <w:szCs w:val="16"/>
              </w:rPr>
              <w:t>176,593</w:t>
            </w:r>
            <w:r w:rsidRPr="00F534AF">
              <w:rPr>
                <w:rFonts w:cs="Times New Roman"/>
                <w:sz w:val="16"/>
                <w:szCs w:val="16"/>
              </w:rPr>
              <w:br/>
              <w:t>[171,980; 180,910]</w:t>
            </w:r>
          </w:p>
        </w:tc>
        <w:tc>
          <w:tcPr>
            <w:tcW w:w="1276" w:type="dxa"/>
            <w:vAlign w:val="center"/>
          </w:tcPr>
          <w:p w14:paraId="0705F21A" w14:textId="77777777" w:rsidR="00A5533F" w:rsidRPr="00F534AF" w:rsidRDefault="00A5533F" w:rsidP="00F534AF">
            <w:pPr>
              <w:jc w:val="center"/>
              <w:rPr>
                <w:rFonts w:cs="Times New Roman"/>
                <w:sz w:val="16"/>
                <w:szCs w:val="16"/>
              </w:rPr>
            </w:pPr>
            <w:r w:rsidRPr="00F534AF">
              <w:rPr>
                <w:rFonts w:cs="Times New Roman"/>
                <w:sz w:val="16"/>
                <w:szCs w:val="16"/>
              </w:rPr>
              <w:t>75.5%</w:t>
            </w:r>
            <w:r w:rsidRPr="00F534AF">
              <w:rPr>
                <w:rFonts w:cs="Times New Roman"/>
                <w:sz w:val="16"/>
                <w:szCs w:val="16"/>
              </w:rPr>
              <w:br/>
              <w:t>[75.0%; 75.9%]</w:t>
            </w:r>
          </w:p>
        </w:tc>
        <w:tc>
          <w:tcPr>
            <w:tcW w:w="1276" w:type="dxa"/>
            <w:vAlign w:val="center"/>
          </w:tcPr>
          <w:p w14:paraId="0A2571C4" w14:textId="77777777" w:rsidR="00A5533F" w:rsidRPr="00F534AF" w:rsidRDefault="00A5533F" w:rsidP="00F534AF">
            <w:pPr>
              <w:jc w:val="center"/>
              <w:rPr>
                <w:rFonts w:cs="Times New Roman"/>
                <w:sz w:val="16"/>
                <w:szCs w:val="16"/>
              </w:rPr>
            </w:pPr>
            <w:r w:rsidRPr="00F534AF">
              <w:rPr>
                <w:rFonts w:cs="Times New Roman"/>
                <w:sz w:val="16"/>
                <w:szCs w:val="16"/>
              </w:rPr>
              <w:t>24.4%</w:t>
            </w:r>
            <w:r w:rsidRPr="00F534AF">
              <w:rPr>
                <w:rFonts w:cs="Times New Roman"/>
                <w:sz w:val="16"/>
                <w:szCs w:val="16"/>
              </w:rPr>
              <w:br/>
              <w:t>[24.1%; 24.8%]</w:t>
            </w:r>
          </w:p>
        </w:tc>
      </w:tr>
      <w:tr w:rsidR="00A5533F" w14:paraId="31B1790B" w14:textId="77777777" w:rsidTr="00EE1D9F">
        <w:trPr>
          <w:jc w:val="center"/>
        </w:trPr>
        <w:tc>
          <w:tcPr>
            <w:tcW w:w="1134" w:type="dxa"/>
            <w:vMerge/>
            <w:vAlign w:val="center"/>
          </w:tcPr>
          <w:p w14:paraId="2407DB36" w14:textId="77777777" w:rsidR="00A5533F" w:rsidRPr="00EE1D9F" w:rsidRDefault="00A5533F" w:rsidP="00F534AF">
            <w:pPr>
              <w:rPr>
                <w:rFonts w:cs="Times New Roman"/>
                <w:sz w:val="16"/>
                <w:szCs w:val="16"/>
              </w:rPr>
            </w:pPr>
          </w:p>
        </w:tc>
        <w:tc>
          <w:tcPr>
            <w:tcW w:w="993" w:type="dxa"/>
            <w:vAlign w:val="center"/>
          </w:tcPr>
          <w:p w14:paraId="5C716BC6" w14:textId="77777777" w:rsidR="00A5533F" w:rsidRPr="00EE1D9F" w:rsidRDefault="00A5533F" w:rsidP="00F534AF">
            <w:pPr>
              <w:jc w:val="center"/>
              <w:rPr>
                <w:rFonts w:cs="Times New Roman"/>
                <w:sz w:val="16"/>
                <w:szCs w:val="16"/>
              </w:rPr>
            </w:pPr>
            <w:r w:rsidRPr="00EE1D9F">
              <w:rPr>
                <w:rFonts w:cs="Times New Roman"/>
                <w:sz w:val="16"/>
                <w:szCs w:val="16"/>
              </w:rPr>
              <w:t>Hybrid AI</w:t>
            </w:r>
          </w:p>
        </w:tc>
        <w:tc>
          <w:tcPr>
            <w:tcW w:w="1984" w:type="dxa"/>
            <w:vAlign w:val="center"/>
          </w:tcPr>
          <w:p w14:paraId="06407DE0" w14:textId="77777777" w:rsidR="00A5533F" w:rsidRPr="00F534AF" w:rsidRDefault="00A5533F" w:rsidP="00F534AF">
            <w:pPr>
              <w:jc w:val="center"/>
              <w:rPr>
                <w:rFonts w:cs="Times New Roman"/>
                <w:sz w:val="16"/>
                <w:szCs w:val="16"/>
              </w:rPr>
            </w:pPr>
            <w:r w:rsidRPr="00F534AF">
              <w:rPr>
                <w:rFonts w:cs="Times New Roman"/>
                <w:sz w:val="16"/>
                <w:szCs w:val="16"/>
              </w:rPr>
              <w:t>12,785,152</w:t>
            </w:r>
            <w:r w:rsidRPr="00F534AF">
              <w:rPr>
                <w:rFonts w:cs="Times New Roman"/>
                <w:sz w:val="16"/>
                <w:szCs w:val="16"/>
              </w:rPr>
              <w:br/>
              <w:t>[12,193,929; 13,404,870]</w:t>
            </w:r>
          </w:p>
        </w:tc>
        <w:tc>
          <w:tcPr>
            <w:tcW w:w="1701" w:type="dxa"/>
            <w:vAlign w:val="center"/>
          </w:tcPr>
          <w:p w14:paraId="73299FE9" w14:textId="77777777" w:rsidR="00A5533F" w:rsidRPr="00F534AF" w:rsidRDefault="00A5533F" w:rsidP="00F534AF">
            <w:pPr>
              <w:jc w:val="center"/>
              <w:rPr>
                <w:rFonts w:cs="Times New Roman"/>
                <w:sz w:val="16"/>
                <w:szCs w:val="16"/>
              </w:rPr>
            </w:pPr>
            <w:r w:rsidRPr="00F534AF">
              <w:rPr>
                <w:rFonts w:cs="Times New Roman"/>
                <w:sz w:val="16"/>
                <w:szCs w:val="16"/>
              </w:rPr>
              <w:t>195,115</w:t>
            </w:r>
            <w:r w:rsidRPr="00F534AF">
              <w:rPr>
                <w:rFonts w:cs="Times New Roman"/>
                <w:sz w:val="16"/>
                <w:szCs w:val="16"/>
              </w:rPr>
              <w:br/>
              <w:t>[172,740; 220,299]</w:t>
            </w:r>
          </w:p>
        </w:tc>
        <w:tc>
          <w:tcPr>
            <w:tcW w:w="1559" w:type="dxa"/>
            <w:vAlign w:val="center"/>
          </w:tcPr>
          <w:p w14:paraId="1EE8ADED" w14:textId="77777777" w:rsidR="00A5533F" w:rsidRPr="00F534AF" w:rsidRDefault="00A5533F" w:rsidP="00F534AF">
            <w:pPr>
              <w:jc w:val="center"/>
              <w:rPr>
                <w:rFonts w:cs="Times New Roman"/>
                <w:sz w:val="16"/>
                <w:szCs w:val="16"/>
              </w:rPr>
            </w:pPr>
            <w:r w:rsidRPr="00F534AF">
              <w:rPr>
                <w:rFonts w:cs="Times New Roman"/>
                <w:sz w:val="16"/>
                <w:szCs w:val="16"/>
              </w:rPr>
              <w:t>36,966</w:t>
            </w:r>
            <w:r w:rsidRPr="00F534AF">
              <w:rPr>
                <w:rFonts w:cs="Times New Roman"/>
                <w:sz w:val="16"/>
                <w:szCs w:val="16"/>
              </w:rPr>
              <w:br/>
              <w:t>[32,687; 41,585]</w:t>
            </w:r>
          </w:p>
        </w:tc>
        <w:tc>
          <w:tcPr>
            <w:tcW w:w="1276" w:type="dxa"/>
            <w:vAlign w:val="center"/>
          </w:tcPr>
          <w:p w14:paraId="5F650F5F" w14:textId="77777777" w:rsidR="00A5533F" w:rsidRPr="00F534AF" w:rsidRDefault="00A5533F" w:rsidP="00F534AF">
            <w:pPr>
              <w:jc w:val="center"/>
              <w:rPr>
                <w:rFonts w:cs="Times New Roman"/>
                <w:sz w:val="16"/>
                <w:szCs w:val="16"/>
              </w:rPr>
            </w:pPr>
            <w:r w:rsidRPr="00F534AF">
              <w:rPr>
                <w:rFonts w:cs="Times New Roman"/>
                <w:sz w:val="16"/>
                <w:szCs w:val="16"/>
              </w:rPr>
              <w:t>73.7%</w:t>
            </w:r>
            <w:r w:rsidRPr="00F534AF">
              <w:rPr>
                <w:rFonts w:cs="Times New Roman"/>
                <w:sz w:val="16"/>
                <w:szCs w:val="16"/>
              </w:rPr>
              <w:br/>
              <w:t>[72.8%; 74.7%]</w:t>
            </w:r>
          </w:p>
        </w:tc>
        <w:tc>
          <w:tcPr>
            <w:tcW w:w="1276" w:type="dxa"/>
            <w:vAlign w:val="center"/>
          </w:tcPr>
          <w:p w14:paraId="430BAB25" w14:textId="77777777" w:rsidR="00A5533F" w:rsidRPr="00F534AF" w:rsidRDefault="00A5533F" w:rsidP="00F534AF">
            <w:pPr>
              <w:jc w:val="center"/>
              <w:rPr>
                <w:rFonts w:cs="Times New Roman"/>
                <w:sz w:val="16"/>
                <w:szCs w:val="16"/>
              </w:rPr>
            </w:pPr>
            <w:r w:rsidRPr="00F534AF">
              <w:rPr>
                <w:rFonts w:cs="Times New Roman"/>
                <w:sz w:val="16"/>
                <w:szCs w:val="16"/>
              </w:rPr>
              <w:t>26.2%</w:t>
            </w:r>
            <w:r w:rsidRPr="00F534AF">
              <w:rPr>
                <w:rFonts w:cs="Times New Roman"/>
                <w:sz w:val="16"/>
                <w:szCs w:val="16"/>
              </w:rPr>
              <w:br/>
              <w:t>[25.3%; 27.2%]</w:t>
            </w:r>
          </w:p>
        </w:tc>
      </w:tr>
      <w:tr w:rsidR="00A5533F" w14:paraId="619E7EE5" w14:textId="77777777" w:rsidTr="00EE1D9F">
        <w:trPr>
          <w:jc w:val="center"/>
        </w:trPr>
        <w:tc>
          <w:tcPr>
            <w:tcW w:w="1134" w:type="dxa"/>
            <w:vMerge w:val="restart"/>
            <w:vAlign w:val="center"/>
          </w:tcPr>
          <w:p w14:paraId="007D633B" w14:textId="77777777" w:rsidR="00A5533F" w:rsidRPr="00EE1D9F" w:rsidRDefault="00A5533F" w:rsidP="00F534AF">
            <w:pPr>
              <w:rPr>
                <w:rFonts w:cs="Times New Roman"/>
                <w:sz w:val="16"/>
                <w:szCs w:val="16"/>
              </w:rPr>
            </w:pPr>
            <w:r w:rsidRPr="00EE1D9F">
              <w:rPr>
                <w:rFonts w:cs="Times New Roman"/>
                <w:sz w:val="16"/>
                <w:szCs w:val="16"/>
              </w:rPr>
              <w:t>No-bonus ablation</w:t>
            </w:r>
          </w:p>
        </w:tc>
        <w:tc>
          <w:tcPr>
            <w:tcW w:w="993" w:type="dxa"/>
            <w:vAlign w:val="center"/>
          </w:tcPr>
          <w:p w14:paraId="655485CE" w14:textId="77777777" w:rsidR="00A5533F" w:rsidRPr="00EE1D9F" w:rsidRDefault="00A5533F" w:rsidP="00F534AF">
            <w:pPr>
              <w:jc w:val="center"/>
              <w:rPr>
                <w:rFonts w:cs="Times New Roman"/>
                <w:sz w:val="16"/>
                <w:szCs w:val="16"/>
              </w:rPr>
            </w:pPr>
            <w:r w:rsidRPr="00EE1D9F">
              <w:rPr>
                <w:rFonts w:cs="Times New Roman"/>
                <w:sz w:val="16"/>
                <w:szCs w:val="16"/>
              </w:rPr>
              <w:t>Dynamic + Forecast</w:t>
            </w:r>
          </w:p>
        </w:tc>
        <w:tc>
          <w:tcPr>
            <w:tcW w:w="1984" w:type="dxa"/>
            <w:vAlign w:val="center"/>
          </w:tcPr>
          <w:p w14:paraId="769E1297" w14:textId="77777777" w:rsidR="00A5533F" w:rsidRPr="00F534AF" w:rsidRDefault="00A5533F" w:rsidP="00F534AF">
            <w:pPr>
              <w:jc w:val="center"/>
              <w:rPr>
                <w:rFonts w:cs="Times New Roman"/>
                <w:sz w:val="16"/>
                <w:szCs w:val="16"/>
              </w:rPr>
            </w:pPr>
            <w:r w:rsidRPr="00F534AF">
              <w:rPr>
                <w:rFonts w:cs="Times New Roman"/>
                <w:sz w:val="16"/>
                <w:szCs w:val="16"/>
              </w:rPr>
              <w:t>23,660,775</w:t>
            </w:r>
            <w:r w:rsidRPr="00F534AF">
              <w:rPr>
                <w:rFonts w:cs="Times New Roman"/>
                <w:sz w:val="16"/>
                <w:szCs w:val="16"/>
              </w:rPr>
              <w:br/>
              <w:t>[22,923,469; 24,437,251]</w:t>
            </w:r>
          </w:p>
        </w:tc>
        <w:tc>
          <w:tcPr>
            <w:tcW w:w="1701" w:type="dxa"/>
            <w:vAlign w:val="center"/>
          </w:tcPr>
          <w:p w14:paraId="293C1F98" w14:textId="77777777" w:rsidR="00A5533F" w:rsidRPr="00F534AF" w:rsidRDefault="00A5533F" w:rsidP="00F534AF">
            <w:pPr>
              <w:jc w:val="center"/>
              <w:rPr>
                <w:rFonts w:cs="Times New Roman"/>
                <w:sz w:val="16"/>
                <w:szCs w:val="16"/>
              </w:rPr>
            </w:pPr>
            <w:r w:rsidRPr="00F534AF">
              <w:rPr>
                <w:rFonts w:cs="Times New Roman"/>
                <w:sz w:val="16"/>
                <w:szCs w:val="16"/>
              </w:rPr>
              <w:t>994,545</w:t>
            </w:r>
            <w:r w:rsidRPr="00F534AF">
              <w:rPr>
                <w:rFonts w:cs="Times New Roman"/>
                <w:sz w:val="16"/>
                <w:szCs w:val="16"/>
              </w:rPr>
              <w:br/>
              <w:t>[970,339; 1,017,655]</w:t>
            </w:r>
          </w:p>
        </w:tc>
        <w:tc>
          <w:tcPr>
            <w:tcW w:w="1559" w:type="dxa"/>
            <w:vAlign w:val="center"/>
          </w:tcPr>
          <w:p w14:paraId="0294E410" w14:textId="77777777" w:rsidR="00A5533F" w:rsidRPr="00F534AF" w:rsidRDefault="00A5533F" w:rsidP="00F534AF">
            <w:pPr>
              <w:jc w:val="center"/>
              <w:rPr>
                <w:rFonts w:cs="Times New Roman"/>
                <w:sz w:val="16"/>
                <w:szCs w:val="16"/>
              </w:rPr>
            </w:pPr>
            <w:r w:rsidRPr="00F534AF">
              <w:rPr>
                <w:rFonts w:cs="Times New Roman"/>
                <w:sz w:val="16"/>
                <w:szCs w:val="16"/>
              </w:rPr>
              <w:t>178,317</w:t>
            </w:r>
            <w:r w:rsidRPr="00F534AF">
              <w:rPr>
                <w:rFonts w:cs="Times New Roman"/>
                <w:sz w:val="16"/>
                <w:szCs w:val="16"/>
              </w:rPr>
              <w:br/>
              <w:t>[173,672; 182,747]</w:t>
            </w:r>
          </w:p>
        </w:tc>
        <w:tc>
          <w:tcPr>
            <w:tcW w:w="1276" w:type="dxa"/>
            <w:vAlign w:val="center"/>
          </w:tcPr>
          <w:p w14:paraId="24FDE51F" w14:textId="77777777" w:rsidR="00A5533F" w:rsidRPr="00F534AF" w:rsidRDefault="00A5533F" w:rsidP="00F534AF">
            <w:pPr>
              <w:jc w:val="center"/>
              <w:rPr>
                <w:rFonts w:cs="Times New Roman"/>
                <w:sz w:val="16"/>
                <w:szCs w:val="16"/>
              </w:rPr>
            </w:pPr>
            <w:r w:rsidRPr="00F534AF">
              <w:rPr>
                <w:rFonts w:cs="Times New Roman"/>
                <w:sz w:val="16"/>
                <w:szCs w:val="16"/>
              </w:rPr>
              <w:t>75.4%</w:t>
            </w:r>
            <w:r w:rsidRPr="00F534AF">
              <w:rPr>
                <w:rFonts w:cs="Times New Roman"/>
                <w:sz w:val="16"/>
                <w:szCs w:val="16"/>
              </w:rPr>
              <w:br/>
              <w:t>[74.9%; 75.8%]</w:t>
            </w:r>
          </w:p>
        </w:tc>
        <w:tc>
          <w:tcPr>
            <w:tcW w:w="1276" w:type="dxa"/>
            <w:vAlign w:val="center"/>
          </w:tcPr>
          <w:p w14:paraId="3B4BAFA7" w14:textId="77777777" w:rsidR="00A5533F" w:rsidRPr="00F534AF" w:rsidRDefault="00A5533F" w:rsidP="00F534AF">
            <w:pPr>
              <w:jc w:val="center"/>
              <w:rPr>
                <w:rFonts w:cs="Times New Roman"/>
                <w:sz w:val="16"/>
                <w:szCs w:val="16"/>
              </w:rPr>
            </w:pPr>
            <w:r w:rsidRPr="00F534AF">
              <w:rPr>
                <w:rFonts w:cs="Times New Roman"/>
                <w:sz w:val="16"/>
                <w:szCs w:val="16"/>
              </w:rPr>
              <w:t>24.6%</w:t>
            </w:r>
            <w:r w:rsidRPr="00F534AF">
              <w:rPr>
                <w:rFonts w:cs="Times New Roman"/>
                <w:sz w:val="16"/>
                <w:szCs w:val="16"/>
              </w:rPr>
              <w:br/>
              <w:t>[24.2%; 24.9%]</w:t>
            </w:r>
          </w:p>
        </w:tc>
      </w:tr>
      <w:tr w:rsidR="00A5533F" w14:paraId="61818A73" w14:textId="77777777" w:rsidTr="00EE1D9F">
        <w:trPr>
          <w:jc w:val="center"/>
        </w:trPr>
        <w:tc>
          <w:tcPr>
            <w:tcW w:w="1134" w:type="dxa"/>
            <w:vMerge/>
            <w:vAlign w:val="center"/>
          </w:tcPr>
          <w:p w14:paraId="1877003E" w14:textId="77777777" w:rsidR="00A5533F" w:rsidRPr="00EE1D9F" w:rsidRDefault="00A5533F" w:rsidP="00F534AF">
            <w:pPr>
              <w:rPr>
                <w:rFonts w:cs="Times New Roman"/>
                <w:sz w:val="16"/>
                <w:szCs w:val="16"/>
              </w:rPr>
            </w:pPr>
          </w:p>
        </w:tc>
        <w:tc>
          <w:tcPr>
            <w:tcW w:w="993" w:type="dxa"/>
            <w:vAlign w:val="center"/>
          </w:tcPr>
          <w:p w14:paraId="28511754" w14:textId="77777777" w:rsidR="00A5533F" w:rsidRPr="00EE1D9F" w:rsidRDefault="00A5533F" w:rsidP="00F534AF">
            <w:pPr>
              <w:jc w:val="center"/>
              <w:rPr>
                <w:rFonts w:cs="Times New Roman"/>
                <w:sz w:val="16"/>
                <w:szCs w:val="16"/>
              </w:rPr>
            </w:pPr>
            <w:r w:rsidRPr="00EE1D9F">
              <w:rPr>
                <w:rFonts w:cs="Times New Roman"/>
                <w:sz w:val="16"/>
                <w:szCs w:val="16"/>
              </w:rPr>
              <w:t>Base-stock</w:t>
            </w:r>
          </w:p>
        </w:tc>
        <w:tc>
          <w:tcPr>
            <w:tcW w:w="1984" w:type="dxa"/>
            <w:vAlign w:val="center"/>
          </w:tcPr>
          <w:p w14:paraId="49F8ABF6" w14:textId="77777777" w:rsidR="00A5533F" w:rsidRPr="00F534AF" w:rsidRDefault="00A5533F" w:rsidP="00F534AF">
            <w:pPr>
              <w:jc w:val="center"/>
              <w:rPr>
                <w:rFonts w:cs="Times New Roman"/>
                <w:sz w:val="16"/>
                <w:szCs w:val="16"/>
              </w:rPr>
            </w:pPr>
            <w:r w:rsidRPr="00F534AF">
              <w:rPr>
                <w:rFonts w:cs="Times New Roman"/>
                <w:sz w:val="16"/>
                <w:szCs w:val="16"/>
              </w:rPr>
              <w:t>23,616,735</w:t>
            </w:r>
            <w:r w:rsidRPr="00F534AF">
              <w:rPr>
                <w:rFonts w:cs="Times New Roman"/>
                <w:sz w:val="16"/>
                <w:szCs w:val="16"/>
              </w:rPr>
              <w:br/>
              <w:t>[22,998,590; 24,263,143]</w:t>
            </w:r>
          </w:p>
        </w:tc>
        <w:tc>
          <w:tcPr>
            <w:tcW w:w="1701" w:type="dxa"/>
            <w:vAlign w:val="center"/>
          </w:tcPr>
          <w:p w14:paraId="63E9C9EB" w14:textId="77777777" w:rsidR="00A5533F" w:rsidRPr="00F534AF" w:rsidRDefault="00A5533F" w:rsidP="00F534AF">
            <w:pPr>
              <w:jc w:val="center"/>
              <w:rPr>
                <w:rFonts w:cs="Times New Roman"/>
                <w:sz w:val="16"/>
                <w:szCs w:val="16"/>
              </w:rPr>
            </w:pPr>
            <w:r w:rsidRPr="00F534AF">
              <w:rPr>
                <w:rFonts w:cs="Times New Roman"/>
                <w:sz w:val="16"/>
                <w:szCs w:val="16"/>
              </w:rPr>
              <w:t>989,593</w:t>
            </w:r>
            <w:r w:rsidRPr="00F534AF">
              <w:rPr>
                <w:rFonts w:cs="Times New Roman"/>
                <w:sz w:val="16"/>
                <w:szCs w:val="16"/>
              </w:rPr>
              <w:br/>
              <w:t>[967,315; 1,010,341]</w:t>
            </w:r>
          </w:p>
        </w:tc>
        <w:tc>
          <w:tcPr>
            <w:tcW w:w="1559" w:type="dxa"/>
            <w:vAlign w:val="center"/>
          </w:tcPr>
          <w:p w14:paraId="1AF41623" w14:textId="77777777" w:rsidR="00A5533F" w:rsidRPr="00F534AF" w:rsidRDefault="00A5533F" w:rsidP="00F534AF">
            <w:pPr>
              <w:jc w:val="center"/>
              <w:rPr>
                <w:rFonts w:cs="Times New Roman"/>
                <w:sz w:val="16"/>
                <w:szCs w:val="16"/>
              </w:rPr>
            </w:pPr>
            <w:r w:rsidRPr="00F534AF">
              <w:rPr>
                <w:rFonts w:cs="Times New Roman"/>
                <w:sz w:val="16"/>
                <w:szCs w:val="16"/>
              </w:rPr>
              <w:t>176,948</w:t>
            </w:r>
            <w:r w:rsidRPr="00F534AF">
              <w:rPr>
                <w:rFonts w:cs="Times New Roman"/>
                <w:sz w:val="16"/>
                <w:szCs w:val="16"/>
              </w:rPr>
              <w:br/>
              <w:t>[172,856; 181,137]</w:t>
            </w:r>
          </w:p>
        </w:tc>
        <w:tc>
          <w:tcPr>
            <w:tcW w:w="1276" w:type="dxa"/>
            <w:vAlign w:val="center"/>
          </w:tcPr>
          <w:p w14:paraId="2102076C" w14:textId="77777777" w:rsidR="00A5533F" w:rsidRPr="00F534AF" w:rsidRDefault="00A5533F" w:rsidP="00F534AF">
            <w:pPr>
              <w:jc w:val="center"/>
              <w:rPr>
                <w:rFonts w:cs="Times New Roman"/>
                <w:sz w:val="16"/>
                <w:szCs w:val="16"/>
              </w:rPr>
            </w:pPr>
            <w:r w:rsidRPr="00F534AF">
              <w:rPr>
                <w:rFonts w:cs="Times New Roman"/>
                <w:sz w:val="16"/>
                <w:szCs w:val="16"/>
              </w:rPr>
              <w:t>75.4%</w:t>
            </w:r>
            <w:r w:rsidRPr="00F534AF">
              <w:rPr>
                <w:rFonts w:cs="Times New Roman"/>
                <w:sz w:val="16"/>
                <w:szCs w:val="16"/>
              </w:rPr>
              <w:br/>
              <w:t>[74.9%; 75.9%]</w:t>
            </w:r>
          </w:p>
        </w:tc>
        <w:tc>
          <w:tcPr>
            <w:tcW w:w="1276" w:type="dxa"/>
            <w:vAlign w:val="center"/>
          </w:tcPr>
          <w:p w14:paraId="65E37161" w14:textId="77777777" w:rsidR="00A5533F" w:rsidRPr="00F534AF" w:rsidRDefault="00A5533F" w:rsidP="00F534AF">
            <w:pPr>
              <w:jc w:val="center"/>
              <w:rPr>
                <w:rFonts w:cs="Times New Roman"/>
                <w:sz w:val="16"/>
                <w:szCs w:val="16"/>
              </w:rPr>
            </w:pPr>
            <w:r w:rsidRPr="00F534AF">
              <w:rPr>
                <w:rFonts w:cs="Times New Roman"/>
                <w:sz w:val="16"/>
                <w:szCs w:val="16"/>
              </w:rPr>
              <w:t>24.5%</w:t>
            </w:r>
            <w:r w:rsidRPr="00F534AF">
              <w:rPr>
                <w:rFonts w:cs="Times New Roman"/>
                <w:sz w:val="16"/>
                <w:szCs w:val="16"/>
              </w:rPr>
              <w:br/>
              <w:t>[24.2%; 24.9%]</w:t>
            </w:r>
          </w:p>
        </w:tc>
      </w:tr>
      <w:tr w:rsidR="00A5533F" w14:paraId="59B5F9B5" w14:textId="77777777" w:rsidTr="00EE1D9F">
        <w:trPr>
          <w:jc w:val="center"/>
        </w:trPr>
        <w:tc>
          <w:tcPr>
            <w:tcW w:w="1134" w:type="dxa"/>
            <w:vMerge/>
            <w:vAlign w:val="center"/>
          </w:tcPr>
          <w:p w14:paraId="41A9536A" w14:textId="77777777" w:rsidR="00A5533F" w:rsidRPr="00EE1D9F" w:rsidRDefault="00A5533F" w:rsidP="00F534AF">
            <w:pPr>
              <w:rPr>
                <w:rFonts w:cs="Times New Roman"/>
                <w:sz w:val="16"/>
                <w:szCs w:val="16"/>
              </w:rPr>
            </w:pPr>
          </w:p>
        </w:tc>
        <w:tc>
          <w:tcPr>
            <w:tcW w:w="993" w:type="dxa"/>
            <w:vAlign w:val="center"/>
          </w:tcPr>
          <w:p w14:paraId="17F1EA18" w14:textId="77777777" w:rsidR="00A5533F" w:rsidRPr="00EE1D9F" w:rsidRDefault="00A5533F" w:rsidP="00F534AF">
            <w:pPr>
              <w:jc w:val="center"/>
              <w:rPr>
                <w:rFonts w:cs="Times New Roman"/>
                <w:sz w:val="16"/>
                <w:szCs w:val="16"/>
              </w:rPr>
            </w:pPr>
            <w:r w:rsidRPr="00EE1D9F">
              <w:rPr>
                <w:rFonts w:cs="Times New Roman"/>
                <w:sz w:val="16"/>
                <w:szCs w:val="16"/>
              </w:rPr>
              <w:t>Hybrid AI</w:t>
            </w:r>
          </w:p>
        </w:tc>
        <w:tc>
          <w:tcPr>
            <w:tcW w:w="1984" w:type="dxa"/>
            <w:vAlign w:val="center"/>
          </w:tcPr>
          <w:p w14:paraId="36AE535E" w14:textId="77777777" w:rsidR="00A5533F" w:rsidRPr="00F534AF" w:rsidRDefault="00A5533F" w:rsidP="00F534AF">
            <w:pPr>
              <w:jc w:val="center"/>
              <w:rPr>
                <w:rFonts w:cs="Times New Roman"/>
                <w:sz w:val="16"/>
                <w:szCs w:val="16"/>
              </w:rPr>
            </w:pPr>
            <w:r w:rsidRPr="00F534AF">
              <w:rPr>
                <w:rFonts w:cs="Times New Roman"/>
                <w:sz w:val="16"/>
                <w:szCs w:val="16"/>
              </w:rPr>
              <w:t>12,871,800</w:t>
            </w:r>
            <w:r w:rsidRPr="00F534AF">
              <w:rPr>
                <w:rFonts w:cs="Times New Roman"/>
                <w:sz w:val="16"/>
                <w:szCs w:val="16"/>
              </w:rPr>
              <w:br/>
              <w:t>[12,305,444; 13,454,011]</w:t>
            </w:r>
          </w:p>
        </w:tc>
        <w:tc>
          <w:tcPr>
            <w:tcW w:w="1701" w:type="dxa"/>
            <w:vAlign w:val="center"/>
          </w:tcPr>
          <w:p w14:paraId="58C0FCE9" w14:textId="77777777" w:rsidR="00A5533F" w:rsidRPr="00F534AF" w:rsidRDefault="00A5533F" w:rsidP="00F534AF">
            <w:pPr>
              <w:jc w:val="center"/>
              <w:rPr>
                <w:rFonts w:cs="Times New Roman"/>
                <w:sz w:val="16"/>
                <w:szCs w:val="16"/>
              </w:rPr>
            </w:pPr>
            <w:r w:rsidRPr="00F534AF">
              <w:rPr>
                <w:rFonts w:cs="Times New Roman"/>
                <w:sz w:val="16"/>
                <w:szCs w:val="16"/>
              </w:rPr>
              <w:t>201,867</w:t>
            </w:r>
            <w:r w:rsidRPr="00F534AF">
              <w:rPr>
                <w:rFonts w:cs="Times New Roman"/>
                <w:sz w:val="16"/>
                <w:szCs w:val="16"/>
              </w:rPr>
              <w:br/>
              <w:t>[174,710; 232,281]</w:t>
            </w:r>
          </w:p>
        </w:tc>
        <w:tc>
          <w:tcPr>
            <w:tcW w:w="1559" w:type="dxa"/>
            <w:vAlign w:val="center"/>
          </w:tcPr>
          <w:p w14:paraId="7EB36695" w14:textId="77777777" w:rsidR="00A5533F" w:rsidRPr="00F534AF" w:rsidRDefault="00A5533F" w:rsidP="00F534AF">
            <w:pPr>
              <w:jc w:val="center"/>
              <w:rPr>
                <w:rFonts w:cs="Times New Roman"/>
                <w:sz w:val="16"/>
                <w:szCs w:val="16"/>
              </w:rPr>
            </w:pPr>
            <w:r w:rsidRPr="00F534AF">
              <w:rPr>
                <w:rFonts w:cs="Times New Roman"/>
                <w:sz w:val="16"/>
                <w:szCs w:val="16"/>
              </w:rPr>
              <w:t>38,263</w:t>
            </w:r>
            <w:r w:rsidRPr="00F534AF">
              <w:rPr>
                <w:rFonts w:cs="Times New Roman"/>
                <w:sz w:val="16"/>
                <w:szCs w:val="16"/>
              </w:rPr>
              <w:br/>
              <w:t>[33,726; 43,227]</w:t>
            </w:r>
          </w:p>
        </w:tc>
        <w:tc>
          <w:tcPr>
            <w:tcW w:w="1276" w:type="dxa"/>
            <w:vAlign w:val="center"/>
          </w:tcPr>
          <w:p w14:paraId="43737091" w14:textId="77777777" w:rsidR="00A5533F" w:rsidRPr="00F534AF" w:rsidRDefault="00A5533F" w:rsidP="00F534AF">
            <w:pPr>
              <w:jc w:val="center"/>
              <w:rPr>
                <w:rFonts w:cs="Times New Roman"/>
                <w:sz w:val="16"/>
                <w:szCs w:val="16"/>
              </w:rPr>
            </w:pPr>
            <w:r w:rsidRPr="00F534AF">
              <w:rPr>
                <w:rFonts w:cs="Times New Roman"/>
                <w:sz w:val="16"/>
                <w:szCs w:val="16"/>
              </w:rPr>
              <w:t>73.7%</w:t>
            </w:r>
            <w:r w:rsidRPr="00F534AF">
              <w:rPr>
                <w:rFonts w:cs="Times New Roman"/>
                <w:sz w:val="16"/>
                <w:szCs w:val="16"/>
              </w:rPr>
              <w:br/>
              <w:t>[72.6%; 74.6%]</w:t>
            </w:r>
          </w:p>
        </w:tc>
        <w:tc>
          <w:tcPr>
            <w:tcW w:w="1276" w:type="dxa"/>
            <w:vAlign w:val="center"/>
          </w:tcPr>
          <w:p w14:paraId="3EB2500E" w14:textId="77777777" w:rsidR="00A5533F" w:rsidRPr="00F534AF" w:rsidRDefault="00A5533F" w:rsidP="00F534AF">
            <w:pPr>
              <w:jc w:val="center"/>
              <w:rPr>
                <w:rFonts w:cs="Times New Roman"/>
                <w:sz w:val="16"/>
                <w:szCs w:val="16"/>
              </w:rPr>
            </w:pPr>
            <w:r w:rsidRPr="00F534AF">
              <w:rPr>
                <w:rFonts w:cs="Times New Roman"/>
                <w:sz w:val="16"/>
                <w:szCs w:val="16"/>
              </w:rPr>
              <w:t>26.3%</w:t>
            </w:r>
            <w:r w:rsidRPr="00F534AF">
              <w:rPr>
                <w:rFonts w:cs="Times New Roman"/>
                <w:sz w:val="16"/>
                <w:szCs w:val="16"/>
              </w:rPr>
              <w:br/>
              <w:t>[25.4%; 27.2%]</w:t>
            </w:r>
          </w:p>
        </w:tc>
      </w:tr>
      <w:tr w:rsidR="00A5533F" w14:paraId="7560E1A7" w14:textId="77777777" w:rsidTr="00EE1D9F">
        <w:trPr>
          <w:jc w:val="center"/>
        </w:trPr>
        <w:tc>
          <w:tcPr>
            <w:tcW w:w="1134" w:type="dxa"/>
            <w:vMerge w:val="restart"/>
            <w:vAlign w:val="center"/>
          </w:tcPr>
          <w:p w14:paraId="35397FAD" w14:textId="77777777" w:rsidR="00A5533F" w:rsidRPr="00EE1D9F" w:rsidRDefault="00A5533F" w:rsidP="00F534AF">
            <w:pPr>
              <w:rPr>
                <w:rFonts w:cs="Times New Roman"/>
                <w:sz w:val="16"/>
                <w:szCs w:val="16"/>
              </w:rPr>
            </w:pPr>
            <w:r w:rsidRPr="00EE1D9F">
              <w:rPr>
                <w:rFonts w:cs="Times New Roman"/>
                <w:sz w:val="16"/>
                <w:szCs w:val="16"/>
              </w:rPr>
              <w:t>Fallback ablation</w:t>
            </w:r>
          </w:p>
        </w:tc>
        <w:tc>
          <w:tcPr>
            <w:tcW w:w="993" w:type="dxa"/>
            <w:vAlign w:val="center"/>
          </w:tcPr>
          <w:p w14:paraId="79E3F167" w14:textId="77777777" w:rsidR="00A5533F" w:rsidRPr="00EE1D9F" w:rsidRDefault="00A5533F" w:rsidP="00F534AF">
            <w:pPr>
              <w:jc w:val="center"/>
              <w:rPr>
                <w:rFonts w:cs="Times New Roman"/>
                <w:sz w:val="16"/>
                <w:szCs w:val="16"/>
              </w:rPr>
            </w:pPr>
            <w:r w:rsidRPr="00EE1D9F">
              <w:rPr>
                <w:rFonts w:cs="Times New Roman"/>
                <w:sz w:val="16"/>
                <w:szCs w:val="16"/>
              </w:rPr>
              <w:t>Dynamic + Forecast</w:t>
            </w:r>
          </w:p>
        </w:tc>
        <w:tc>
          <w:tcPr>
            <w:tcW w:w="1984" w:type="dxa"/>
            <w:vAlign w:val="center"/>
          </w:tcPr>
          <w:p w14:paraId="38B0E94A" w14:textId="77777777" w:rsidR="00A5533F" w:rsidRPr="00F534AF" w:rsidRDefault="00A5533F" w:rsidP="00F534AF">
            <w:pPr>
              <w:jc w:val="center"/>
              <w:rPr>
                <w:rFonts w:cs="Times New Roman"/>
                <w:sz w:val="16"/>
                <w:szCs w:val="16"/>
              </w:rPr>
            </w:pPr>
            <w:r w:rsidRPr="00F534AF">
              <w:rPr>
                <w:rFonts w:cs="Times New Roman"/>
                <w:sz w:val="16"/>
                <w:szCs w:val="16"/>
              </w:rPr>
              <w:t>23,651,225</w:t>
            </w:r>
            <w:r w:rsidRPr="00F534AF">
              <w:rPr>
                <w:rFonts w:cs="Times New Roman"/>
                <w:sz w:val="16"/>
                <w:szCs w:val="16"/>
              </w:rPr>
              <w:br/>
              <w:t>[22,910,645; 24,361,177]</w:t>
            </w:r>
          </w:p>
        </w:tc>
        <w:tc>
          <w:tcPr>
            <w:tcW w:w="1701" w:type="dxa"/>
            <w:vAlign w:val="center"/>
          </w:tcPr>
          <w:p w14:paraId="75F292DF" w14:textId="77777777" w:rsidR="00A5533F" w:rsidRPr="00F534AF" w:rsidRDefault="00A5533F" w:rsidP="00F534AF">
            <w:pPr>
              <w:jc w:val="center"/>
              <w:rPr>
                <w:rFonts w:cs="Times New Roman"/>
                <w:sz w:val="16"/>
                <w:szCs w:val="16"/>
              </w:rPr>
            </w:pPr>
            <w:r w:rsidRPr="00F534AF">
              <w:rPr>
                <w:rFonts w:cs="Times New Roman"/>
                <w:sz w:val="16"/>
                <w:szCs w:val="16"/>
              </w:rPr>
              <w:t>993,808</w:t>
            </w:r>
            <w:r w:rsidRPr="00F534AF">
              <w:rPr>
                <w:rFonts w:cs="Times New Roman"/>
                <w:sz w:val="16"/>
                <w:szCs w:val="16"/>
              </w:rPr>
              <w:br/>
              <w:t>[968,272; 1,017,063]</w:t>
            </w:r>
          </w:p>
        </w:tc>
        <w:tc>
          <w:tcPr>
            <w:tcW w:w="1559" w:type="dxa"/>
            <w:vAlign w:val="center"/>
          </w:tcPr>
          <w:p w14:paraId="75F970CA" w14:textId="77777777" w:rsidR="00A5533F" w:rsidRPr="00F534AF" w:rsidRDefault="00A5533F" w:rsidP="00F534AF">
            <w:pPr>
              <w:jc w:val="center"/>
              <w:rPr>
                <w:rFonts w:cs="Times New Roman"/>
                <w:sz w:val="16"/>
                <w:szCs w:val="16"/>
              </w:rPr>
            </w:pPr>
            <w:r w:rsidRPr="00F534AF">
              <w:rPr>
                <w:rFonts w:cs="Times New Roman"/>
                <w:sz w:val="16"/>
                <w:szCs w:val="16"/>
              </w:rPr>
              <w:t>178,261</w:t>
            </w:r>
            <w:r w:rsidRPr="00F534AF">
              <w:rPr>
                <w:rFonts w:cs="Times New Roman"/>
                <w:sz w:val="16"/>
                <w:szCs w:val="16"/>
              </w:rPr>
              <w:br/>
              <w:t>[173,496; 182,488]</w:t>
            </w:r>
          </w:p>
        </w:tc>
        <w:tc>
          <w:tcPr>
            <w:tcW w:w="1276" w:type="dxa"/>
            <w:vAlign w:val="center"/>
          </w:tcPr>
          <w:p w14:paraId="7D68F847" w14:textId="77777777" w:rsidR="00A5533F" w:rsidRPr="00F534AF" w:rsidRDefault="00A5533F" w:rsidP="00F534AF">
            <w:pPr>
              <w:jc w:val="center"/>
              <w:rPr>
                <w:rFonts w:cs="Times New Roman"/>
                <w:sz w:val="16"/>
                <w:szCs w:val="16"/>
              </w:rPr>
            </w:pPr>
            <w:r w:rsidRPr="00F534AF">
              <w:rPr>
                <w:rFonts w:cs="Times New Roman"/>
                <w:sz w:val="16"/>
                <w:szCs w:val="16"/>
              </w:rPr>
              <w:t>75.4%</w:t>
            </w:r>
            <w:r w:rsidRPr="00F534AF">
              <w:rPr>
                <w:rFonts w:cs="Times New Roman"/>
                <w:sz w:val="16"/>
                <w:szCs w:val="16"/>
              </w:rPr>
              <w:br/>
              <w:t>[75.0%; 75.8%]</w:t>
            </w:r>
          </w:p>
        </w:tc>
        <w:tc>
          <w:tcPr>
            <w:tcW w:w="1276" w:type="dxa"/>
            <w:vAlign w:val="center"/>
          </w:tcPr>
          <w:p w14:paraId="3F09C895" w14:textId="77777777" w:rsidR="00A5533F" w:rsidRPr="00F534AF" w:rsidRDefault="00A5533F" w:rsidP="00F534AF">
            <w:pPr>
              <w:jc w:val="center"/>
              <w:rPr>
                <w:rFonts w:cs="Times New Roman"/>
                <w:sz w:val="16"/>
                <w:szCs w:val="16"/>
              </w:rPr>
            </w:pPr>
            <w:r w:rsidRPr="00F534AF">
              <w:rPr>
                <w:rFonts w:cs="Times New Roman"/>
                <w:sz w:val="16"/>
                <w:szCs w:val="16"/>
              </w:rPr>
              <w:t>24.6%</w:t>
            </w:r>
            <w:r w:rsidRPr="00F534AF">
              <w:rPr>
                <w:rFonts w:cs="Times New Roman"/>
                <w:sz w:val="16"/>
                <w:szCs w:val="16"/>
              </w:rPr>
              <w:br/>
              <w:t>[24.2%; 25.0%]</w:t>
            </w:r>
          </w:p>
        </w:tc>
      </w:tr>
      <w:tr w:rsidR="00A5533F" w14:paraId="2E781E2A" w14:textId="77777777" w:rsidTr="00EE1D9F">
        <w:trPr>
          <w:jc w:val="center"/>
        </w:trPr>
        <w:tc>
          <w:tcPr>
            <w:tcW w:w="1134" w:type="dxa"/>
            <w:vMerge/>
            <w:vAlign w:val="center"/>
          </w:tcPr>
          <w:p w14:paraId="20BDC898" w14:textId="77777777" w:rsidR="00A5533F" w:rsidRPr="00EE1D9F" w:rsidRDefault="00A5533F" w:rsidP="00F534AF">
            <w:pPr>
              <w:rPr>
                <w:rFonts w:cs="Times New Roman"/>
                <w:sz w:val="16"/>
                <w:szCs w:val="16"/>
              </w:rPr>
            </w:pPr>
          </w:p>
        </w:tc>
        <w:tc>
          <w:tcPr>
            <w:tcW w:w="993" w:type="dxa"/>
            <w:vAlign w:val="center"/>
          </w:tcPr>
          <w:p w14:paraId="2BC52BB0" w14:textId="77777777" w:rsidR="00A5533F" w:rsidRPr="00EE1D9F" w:rsidRDefault="00A5533F" w:rsidP="00F534AF">
            <w:pPr>
              <w:jc w:val="center"/>
              <w:rPr>
                <w:rFonts w:cs="Times New Roman"/>
                <w:sz w:val="16"/>
                <w:szCs w:val="16"/>
              </w:rPr>
            </w:pPr>
            <w:r w:rsidRPr="00EE1D9F">
              <w:rPr>
                <w:rFonts w:cs="Times New Roman"/>
                <w:sz w:val="16"/>
                <w:szCs w:val="16"/>
              </w:rPr>
              <w:t>Base-stock</w:t>
            </w:r>
          </w:p>
        </w:tc>
        <w:tc>
          <w:tcPr>
            <w:tcW w:w="1984" w:type="dxa"/>
            <w:vAlign w:val="center"/>
          </w:tcPr>
          <w:p w14:paraId="4629C8D1" w14:textId="77777777" w:rsidR="00A5533F" w:rsidRPr="00F534AF" w:rsidRDefault="00A5533F" w:rsidP="00F534AF">
            <w:pPr>
              <w:jc w:val="center"/>
              <w:rPr>
                <w:rFonts w:cs="Times New Roman"/>
                <w:sz w:val="16"/>
                <w:szCs w:val="16"/>
              </w:rPr>
            </w:pPr>
            <w:r w:rsidRPr="00F534AF">
              <w:rPr>
                <w:rFonts w:cs="Times New Roman"/>
                <w:sz w:val="16"/>
                <w:szCs w:val="16"/>
              </w:rPr>
              <w:t>23,559,000</w:t>
            </w:r>
            <w:r w:rsidRPr="00F534AF">
              <w:rPr>
                <w:rFonts w:cs="Times New Roman"/>
                <w:sz w:val="16"/>
                <w:szCs w:val="16"/>
              </w:rPr>
              <w:br/>
              <w:t>[22,860,914; 24,271,140]</w:t>
            </w:r>
          </w:p>
        </w:tc>
        <w:tc>
          <w:tcPr>
            <w:tcW w:w="1701" w:type="dxa"/>
            <w:vAlign w:val="center"/>
          </w:tcPr>
          <w:p w14:paraId="4C09D783" w14:textId="77777777" w:rsidR="00A5533F" w:rsidRPr="00F534AF" w:rsidRDefault="00A5533F" w:rsidP="00F534AF">
            <w:pPr>
              <w:jc w:val="center"/>
              <w:rPr>
                <w:rFonts w:cs="Times New Roman"/>
                <w:sz w:val="16"/>
                <w:szCs w:val="16"/>
              </w:rPr>
            </w:pPr>
            <w:r w:rsidRPr="00F534AF">
              <w:rPr>
                <w:rFonts w:cs="Times New Roman"/>
                <w:sz w:val="16"/>
                <w:szCs w:val="16"/>
              </w:rPr>
              <w:t>987,750</w:t>
            </w:r>
            <w:r w:rsidRPr="00F534AF">
              <w:rPr>
                <w:rFonts w:cs="Times New Roman"/>
                <w:sz w:val="16"/>
                <w:szCs w:val="16"/>
              </w:rPr>
              <w:br/>
              <w:t>[965,294; 1,010,585]</w:t>
            </w:r>
          </w:p>
        </w:tc>
        <w:tc>
          <w:tcPr>
            <w:tcW w:w="1559" w:type="dxa"/>
            <w:vAlign w:val="center"/>
          </w:tcPr>
          <w:p w14:paraId="309D9169" w14:textId="77777777" w:rsidR="00A5533F" w:rsidRPr="00F534AF" w:rsidRDefault="00A5533F" w:rsidP="00F534AF">
            <w:pPr>
              <w:jc w:val="center"/>
              <w:rPr>
                <w:rFonts w:cs="Times New Roman"/>
                <w:sz w:val="16"/>
                <w:szCs w:val="16"/>
              </w:rPr>
            </w:pPr>
            <w:r w:rsidRPr="00F534AF">
              <w:rPr>
                <w:rFonts w:cs="Times New Roman"/>
                <w:sz w:val="16"/>
                <w:szCs w:val="16"/>
              </w:rPr>
              <w:t>176,593</w:t>
            </w:r>
            <w:r w:rsidRPr="00F534AF">
              <w:rPr>
                <w:rFonts w:cs="Times New Roman"/>
                <w:sz w:val="16"/>
                <w:szCs w:val="16"/>
              </w:rPr>
              <w:br/>
              <w:t>[171,857; 180,478]</w:t>
            </w:r>
          </w:p>
        </w:tc>
        <w:tc>
          <w:tcPr>
            <w:tcW w:w="1276" w:type="dxa"/>
            <w:vAlign w:val="center"/>
          </w:tcPr>
          <w:p w14:paraId="27E0344D" w14:textId="77777777" w:rsidR="00A5533F" w:rsidRPr="00F534AF" w:rsidRDefault="00A5533F" w:rsidP="00F534AF">
            <w:pPr>
              <w:jc w:val="center"/>
              <w:rPr>
                <w:rFonts w:cs="Times New Roman"/>
                <w:sz w:val="16"/>
                <w:szCs w:val="16"/>
              </w:rPr>
            </w:pPr>
            <w:r w:rsidRPr="00F534AF">
              <w:rPr>
                <w:rFonts w:cs="Times New Roman"/>
                <w:sz w:val="16"/>
                <w:szCs w:val="16"/>
              </w:rPr>
              <w:t>75.5%</w:t>
            </w:r>
            <w:r w:rsidRPr="00F534AF">
              <w:rPr>
                <w:rFonts w:cs="Times New Roman"/>
                <w:sz w:val="16"/>
                <w:szCs w:val="16"/>
              </w:rPr>
              <w:br/>
              <w:t>[75.0%; 75.9%]</w:t>
            </w:r>
          </w:p>
        </w:tc>
        <w:tc>
          <w:tcPr>
            <w:tcW w:w="1276" w:type="dxa"/>
            <w:vAlign w:val="center"/>
          </w:tcPr>
          <w:p w14:paraId="5F432891" w14:textId="77777777" w:rsidR="00A5533F" w:rsidRPr="00F534AF" w:rsidRDefault="00A5533F" w:rsidP="00F534AF">
            <w:pPr>
              <w:jc w:val="center"/>
              <w:rPr>
                <w:rFonts w:cs="Times New Roman"/>
                <w:sz w:val="16"/>
                <w:szCs w:val="16"/>
              </w:rPr>
            </w:pPr>
            <w:r w:rsidRPr="00F534AF">
              <w:rPr>
                <w:rFonts w:cs="Times New Roman"/>
                <w:sz w:val="16"/>
                <w:szCs w:val="16"/>
              </w:rPr>
              <w:t>24.4%</w:t>
            </w:r>
            <w:r w:rsidRPr="00F534AF">
              <w:rPr>
                <w:rFonts w:cs="Times New Roman"/>
                <w:sz w:val="16"/>
                <w:szCs w:val="16"/>
              </w:rPr>
              <w:br/>
              <w:t>[24.1%; 24.8%]</w:t>
            </w:r>
          </w:p>
        </w:tc>
      </w:tr>
      <w:tr w:rsidR="00A5533F" w14:paraId="7D83D2FD" w14:textId="77777777" w:rsidTr="00EE1D9F">
        <w:trPr>
          <w:jc w:val="center"/>
        </w:trPr>
        <w:tc>
          <w:tcPr>
            <w:tcW w:w="1134" w:type="dxa"/>
            <w:vMerge/>
            <w:vAlign w:val="center"/>
          </w:tcPr>
          <w:p w14:paraId="512A02C7" w14:textId="77777777" w:rsidR="00A5533F" w:rsidRPr="00EE1D9F" w:rsidRDefault="00A5533F" w:rsidP="00F534AF">
            <w:pPr>
              <w:rPr>
                <w:rFonts w:cs="Times New Roman"/>
                <w:sz w:val="16"/>
                <w:szCs w:val="16"/>
              </w:rPr>
            </w:pPr>
          </w:p>
        </w:tc>
        <w:tc>
          <w:tcPr>
            <w:tcW w:w="993" w:type="dxa"/>
            <w:vAlign w:val="center"/>
          </w:tcPr>
          <w:p w14:paraId="53B97E1C" w14:textId="77777777" w:rsidR="00A5533F" w:rsidRPr="00EE1D9F" w:rsidRDefault="00A5533F" w:rsidP="00F534AF">
            <w:pPr>
              <w:jc w:val="center"/>
              <w:rPr>
                <w:rFonts w:cs="Times New Roman"/>
                <w:sz w:val="16"/>
                <w:szCs w:val="16"/>
              </w:rPr>
            </w:pPr>
            <w:r w:rsidRPr="00EE1D9F">
              <w:rPr>
                <w:rFonts w:cs="Times New Roman"/>
                <w:sz w:val="16"/>
                <w:szCs w:val="16"/>
              </w:rPr>
              <w:t>Hybrid AI</w:t>
            </w:r>
          </w:p>
        </w:tc>
        <w:tc>
          <w:tcPr>
            <w:tcW w:w="1984" w:type="dxa"/>
            <w:vAlign w:val="center"/>
          </w:tcPr>
          <w:p w14:paraId="0E27CEA4" w14:textId="77777777" w:rsidR="00A5533F" w:rsidRPr="00F534AF" w:rsidRDefault="00A5533F" w:rsidP="00F534AF">
            <w:pPr>
              <w:jc w:val="center"/>
              <w:rPr>
                <w:rFonts w:cs="Times New Roman"/>
                <w:sz w:val="16"/>
                <w:szCs w:val="16"/>
              </w:rPr>
            </w:pPr>
            <w:r w:rsidRPr="00F534AF">
              <w:rPr>
                <w:rFonts w:cs="Times New Roman"/>
                <w:sz w:val="16"/>
                <w:szCs w:val="16"/>
              </w:rPr>
              <w:t>12,785,152</w:t>
            </w:r>
            <w:r w:rsidRPr="00F534AF">
              <w:rPr>
                <w:rFonts w:cs="Times New Roman"/>
                <w:sz w:val="16"/>
                <w:szCs w:val="16"/>
              </w:rPr>
              <w:br/>
              <w:t>[12,200,914; 13,312,368]</w:t>
            </w:r>
          </w:p>
        </w:tc>
        <w:tc>
          <w:tcPr>
            <w:tcW w:w="1701" w:type="dxa"/>
            <w:vAlign w:val="center"/>
          </w:tcPr>
          <w:p w14:paraId="282F3495" w14:textId="77777777" w:rsidR="00A5533F" w:rsidRPr="00F534AF" w:rsidRDefault="00A5533F" w:rsidP="00F534AF">
            <w:pPr>
              <w:jc w:val="center"/>
              <w:rPr>
                <w:rFonts w:cs="Times New Roman"/>
                <w:sz w:val="16"/>
                <w:szCs w:val="16"/>
              </w:rPr>
            </w:pPr>
            <w:r w:rsidRPr="00F534AF">
              <w:rPr>
                <w:rFonts w:cs="Times New Roman"/>
                <w:sz w:val="16"/>
                <w:szCs w:val="16"/>
              </w:rPr>
              <w:t>195,115</w:t>
            </w:r>
            <w:r w:rsidRPr="00F534AF">
              <w:rPr>
                <w:rFonts w:cs="Times New Roman"/>
                <w:sz w:val="16"/>
                <w:szCs w:val="16"/>
              </w:rPr>
              <w:br/>
              <w:t>[171,601; 221,860]</w:t>
            </w:r>
          </w:p>
        </w:tc>
        <w:tc>
          <w:tcPr>
            <w:tcW w:w="1559" w:type="dxa"/>
            <w:vAlign w:val="center"/>
          </w:tcPr>
          <w:p w14:paraId="36010B26" w14:textId="77777777" w:rsidR="00A5533F" w:rsidRPr="00F534AF" w:rsidRDefault="00A5533F" w:rsidP="00F534AF">
            <w:pPr>
              <w:jc w:val="center"/>
              <w:rPr>
                <w:rFonts w:cs="Times New Roman"/>
                <w:sz w:val="16"/>
                <w:szCs w:val="16"/>
              </w:rPr>
            </w:pPr>
            <w:r w:rsidRPr="00F534AF">
              <w:rPr>
                <w:rFonts w:cs="Times New Roman"/>
                <w:sz w:val="16"/>
                <w:szCs w:val="16"/>
              </w:rPr>
              <w:t>36,966</w:t>
            </w:r>
            <w:r w:rsidRPr="00F534AF">
              <w:rPr>
                <w:rFonts w:cs="Times New Roman"/>
                <w:sz w:val="16"/>
                <w:szCs w:val="16"/>
              </w:rPr>
              <w:br/>
              <w:t>[32,900; 41,094]</w:t>
            </w:r>
          </w:p>
        </w:tc>
        <w:tc>
          <w:tcPr>
            <w:tcW w:w="1276" w:type="dxa"/>
            <w:vAlign w:val="center"/>
          </w:tcPr>
          <w:p w14:paraId="61159488" w14:textId="77777777" w:rsidR="00A5533F" w:rsidRPr="00F534AF" w:rsidRDefault="00A5533F" w:rsidP="00F534AF">
            <w:pPr>
              <w:jc w:val="center"/>
              <w:rPr>
                <w:rFonts w:cs="Times New Roman"/>
                <w:sz w:val="16"/>
                <w:szCs w:val="16"/>
              </w:rPr>
            </w:pPr>
            <w:r w:rsidRPr="00F534AF">
              <w:rPr>
                <w:rFonts w:cs="Times New Roman"/>
                <w:sz w:val="16"/>
                <w:szCs w:val="16"/>
              </w:rPr>
              <w:t>73.7%</w:t>
            </w:r>
            <w:r w:rsidRPr="00F534AF">
              <w:rPr>
                <w:rFonts w:cs="Times New Roman"/>
                <w:sz w:val="16"/>
                <w:szCs w:val="16"/>
              </w:rPr>
              <w:br/>
              <w:t>[72.9%; 74.7%]</w:t>
            </w:r>
          </w:p>
        </w:tc>
        <w:tc>
          <w:tcPr>
            <w:tcW w:w="1276" w:type="dxa"/>
            <w:vAlign w:val="center"/>
          </w:tcPr>
          <w:p w14:paraId="13F01C8C" w14:textId="77777777" w:rsidR="00A5533F" w:rsidRPr="00F534AF" w:rsidRDefault="00A5533F" w:rsidP="00F534AF">
            <w:pPr>
              <w:jc w:val="center"/>
              <w:rPr>
                <w:rFonts w:cs="Times New Roman"/>
                <w:sz w:val="16"/>
                <w:szCs w:val="16"/>
              </w:rPr>
            </w:pPr>
            <w:r w:rsidRPr="00F534AF">
              <w:rPr>
                <w:rFonts w:cs="Times New Roman"/>
                <w:sz w:val="16"/>
                <w:szCs w:val="16"/>
              </w:rPr>
              <w:t>26.2%</w:t>
            </w:r>
            <w:r w:rsidRPr="00F534AF">
              <w:rPr>
                <w:rFonts w:cs="Times New Roman"/>
                <w:sz w:val="16"/>
                <w:szCs w:val="16"/>
              </w:rPr>
              <w:br/>
              <w:t>[25.3%; 27.1%]</w:t>
            </w:r>
          </w:p>
        </w:tc>
      </w:tr>
      <w:tr w:rsidR="00A5533F" w14:paraId="1C85AC53" w14:textId="77777777" w:rsidTr="00EE1D9F">
        <w:trPr>
          <w:jc w:val="center"/>
        </w:trPr>
        <w:tc>
          <w:tcPr>
            <w:tcW w:w="1134" w:type="dxa"/>
            <w:vMerge w:val="restart"/>
            <w:vAlign w:val="center"/>
          </w:tcPr>
          <w:p w14:paraId="45423397" w14:textId="77777777" w:rsidR="00A5533F" w:rsidRPr="00EE1D9F" w:rsidRDefault="00A5533F" w:rsidP="00F534AF">
            <w:pPr>
              <w:rPr>
                <w:rFonts w:cs="Times New Roman"/>
                <w:sz w:val="16"/>
                <w:szCs w:val="16"/>
              </w:rPr>
            </w:pPr>
            <w:r w:rsidRPr="00EE1D9F">
              <w:rPr>
                <w:rFonts w:cs="Times New Roman"/>
                <w:sz w:val="16"/>
                <w:szCs w:val="16"/>
              </w:rPr>
              <w:t>Wide-action ablation (×3)</w:t>
            </w:r>
          </w:p>
        </w:tc>
        <w:tc>
          <w:tcPr>
            <w:tcW w:w="993" w:type="dxa"/>
            <w:vAlign w:val="center"/>
          </w:tcPr>
          <w:p w14:paraId="17C1EF1D" w14:textId="77777777" w:rsidR="00A5533F" w:rsidRPr="00EE1D9F" w:rsidRDefault="00A5533F" w:rsidP="00F534AF">
            <w:pPr>
              <w:jc w:val="center"/>
              <w:rPr>
                <w:rFonts w:cs="Times New Roman"/>
                <w:sz w:val="16"/>
                <w:szCs w:val="16"/>
              </w:rPr>
            </w:pPr>
            <w:r w:rsidRPr="00EE1D9F">
              <w:rPr>
                <w:rFonts w:cs="Times New Roman"/>
                <w:sz w:val="16"/>
                <w:szCs w:val="16"/>
              </w:rPr>
              <w:t>Dynamic + Forecast</w:t>
            </w:r>
          </w:p>
        </w:tc>
        <w:tc>
          <w:tcPr>
            <w:tcW w:w="1984" w:type="dxa"/>
            <w:vAlign w:val="center"/>
          </w:tcPr>
          <w:p w14:paraId="05FEFB6A" w14:textId="77777777" w:rsidR="00A5533F" w:rsidRPr="00F534AF" w:rsidRDefault="00A5533F" w:rsidP="00F534AF">
            <w:pPr>
              <w:jc w:val="center"/>
              <w:rPr>
                <w:rFonts w:cs="Times New Roman"/>
                <w:sz w:val="16"/>
                <w:szCs w:val="16"/>
              </w:rPr>
            </w:pPr>
            <w:r w:rsidRPr="00F534AF">
              <w:rPr>
                <w:rFonts w:cs="Times New Roman"/>
                <w:sz w:val="16"/>
                <w:szCs w:val="16"/>
              </w:rPr>
              <w:t>23,660,302</w:t>
            </w:r>
            <w:r w:rsidRPr="00F534AF">
              <w:rPr>
                <w:rFonts w:cs="Times New Roman"/>
                <w:sz w:val="16"/>
                <w:szCs w:val="16"/>
              </w:rPr>
              <w:br/>
              <w:t>[22,904,040; 24,333,464]</w:t>
            </w:r>
          </w:p>
        </w:tc>
        <w:tc>
          <w:tcPr>
            <w:tcW w:w="1701" w:type="dxa"/>
            <w:vAlign w:val="center"/>
          </w:tcPr>
          <w:p w14:paraId="21FFB6C0" w14:textId="77777777" w:rsidR="00A5533F" w:rsidRPr="00F534AF" w:rsidRDefault="00A5533F" w:rsidP="00F534AF">
            <w:pPr>
              <w:jc w:val="center"/>
              <w:rPr>
                <w:rFonts w:cs="Times New Roman"/>
                <w:sz w:val="16"/>
                <w:szCs w:val="16"/>
              </w:rPr>
            </w:pPr>
            <w:r w:rsidRPr="00F534AF">
              <w:rPr>
                <w:rFonts w:cs="Times New Roman"/>
                <w:sz w:val="16"/>
                <w:szCs w:val="16"/>
              </w:rPr>
              <w:t>994,705</w:t>
            </w:r>
            <w:r w:rsidRPr="00F534AF">
              <w:rPr>
                <w:rFonts w:cs="Times New Roman"/>
                <w:sz w:val="16"/>
                <w:szCs w:val="16"/>
              </w:rPr>
              <w:br/>
              <w:t>[969,981; 1,017,048]</w:t>
            </w:r>
          </w:p>
        </w:tc>
        <w:tc>
          <w:tcPr>
            <w:tcW w:w="1559" w:type="dxa"/>
            <w:vAlign w:val="center"/>
          </w:tcPr>
          <w:p w14:paraId="6A12A1CA" w14:textId="77777777" w:rsidR="00A5533F" w:rsidRPr="00F534AF" w:rsidRDefault="00A5533F" w:rsidP="00F534AF">
            <w:pPr>
              <w:jc w:val="center"/>
              <w:rPr>
                <w:rFonts w:cs="Times New Roman"/>
                <w:sz w:val="16"/>
                <w:szCs w:val="16"/>
              </w:rPr>
            </w:pPr>
            <w:r w:rsidRPr="00F534AF">
              <w:rPr>
                <w:rFonts w:cs="Times New Roman"/>
                <w:sz w:val="16"/>
                <w:szCs w:val="16"/>
              </w:rPr>
              <w:t>178,479</w:t>
            </w:r>
            <w:r w:rsidRPr="00F534AF">
              <w:rPr>
                <w:rFonts w:cs="Times New Roman"/>
                <w:sz w:val="16"/>
                <w:szCs w:val="16"/>
              </w:rPr>
              <w:br/>
              <w:t>[174,351; 182,612]</w:t>
            </w:r>
          </w:p>
        </w:tc>
        <w:tc>
          <w:tcPr>
            <w:tcW w:w="1276" w:type="dxa"/>
            <w:vAlign w:val="center"/>
          </w:tcPr>
          <w:p w14:paraId="67D5AB81" w14:textId="77777777" w:rsidR="00A5533F" w:rsidRPr="00F534AF" w:rsidRDefault="00A5533F" w:rsidP="00F534AF">
            <w:pPr>
              <w:jc w:val="center"/>
              <w:rPr>
                <w:rFonts w:cs="Times New Roman"/>
                <w:sz w:val="16"/>
                <w:szCs w:val="16"/>
              </w:rPr>
            </w:pPr>
            <w:r w:rsidRPr="00F534AF">
              <w:rPr>
                <w:rFonts w:cs="Times New Roman"/>
                <w:sz w:val="16"/>
                <w:szCs w:val="16"/>
              </w:rPr>
              <w:t>75.4%</w:t>
            </w:r>
            <w:r w:rsidRPr="00F534AF">
              <w:rPr>
                <w:rFonts w:cs="Times New Roman"/>
                <w:sz w:val="16"/>
                <w:szCs w:val="16"/>
              </w:rPr>
              <w:br/>
              <w:t>[74.9%; 75.8%]</w:t>
            </w:r>
          </w:p>
        </w:tc>
        <w:tc>
          <w:tcPr>
            <w:tcW w:w="1276" w:type="dxa"/>
            <w:vAlign w:val="center"/>
          </w:tcPr>
          <w:p w14:paraId="0B216E00" w14:textId="77777777" w:rsidR="00A5533F" w:rsidRPr="00F534AF" w:rsidRDefault="00A5533F" w:rsidP="00F534AF">
            <w:pPr>
              <w:jc w:val="center"/>
              <w:rPr>
                <w:rFonts w:cs="Times New Roman"/>
                <w:sz w:val="16"/>
                <w:szCs w:val="16"/>
              </w:rPr>
            </w:pPr>
            <w:r w:rsidRPr="00F534AF">
              <w:rPr>
                <w:rFonts w:cs="Times New Roman"/>
                <w:sz w:val="16"/>
                <w:szCs w:val="16"/>
              </w:rPr>
              <w:t>24.6%</w:t>
            </w:r>
            <w:r w:rsidRPr="00F534AF">
              <w:rPr>
                <w:rFonts w:cs="Times New Roman"/>
                <w:sz w:val="16"/>
                <w:szCs w:val="16"/>
              </w:rPr>
              <w:br/>
              <w:t>[24.2%; 24.9%]</w:t>
            </w:r>
          </w:p>
        </w:tc>
      </w:tr>
      <w:tr w:rsidR="00A5533F" w14:paraId="744D6677" w14:textId="77777777" w:rsidTr="00EE1D9F">
        <w:trPr>
          <w:jc w:val="center"/>
        </w:trPr>
        <w:tc>
          <w:tcPr>
            <w:tcW w:w="1134" w:type="dxa"/>
            <w:vMerge/>
            <w:vAlign w:val="center"/>
          </w:tcPr>
          <w:p w14:paraId="4F30BA14" w14:textId="77777777" w:rsidR="00A5533F" w:rsidRPr="00EE1D9F" w:rsidRDefault="00A5533F" w:rsidP="00F534AF">
            <w:pPr>
              <w:rPr>
                <w:rFonts w:cs="Times New Roman"/>
                <w:sz w:val="16"/>
                <w:szCs w:val="16"/>
              </w:rPr>
            </w:pPr>
          </w:p>
        </w:tc>
        <w:tc>
          <w:tcPr>
            <w:tcW w:w="993" w:type="dxa"/>
            <w:vAlign w:val="center"/>
          </w:tcPr>
          <w:p w14:paraId="1B5F6783" w14:textId="77777777" w:rsidR="00A5533F" w:rsidRPr="00EE1D9F" w:rsidRDefault="00A5533F" w:rsidP="00F534AF">
            <w:pPr>
              <w:jc w:val="center"/>
              <w:rPr>
                <w:rFonts w:cs="Times New Roman"/>
                <w:sz w:val="16"/>
                <w:szCs w:val="16"/>
              </w:rPr>
            </w:pPr>
            <w:r w:rsidRPr="00EE1D9F">
              <w:rPr>
                <w:rFonts w:cs="Times New Roman"/>
                <w:sz w:val="16"/>
                <w:szCs w:val="16"/>
              </w:rPr>
              <w:t>Base-stock</w:t>
            </w:r>
          </w:p>
        </w:tc>
        <w:tc>
          <w:tcPr>
            <w:tcW w:w="1984" w:type="dxa"/>
            <w:vAlign w:val="center"/>
          </w:tcPr>
          <w:p w14:paraId="3612C2B0" w14:textId="77777777" w:rsidR="00A5533F" w:rsidRPr="00F534AF" w:rsidRDefault="00A5533F" w:rsidP="00F534AF">
            <w:pPr>
              <w:jc w:val="center"/>
              <w:rPr>
                <w:rFonts w:cs="Times New Roman"/>
                <w:sz w:val="16"/>
                <w:szCs w:val="16"/>
              </w:rPr>
            </w:pPr>
            <w:r w:rsidRPr="00F534AF">
              <w:rPr>
                <w:rFonts w:cs="Times New Roman"/>
                <w:sz w:val="16"/>
                <w:szCs w:val="16"/>
              </w:rPr>
              <w:t>23,575,315</w:t>
            </w:r>
            <w:r w:rsidRPr="00F534AF">
              <w:rPr>
                <w:rFonts w:cs="Times New Roman"/>
                <w:sz w:val="16"/>
                <w:szCs w:val="16"/>
              </w:rPr>
              <w:br/>
              <w:t>[22,948,915; 24,291,166]</w:t>
            </w:r>
          </w:p>
        </w:tc>
        <w:tc>
          <w:tcPr>
            <w:tcW w:w="1701" w:type="dxa"/>
            <w:vAlign w:val="center"/>
          </w:tcPr>
          <w:p w14:paraId="08C3B953" w14:textId="77777777" w:rsidR="00A5533F" w:rsidRPr="00F534AF" w:rsidRDefault="00A5533F" w:rsidP="00F534AF">
            <w:pPr>
              <w:jc w:val="center"/>
              <w:rPr>
                <w:rFonts w:cs="Times New Roman"/>
                <w:sz w:val="16"/>
                <w:szCs w:val="16"/>
              </w:rPr>
            </w:pPr>
            <w:r w:rsidRPr="00F534AF">
              <w:rPr>
                <w:rFonts w:cs="Times New Roman"/>
                <w:sz w:val="16"/>
                <w:szCs w:val="16"/>
              </w:rPr>
              <w:t>988,754</w:t>
            </w:r>
            <w:r w:rsidRPr="00F534AF">
              <w:rPr>
                <w:rFonts w:cs="Times New Roman"/>
                <w:sz w:val="16"/>
                <w:szCs w:val="16"/>
              </w:rPr>
              <w:br/>
              <w:t>[964,117; 1,013,891]</w:t>
            </w:r>
          </w:p>
        </w:tc>
        <w:tc>
          <w:tcPr>
            <w:tcW w:w="1559" w:type="dxa"/>
            <w:vAlign w:val="center"/>
          </w:tcPr>
          <w:p w14:paraId="57A96165" w14:textId="77777777" w:rsidR="00A5533F" w:rsidRPr="00F534AF" w:rsidRDefault="00A5533F" w:rsidP="00F534AF">
            <w:pPr>
              <w:jc w:val="center"/>
              <w:rPr>
                <w:rFonts w:cs="Times New Roman"/>
                <w:sz w:val="16"/>
                <w:szCs w:val="16"/>
              </w:rPr>
            </w:pPr>
            <w:r w:rsidRPr="00F534AF">
              <w:rPr>
                <w:rFonts w:cs="Times New Roman"/>
                <w:sz w:val="16"/>
                <w:szCs w:val="16"/>
              </w:rPr>
              <w:t>176,903</w:t>
            </w:r>
            <w:r w:rsidRPr="00F534AF">
              <w:rPr>
                <w:rFonts w:cs="Times New Roman"/>
                <w:sz w:val="16"/>
                <w:szCs w:val="16"/>
              </w:rPr>
              <w:br/>
              <w:t>[172,151; 181,443]</w:t>
            </w:r>
          </w:p>
        </w:tc>
        <w:tc>
          <w:tcPr>
            <w:tcW w:w="1276" w:type="dxa"/>
            <w:vAlign w:val="center"/>
          </w:tcPr>
          <w:p w14:paraId="180A3B08" w14:textId="77777777" w:rsidR="00A5533F" w:rsidRPr="00F534AF" w:rsidRDefault="00A5533F" w:rsidP="00F534AF">
            <w:pPr>
              <w:jc w:val="center"/>
              <w:rPr>
                <w:rFonts w:cs="Times New Roman"/>
                <w:sz w:val="16"/>
                <w:szCs w:val="16"/>
              </w:rPr>
            </w:pPr>
            <w:r w:rsidRPr="00F534AF">
              <w:rPr>
                <w:rFonts w:cs="Times New Roman"/>
                <w:sz w:val="16"/>
                <w:szCs w:val="16"/>
              </w:rPr>
              <w:t>75.4%</w:t>
            </w:r>
            <w:r w:rsidRPr="00F534AF">
              <w:rPr>
                <w:rFonts w:cs="Times New Roman"/>
                <w:sz w:val="16"/>
                <w:szCs w:val="16"/>
              </w:rPr>
              <w:br/>
              <w:t>[75.0%; 75.9%]</w:t>
            </w:r>
          </w:p>
        </w:tc>
        <w:tc>
          <w:tcPr>
            <w:tcW w:w="1276" w:type="dxa"/>
            <w:vAlign w:val="center"/>
          </w:tcPr>
          <w:p w14:paraId="5B87657D" w14:textId="77777777" w:rsidR="00A5533F" w:rsidRPr="00F534AF" w:rsidRDefault="00A5533F" w:rsidP="00F534AF">
            <w:pPr>
              <w:jc w:val="center"/>
              <w:rPr>
                <w:rFonts w:cs="Times New Roman"/>
                <w:sz w:val="16"/>
                <w:szCs w:val="16"/>
              </w:rPr>
            </w:pPr>
            <w:r w:rsidRPr="00F534AF">
              <w:rPr>
                <w:rFonts w:cs="Times New Roman"/>
                <w:sz w:val="16"/>
                <w:szCs w:val="16"/>
              </w:rPr>
              <w:t>24.5%</w:t>
            </w:r>
            <w:r w:rsidRPr="00F534AF">
              <w:rPr>
                <w:rFonts w:cs="Times New Roman"/>
                <w:sz w:val="16"/>
                <w:szCs w:val="16"/>
              </w:rPr>
              <w:br/>
              <w:t>[24.1%; 24.8%]</w:t>
            </w:r>
          </w:p>
        </w:tc>
      </w:tr>
      <w:tr w:rsidR="00A5533F" w14:paraId="61803FF1" w14:textId="77777777" w:rsidTr="00EE1D9F">
        <w:trPr>
          <w:jc w:val="center"/>
        </w:trPr>
        <w:tc>
          <w:tcPr>
            <w:tcW w:w="1134" w:type="dxa"/>
            <w:vMerge/>
            <w:vAlign w:val="center"/>
          </w:tcPr>
          <w:p w14:paraId="5860DF50" w14:textId="77777777" w:rsidR="00A5533F" w:rsidRPr="00EE1D9F" w:rsidRDefault="00A5533F" w:rsidP="00F534AF">
            <w:pPr>
              <w:rPr>
                <w:rFonts w:cs="Times New Roman"/>
                <w:sz w:val="16"/>
                <w:szCs w:val="16"/>
              </w:rPr>
            </w:pPr>
          </w:p>
        </w:tc>
        <w:tc>
          <w:tcPr>
            <w:tcW w:w="993" w:type="dxa"/>
            <w:vAlign w:val="center"/>
          </w:tcPr>
          <w:p w14:paraId="1763D21D" w14:textId="77777777" w:rsidR="00A5533F" w:rsidRPr="00EE1D9F" w:rsidRDefault="00A5533F" w:rsidP="00F534AF">
            <w:pPr>
              <w:jc w:val="center"/>
              <w:rPr>
                <w:rFonts w:cs="Times New Roman"/>
                <w:sz w:val="16"/>
                <w:szCs w:val="16"/>
              </w:rPr>
            </w:pPr>
            <w:r w:rsidRPr="00EE1D9F">
              <w:rPr>
                <w:rFonts w:cs="Times New Roman"/>
                <w:sz w:val="16"/>
                <w:szCs w:val="16"/>
              </w:rPr>
              <w:t>Hybrid AI</w:t>
            </w:r>
          </w:p>
        </w:tc>
        <w:tc>
          <w:tcPr>
            <w:tcW w:w="1984" w:type="dxa"/>
            <w:vAlign w:val="center"/>
          </w:tcPr>
          <w:p w14:paraId="6B80520A" w14:textId="77777777" w:rsidR="00A5533F" w:rsidRPr="00F534AF" w:rsidRDefault="00A5533F" w:rsidP="00F534AF">
            <w:pPr>
              <w:jc w:val="center"/>
              <w:rPr>
                <w:rFonts w:cs="Times New Roman"/>
                <w:sz w:val="16"/>
                <w:szCs w:val="16"/>
              </w:rPr>
            </w:pPr>
            <w:r w:rsidRPr="00F534AF">
              <w:rPr>
                <w:rFonts w:cs="Times New Roman"/>
                <w:sz w:val="16"/>
                <w:szCs w:val="16"/>
              </w:rPr>
              <w:t>41,403,259</w:t>
            </w:r>
            <w:r w:rsidRPr="00F534AF">
              <w:rPr>
                <w:rFonts w:cs="Times New Roman"/>
                <w:sz w:val="16"/>
                <w:szCs w:val="16"/>
              </w:rPr>
              <w:br/>
              <w:t>[40,270,732; 42,468,441]</w:t>
            </w:r>
          </w:p>
        </w:tc>
        <w:tc>
          <w:tcPr>
            <w:tcW w:w="1701" w:type="dxa"/>
            <w:vAlign w:val="center"/>
          </w:tcPr>
          <w:p w14:paraId="34D8299E" w14:textId="77777777" w:rsidR="00A5533F" w:rsidRPr="00F534AF" w:rsidRDefault="00A5533F" w:rsidP="00F534AF">
            <w:pPr>
              <w:jc w:val="center"/>
              <w:rPr>
                <w:rFonts w:cs="Times New Roman"/>
                <w:sz w:val="16"/>
                <w:szCs w:val="16"/>
              </w:rPr>
            </w:pPr>
            <w:r w:rsidRPr="00F534AF">
              <w:rPr>
                <w:rFonts w:cs="Times New Roman"/>
                <w:sz w:val="16"/>
                <w:szCs w:val="16"/>
              </w:rPr>
              <w:t>0</w:t>
            </w:r>
            <w:r w:rsidRPr="00F534AF">
              <w:rPr>
                <w:rFonts w:cs="Times New Roman"/>
                <w:sz w:val="16"/>
                <w:szCs w:val="16"/>
              </w:rPr>
              <w:br/>
              <w:t>[0; 0]</w:t>
            </w:r>
          </w:p>
        </w:tc>
        <w:tc>
          <w:tcPr>
            <w:tcW w:w="1559" w:type="dxa"/>
            <w:vAlign w:val="center"/>
          </w:tcPr>
          <w:p w14:paraId="63C16019" w14:textId="77777777" w:rsidR="00A5533F" w:rsidRPr="00F534AF" w:rsidRDefault="00A5533F" w:rsidP="00F534AF">
            <w:pPr>
              <w:jc w:val="center"/>
              <w:rPr>
                <w:rFonts w:cs="Times New Roman"/>
                <w:sz w:val="16"/>
                <w:szCs w:val="16"/>
              </w:rPr>
            </w:pPr>
            <w:r w:rsidRPr="00F534AF">
              <w:rPr>
                <w:rFonts w:cs="Times New Roman"/>
                <w:sz w:val="16"/>
                <w:szCs w:val="16"/>
              </w:rPr>
              <w:t>0</w:t>
            </w:r>
            <w:r w:rsidRPr="00F534AF">
              <w:rPr>
                <w:rFonts w:cs="Times New Roman"/>
                <w:sz w:val="16"/>
                <w:szCs w:val="16"/>
              </w:rPr>
              <w:br/>
              <w:t>[0; 0]</w:t>
            </w:r>
          </w:p>
        </w:tc>
        <w:tc>
          <w:tcPr>
            <w:tcW w:w="1276" w:type="dxa"/>
            <w:vAlign w:val="center"/>
          </w:tcPr>
          <w:p w14:paraId="0C9086C9" w14:textId="77777777" w:rsidR="00A5533F" w:rsidRPr="00F534AF" w:rsidRDefault="00A5533F" w:rsidP="00F534AF">
            <w:pPr>
              <w:jc w:val="center"/>
              <w:rPr>
                <w:rFonts w:cs="Times New Roman"/>
                <w:sz w:val="16"/>
                <w:szCs w:val="16"/>
              </w:rPr>
            </w:pPr>
            <w:r w:rsidRPr="00F534AF">
              <w:rPr>
                <w:rFonts w:cs="Times New Roman"/>
                <w:sz w:val="16"/>
                <w:szCs w:val="16"/>
              </w:rPr>
              <w:t>0.9%</w:t>
            </w:r>
            <w:r w:rsidRPr="00F534AF">
              <w:rPr>
                <w:rFonts w:cs="Times New Roman"/>
                <w:sz w:val="16"/>
                <w:szCs w:val="16"/>
              </w:rPr>
              <w:br/>
              <w:t>[0.8%; 0.9%]</w:t>
            </w:r>
          </w:p>
        </w:tc>
        <w:tc>
          <w:tcPr>
            <w:tcW w:w="1276" w:type="dxa"/>
            <w:vAlign w:val="center"/>
          </w:tcPr>
          <w:p w14:paraId="1F8F8F7C" w14:textId="77777777" w:rsidR="00A5533F" w:rsidRPr="00F534AF" w:rsidRDefault="00A5533F" w:rsidP="00F534AF">
            <w:pPr>
              <w:jc w:val="center"/>
              <w:rPr>
                <w:rFonts w:cs="Times New Roman"/>
                <w:sz w:val="16"/>
                <w:szCs w:val="16"/>
              </w:rPr>
            </w:pPr>
            <w:r w:rsidRPr="00F534AF">
              <w:rPr>
                <w:rFonts w:cs="Times New Roman"/>
                <w:sz w:val="16"/>
                <w:szCs w:val="16"/>
              </w:rPr>
              <w:t>98.4%</w:t>
            </w:r>
            <w:r w:rsidRPr="00F534AF">
              <w:rPr>
                <w:rFonts w:cs="Times New Roman"/>
                <w:sz w:val="16"/>
                <w:szCs w:val="16"/>
              </w:rPr>
              <w:br/>
              <w:t>[98.2%; 98.7%]</w:t>
            </w:r>
          </w:p>
        </w:tc>
      </w:tr>
    </w:tbl>
    <w:p w14:paraId="1021EDB9" w14:textId="77777777" w:rsidR="005E2831" w:rsidRPr="005E2831" w:rsidRDefault="005E2831" w:rsidP="005E2831">
      <w:pPr>
        <w:pStyle w:val="text-base"/>
        <w:spacing w:before="0" w:after="0"/>
        <w:ind w:left="426"/>
        <w:jc w:val="both"/>
        <w:rPr>
          <w:sz w:val="18"/>
          <w:szCs w:val="18"/>
          <w:lang w:val="en-US"/>
        </w:rPr>
      </w:pPr>
      <w:r w:rsidRPr="005E2831">
        <w:rPr>
          <w:sz w:val="18"/>
          <w:szCs w:val="18"/>
          <w:lang w:val="en-US"/>
        </w:rPr>
        <w:t xml:space="preserve">Note: n=30; GA off; reward = </w:t>
      </w:r>
      <w:proofErr w:type="spellStart"/>
      <w:r w:rsidRPr="005E2831">
        <w:rPr>
          <w:sz w:val="18"/>
          <w:szCs w:val="18"/>
          <w:lang w:val="en-US"/>
        </w:rPr>
        <w:t>inventory_only</w:t>
      </w:r>
      <w:proofErr w:type="spellEnd"/>
      <w:r w:rsidRPr="005E2831">
        <w:rPr>
          <w:sz w:val="18"/>
          <w:szCs w:val="18"/>
          <w:lang w:val="en-US"/>
        </w:rPr>
        <w:t>. Mean [95% CI].</w:t>
      </w:r>
    </w:p>
    <w:p w14:paraId="00A99EA3" w14:textId="77777777" w:rsidR="00F61BA8" w:rsidRDefault="00000000">
      <w:pPr>
        <w:pStyle w:val="Ttulo3"/>
        <w:spacing w:before="0" w:after="0"/>
      </w:pPr>
      <w:r>
        <w:rPr>
          <w:rFonts w:eastAsia="Times New Roman"/>
          <w:sz w:val="20"/>
        </w:rPr>
        <w:t>Appendix E.9. 365-day horizon sensitivity check (Stable and Supply Disruption)</w:t>
      </w:r>
    </w:p>
    <w:p w14:paraId="0637912F" w14:textId="2683CF4B" w:rsidR="00F61BA8" w:rsidRPr="00EE1D9F" w:rsidRDefault="00000000" w:rsidP="00EE1D9F">
      <w:pPr>
        <w:pStyle w:val="text-base"/>
        <w:spacing w:before="0" w:after="0"/>
        <w:ind w:left="142"/>
        <w:jc w:val="both"/>
        <w:rPr>
          <w:lang w:val="en-US"/>
        </w:rPr>
      </w:pPr>
      <w:r w:rsidRPr="005B3F97">
        <w:rPr>
          <w:lang w:val="en-US"/>
        </w:rPr>
        <w:t>This add-on extends the horizon to 365 days under GA</w:t>
      </w:r>
      <w:r w:rsidR="008B31E2">
        <w:rPr>
          <w:lang w:val="en-US"/>
        </w:rPr>
        <w:t>, with</w:t>
      </w:r>
      <w:r w:rsidRPr="005B3F97">
        <w:rPr>
          <w:lang w:val="en-US"/>
        </w:rPr>
        <w:t xml:space="preserve"> reward = </w:t>
      </w:r>
      <w:proofErr w:type="spellStart"/>
      <w:r w:rsidRPr="005B3F97">
        <w:rPr>
          <w:lang w:val="en-US"/>
        </w:rPr>
        <w:t>inventory_plus_routing</w:t>
      </w:r>
      <w:proofErr w:type="spellEnd"/>
      <w:r w:rsidRPr="005B3F97">
        <w:rPr>
          <w:lang w:val="en-US"/>
        </w:rPr>
        <w:t>, using a reduced paired design (n = 30) and two scenarios (Stable and Supply Disruption). In Tables E.9a–E.9b, Base-stock denotes Base-stock (Deterministic), which uses only the forecaster's mean to set the order-up-to target. It differs from Base-stock (Uncertain), which Tables 3–6 report as the primary analytical baseline (Section 3.4).</w:t>
      </w:r>
    </w:p>
    <w:p w14:paraId="1CC973DF" w14:textId="77777777" w:rsidR="00F61BA8" w:rsidRPr="006F4D77" w:rsidRDefault="00000000" w:rsidP="006F4D77">
      <w:pPr>
        <w:pStyle w:val="ng-star-inserted"/>
        <w:spacing w:before="0" w:after="0" w:afterAutospacing="0"/>
        <w:ind w:left="216" w:right="14"/>
        <w:rPr>
          <w:rStyle w:val="ng-star-inserted1"/>
          <w:rFonts w:eastAsiaTheme="majorEastAsia"/>
          <w:b/>
          <w:bCs/>
          <w:color w:val="000000" w:themeColor="text1"/>
          <w:sz w:val="22"/>
          <w:szCs w:val="22"/>
          <w:lang w:val="en-US"/>
        </w:rPr>
      </w:pPr>
      <w:r w:rsidRPr="006F4D77">
        <w:rPr>
          <w:rStyle w:val="ng-star-inserted1"/>
          <w:rFonts w:eastAsiaTheme="majorEastAsia"/>
          <w:b/>
          <w:bCs/>
          <w:color w:val="000000" w:themeColor="text1"/>
          <w:sz w:val="22"/>
          <w:szCs w:val="22"/>
          <w:lang w:val="en-US"/>
        </w:rPr>
        <w:t>Table E.9a. Stable (365d) sensitivity check (n=30). Mean [95% CI].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2"/>
        <w:gridCol w:w="2059"/>
        <w:gridCol w:w="1701"/>
        <w:gridCol w:w="1559"/>
        <w:gridCol w:w="1418"/>
        <w:gridCol w:w="1377"/>
      </w:tblGrid>
      <w:tr w:rsidR="00F61BA8" w:rsidRPr="00EE1D9F" w14:paraId="743BF87A" w14:textId="77777777" w:rsidTr="00A80DFD">
        <w:trPr>
          <w:jc w:val="center"/>
        </w:trPr>
        <w:tc>
          <w:tcPr>
            <w:tcW w:w="1622" w:type="dxa"/>
            <w:vAlign w:val="center"/>
          </w:tcPr>
          <w:p w14:paraId="776EEF08" w14:textId="77777777" w:rsidR="00F61BA8" w:rsidRPr="00EE1D9F" w:rsidRDefault="00000000" w:rsidP="00A80DFD">
            <w:pPr>
              <w:jc w:val="center"/>
              <w:rPr>
                <w:rFonts w:cs="Times New Roman"/>
                <w:sz w:val="18"/>
                <w:szCs w:val="18"/>
              </w:rPr>
            </w:pPr>
            <w:r w:rsidRPr="00EE1D9F">
              <w:rPr>
                <w:rFonts w:cs="Times New Roman"/>
                <w:b/>
                <w:sz w:val="18"/>
                <w:szCs w:val="18"/>
              </w:rPr>
              <w:t>Policy</w:t>
            </w:r>
          </w:p>
        </w:tc>
        <w:tc>
          <w:tcPr>
            <w:tcW w:w="2059" w:type="dxa"/>
            <w:vAlign w:val="center"/>
          </w:tcPr>
          <w:p w14:paraId="75D50F96" w14:textId="77777777" w:rsidR="00F61BA8" w:rsidRPr="00EE1D9F" w:rsidRDefault="00000000" w:rsidP="00A80DFD">
            <w:pPr>
              <w:jc w:val="center"/>
              <w:rPr>
                <w:rFonts w:cs="Times New Roman"/>
                <w:sz w:val="18"/>
                <w:szCs w:val="18"/>
              </w:rPr>
            </w:pPr>
            <w:r w:rsidRPr="00EE1D9F">
              <w:rPr>
                <w:rFonts w:cs="Times New Roman"/>
                <w:b/>
                <w:sz w:val="18"/>
                <w:szCs w:val="18"/>
              </w:rPr>
              <w:t>Total cost (365d)</w:t>
            </w:r>
          </w:p>
        </w:tc>
        <w:tc>
          <w:tcPr>
            <w:tcW w:w="1701" w:type="dxa"/>
            <w:vAlign w:val="center"/>
          </w:tcPr>
          <w:p w14:paraId="09C3D186" w14:textId="77777777" w:rsidR="00F61BA8" w:rsidRPr="00EE1D9F" w:rsidRDefault="00000000" w:rsidP="00A80DFD">
            <w:pPr>
              <w:jc w:val="center"/>
              <w:rPr>
                <w:rFonts w:cs="Times New Roman"/>
                <w:sz w:val="18"/>
                <w:szCs w:val="18"/>
              </w:rPr>
            </w:pPr>
            <w:r w:rsidRPr="00EE1D9F">
              <w:rPr>
                <w:rFonts w:cs="Times New Roman"/>
                <w:b/>
                <w:sz w:val="18"/>
                <w:szCs w:val="18"/>
              </w:rPr>
              <w:t>Ordering cost (365d)</w:t>
            </w:r>
          </w:p>
        </w:tc>
        <w:tc>
          <w:tcPr>
            <w:tcW w:w="1559" w:type="dxa"/>
            <w:vAlign w:val="center"/>
          </w:tcPr>
          <w:p w14:paraId="3849C80A" w14:textId="77777777" w:rsidR="00F61BA8" w:rsidRPr="00EE1D9F" w:rsidRDefault="00000000" w:rsidP="00A80DFD">
            <w:pPr>
              <w:jc w:val="center"/>
              <w:rPr>
                <w:rFonts w:cs="Times New Roman"/>
                <w:sz w:val="18"/>
                <w:szCs w:val="18"/>
              </w:rPr>
            </w:pPr>
            <w:r w:rsidRPr="00EE1D9F">
              <w:rPr>
                <w:rFonts w:cs="Times New Roman"/>
                <w:b/>
                <w:sz w:val="18"/>
                <w:szCs w:val="18"/>
              </w:rPr>
              <w:t>Routing cost (365d)</w:t>
            </w:r>
          </w:p>
        </w:tc>
        <w:tc>
          <w:tcPr>
            <w:tcW w:w="1418" w:type="dxa"/>
            <w:vAlign w:val="center"/>
          </w:tcPr>
          <w:p w14:paraId="018BF09E" w14:textId="77777777" w:rsidR="00F61BA8" w:rsidRPr="00EE1D9F" w:rsidRDefault="00000000" w:rsidP="00A80DFD">
            <w:pPr>
              <w:jc w:val="center"/>
              <w:rPr>
                <w:rFonts w:cs="Times New Roman"/>
                <w:sz w:val="18"/>
                <w:szCs w:val="18"/>
              </w:rPr>
            </w:pPr>
            <w:r w:rsidRPr="00EE1D9F">
              <w:rPr>
                <w:rFonts w:cs="Times New Roman"/>
                <w:b/>
                <w:sz w:val="18"/>
                <w:szCs w:val="18"/>
              </w:rPr>
              <w:t>Fill rate (365d)</w:t>
            </w:r>
          </w:p>
        </w:tc>
        <w:tc>
          <w:tcPr>
            <w:tcW w:w="1377" w:type="dxa"/>
            <w:vAlign w:val="center"/>
          </w:tcPr>
          <w:p w14:paraId="709A8DB9" w14:textId="77777777" w:rsidR="00F61BA8" w:rsidRPr="00EE1D9F" w:rsidRDefault="00000000" w:rsidP="00A80DFD">
            <w:pPr>
              <w:jc w:val="center"/>
              <w:rPr>
                <w:rFonts w:cs="Times New Roman"/>
                <w:sz w:val="18"/>
                <w:szCs w:val="18"/>
              </w:rPr>
            </w:pPr>
            <w:r w:rsidRPr="00EE1D9F">
              <w:rPr>
                <w:rFonts w:cs="Times New Roman"/>
                <w:b/>
                <w:sz w:val="18"/>
                <w:szCs w:val="18"/>
              </w:rPr>
              <w:t>Stockout rate (365d)</w:t>
            </w:r>
          </w:p>
        </w:tc>
      </w:tr>
      <w:tr w:rsidR="00F61BA8" w:rsidRPr="00EE1D9F" w14:paraId="7B0113F2" w14:textId="77777777" w:rsidTr="00A80DFD">
        <w:trPr>
          <w:jc w:val="center"/>
        </w:trPr>
        <w:tc>
          <w:tcPr>
            <w:tcW w:w="1622" w:type="dxa"/>
            <w:vAlign w:val="center"/>
          </w:tcPr>
          <w:p w14:paraId="3BB858E1" w14:textId="77777777" w:rsidR="00F61BA8" w:rsidRPr="00EE1D9F" w:rsidRDefault="00000000" w:rsidP="00A80DFD">
            <w:pPr>
              <w:rPr>
                <w:rFonts w:cs="Times New Roman"/>
                <w:sz w:val="18"/>
                <w:szCs w:val="18"/>
              </w:rPr>
            </w:pPr>
            <w:r w:rsidRPr="00EE1D9F">
              <w:rPr>
                <w:rFonts w:cs="Times New Roman"/>
                <w:sz w:val="18"/>
                <w:szCs w:val="18"/>
              </w:rPr>
              <w:t>Static</w:t>
            </w:r>
          </w:p>
        </w:tc>
        <w:tc>
          <w:tcPr>
            <w:tcW w:w="2059" w:type="dxa"/>
            <w:vAlign w:val="center"/>
          </w:tcPr>
          <w:p w14:paraId="2A36939F" w14:textId="77777777" w:rsidR="00F61BA8" w:rsidRPr="006F4D77" w:rsidRDefault="00000000" w:rsidP="00A80DFD">
            <w:pPr>
              <w:jc w:val="center"/>
              <w:rPr>
                <w:rFonts w:cs="Times New Roman"/>
                <w:sz w:val="16"/>
                <w:szCs w:val="16"/>
              </w:rPr>
            </w:pPr>
            <w:r w:rsidRPr="006F4D77">
              <w:rPr>
                <w:rFonts w:cs="Times New Roman"/>
                <w:sz w:val="16"/>
                <w:szCs w:val="16"/>
              </w:rPr>
              <w:t>40,208,306</w:t>
            </w:r>
            <w:r w:rsidRPr="006F4D77">
              <w:rPr>
                <w:rFonts w:cs="Times New Roman"/>
                <w:sz w:val="16"/>
                <w:szCs w:val="16"/>
              </w:rPr>
              <w:br/>
              <w:t>[39,367,081; 41,065,075]</w:t>
            </w:r>
          </w:p>
        </w:tc>
        <w:tc>
          <w:tcPr>
            <w:tcW w:w="1701" w:type="dxa"/>
            <w:vAlign w:val="center"/>
          </w:tcPr>
          <w:p w14:paraId="0AC9F31D" w14:textId="77777777" w:rsidR="00F61BA8" w:rsidRPr="006F4D77" w:rsidRDefault="00000000" w:rsidP="00A80DFD">
            <w:pPr>
              <w:jc w:val="center"/>
              <w:rPr>
                <w:rFonts w:cs="Times New Roman"/>
                <w:sz w:val="16"/>
                <w:szCs w:val="16"/>
              </w:rPr>
            </w:pPr>
            <w:r w:rsidRPr="006F4D77">
              <w:rPr>
                <w:rFonts w:cs="Times New Roman"/>
                <w:sz w:val="16"/>
                <w:szCs w:val="16"/>
              </w:rPr>
              <w:t>55,426</w:t>
            </w:r>
            <w:r w:rsidRPr="006F4D77">
              <w:rPr>
                <w:rFonts w:cs="Times New Roman"/>
                <w:sz w:val="16"/>
                <w:szCs w:val="16"/>
              </w:rPr>
              <w:br/>
              <w:t>[54,690; 56,126]</w:t>
            </w:r>
          </w:p>
        </w:tc>
        <w:tc>
          <w:tcPr>
            <w:tcW w:w="1559" w:type="dxa"/>
            <w:vAlign w:val="center"/>
          </w:tcPr>
          <w:p w14:paraId="0080436E" w14:textId="77777777" w:rsidR="00F61BA8" w:rsidRPr="006F4D77" w:rsidRDefault="00000000" w:rsidP="00A80DFD">
            <w:pPr>
              <w:jc w:val="center"/>
              <w:rPr>
                <w:rFonts w:cs="Times New Roman"/>
                <w:sz w:val="16"/>
                <w:szCs w:val="16"/>
              </w:rPr>
            </w:pPr>
            <w:r w:rsidRPr="006F4D77">
              <w:rPr>
                <w:rFonts w:cs="Times New Roman"/>
                <w:sz w:val="16"/>
                <w:szCs w:val="16"/>
              </w:rPr>
              <w:t>42,009</w:t>
            </w:r>
            <w:r w:rsidRPr="006F4D77">
              <w:rPr>
                <w:rFonts w:cs="Times New Roman"/>
                <w:sz w:val="16"/>
                <w:szCs w:val="16"/>
              </w:rPr>
              <w:br/>
              <w:t>[41,799; 42,193]</w:t>
            </w:r>
          </w:p>
        </w:tc>
        <w:tc>
          <w:tcPr>
            <w:tcW w:w="1418" w:type="dxa"/>
            <w:vAlign w:val="center"/>
          </w:tcPr>
          <w:p w14:paraId="53A786A9" w14:textId="77777777" w:rsidR="00F61BA8" w:rsidRPr="006F4D77" w:rsidRDefault="00000000" w:rsidP="00A80DFD">
            <w:pPr>
              <w:jc w:val="center"/>
              <w:rPr>
                <w:rFonts w:cs="Times New Roman"/>
                <w:sz w:val="16"/>
                <w:szCs w:val="16"/>
              </w:rPr>
            </w:pPr>
            <w:r w:rsidRPr="006F4D77">
              <w:rPr>
                <w:rFonts w:cs="Times New Roman"/>
                <w:sz w:val="16"/>
                <w:szCs w:val="16"/>
              </w:rPr>
              <w:t>51.3%</w:t>
            </w:r>
            <w:r w:rsidRPr="006F4D77">
              <w:rPr>
                <w:rFonts w:cs="Times New Roman"/>
                <w:sz w:val="16"/>
                <w:szCs w:val="16"/>
              </w:rPr>
              <w:br/>
              <w:t>[50.7%; 51.8%]</w:t>
            </w:r>
          </w:p>
        </w:tc>
        <w:tc>
          <w:tcPr>
            <w:tcW w:w="1377" w:type="dxa"/>
            <w:vAlign w:val="center"/>
          </w:tcPr>
          <w:p w14:paraId="5CE5E7F9" w14:textId="77777777" w:rsidR="00F61BA8" w:rsidRPr="006F4D77" w:rsidRDefault="00000000" w:rsidP="00A80DFD">
            <w:pPr>
              <w:jc w:val="center"/>
              <w:rPr>
                <w:rFonts w:cs="Times New Roman"/>
                <w:sz w:val="16"/>
                <w:szCs w:val="16"/>
              </w:rPr>
            </w:pPr>
            <w:r w:rsidRPr="006F4D77">
              <w:rPr>
                <w:rFonts w:cs="Times New Roman"/>
                <w:sz w:val="16"/>
                <w:szCs w:val="16"/>
              </w:rPr>
              <w:t>62.3%</w:t>
            </w:r>
            <w:r w:rsidRPr="006F4D77">
              <w:rPr>
                <w:rFonts w:cs="Times New Roman"/>
                <w:sz w:val="16"/>
                <w:szCs w:val="16"/>
              </w:rPr>
              <w:br/>
              <w:t>[61.3%; 63.3%]</w:t>
            </w:r>
          </w:p>
        </w:tc>
      </w:tr>
      <w:tr w:rsidR="00F61BA8" w:rsidRPr="00EE1D9F" w14:paraId="34AFC30C" w14:textId="77777777" w:rsidTr="00A80DFD">
        <w:trPr>
          <w:jc w:val="center"/>
        </w:trPr>
        <w:tc>
          <w:tcPr>
            <w:tcW w:w="1622" w:type="dxa"/>
            <w:vAlign w:val="center"/>
          </w:tcPr>
          <w:p w14:paraId="7367189B" w14:textId="77777777" w:rsidR="00F61BA8" w:rsidRPr="00EE1D9F" w:rsidRDefault="00000000" w:rsidP="00A80DFD">
            <w:pPr>
              <w:rPr>
                <w:rFonts w:cs="Times New Roman"/>
                <w:sz w:val="18"/>
                <w:szCs w:val="18"/>
              </w:rPr>
            </w:pPr>
            <w:r w:rsidRPr="00EE1D9F">
              <w:rPr>
                <w:rFonts w:cs="Times New Roman"/>
                <w:sz w:val="18"/>
                <w:szCs w:val="18"/>
              </w:rPr>
              <w:t>Dynamic</w:t>
            </w:r>
          </w:p>
        </w:tc>
        <w:tc>
          <w:tcPr>
            <w:tcW w:w="2059" w:type="dxa"/>
            <w:vAlign w:val="center"/>
          </w:tcPr>
          <w:p w14:paraId="5527EF83" w14:textId="77777777" w:rsidR="00F61BA8" w:rsidRPr="006F4D77" w:rsidRDefault="00000000" w:rsidP="00A80DFD">
            <w:pPr>
              <w:jc w:val="center"/>
              <w:rPr>
                <w:rFonts w:cs="Times New Roman"/>
                <w:sz w:val="16"/>
                <w:szCs w:val="16"/>
              </w:rPr>
            </w:pPr>
            <w:r w:rsidRPr="006F4D77">
              <w:rPr>
                <w:rFonts w:cs="Times New Roman"/>
                <w:sz w:val="16"/>
                <w:szCs w:val="16"/>
              </w:rPr>
              <w:t>27,726,838</w:t>
            </w:r>
            <w:r w:rsidRPr="006F4D77">
              <w:rPr>
                <w:rFonts w:cs="Times New Roman"/>
                <w:sz w:val="16"/>
                <w:szCs w:val="16"/>
              </w:rPr>
              <w:br/>
              <w:t>[27,084,204; 28,508,792]</w:t>
            </w:r>
          </w:p>
        </w:tc>
        <w:tc>
          <w:tcPr>
            <w:tcW w:w="1701" w:type="dxa"/>
            <w:vAlign w:val="center"/>
          </w:tcPr>
          <w:p w14:paraId="781C6282" w14:textId="77777777" w:rsidR="00F61BA8" w:rsidRPr="006F4D77" w:rsidRDefault="00000000" w:rsidP="00A80DFD">
            <w:pPr>
              <w:jc w:val="center"/>
              <w:rPr>
                <w:rFonts w:cs="Times New Roman"/>
                <w:sz w:val="16"/>
                <w:szCs w:val="16"/>
              </w:rPr>
            </w:pPr>
            <w:r w:rsidRPr="006F4D77">
              <w:rPr>
                <w:rFonts w:cs="Times New Roman"/>
                <w:sz w:val="16"/>
                <w:szCs w:val="16"/>
              </w:rPr>
              <w:t>72,205</w:t>
            </w:r>
            <w:r w:rsidRPr="006F4D77">
              <w:rPr>
                <w:rFonts w:cs="Times New Roman"/>
                <w:sz w:val="16"/>
                <w:szCs w:val="16"/>
              </w:rPr>
              <w:br/>
              <w:t>[71,609; 72,781]</w:t>
            </w:r>
          </w:p>
        </w:tc>
        <w:tc>
          <w:tcPr>
            <w:tcW w:w="1559" w:type="dxa"/>
            <w:vAlign w:val="center"/>
          </w:tcPr>
          <w:p w14:paraId="73FC00F8" w14:textId="77777777" w:rsidR="00F61BA8" w:rsidRPr="006F4D77" w:rsidRDefault="00000000" w:rsidP="00A80DFD">
            <w:pPr>
              <w:jc w:val="center"/>
              <w:rPr>
                <w:rFonts w:cs="Times New Roman"/>
                <w:sz w:val="16"/>
                <w:szCs w:val="16"/>
              </w:rPr>
            </w:pPr>
            <w:r w:rsidRPr="006F4D77">
              <w:rPr>
                <w:rFonts w:cs="Times New Roman"/>
                <w:sz w:val="16"/>
                <w:szCs w:val="16"/>
              </w:rPr>
              <w:t>47,084</w:t>
            </w:r>
            <w:r w:rsidRPr="006F4D77">
              <w:rPr>
                <w:rFonts w:cs="Times New Roman"/>
                <w:sz w:val="16"/>
                <w:szCs w:val="16"/>
              </w:rPr>
              <w:br/>
              <w:t>[46,579; 47,631]</w:t>
            </w:r>
          </w:p>
        </w:tc>
        <w:tc>
          <w:tcPr>
            <w:tcW w:w="1418" w:type="dxa"/>
            <w:vAlign w:val="center"/>
          </w:tcPr>
          <w:p w14:paraId="25BE3217" w14:textId="77777777" w:rsidR="00F61BA8" w:rsidRPr="006F4D77" w:rsidRDefault="00000000" w:rsidP="00A80DFD">
            <w:pPr>
              <w:jc w:val="center"/>
              <w:rPr>
                <w:rFonts w:cs="Times New Roman"/>
                <w:sz w:val="16"/>
                <w:szCs w:val="16"/>
              </w:rPr>
            </w:pPr>
            <w:r w:rsidRPr="006F4D77">
              <w:rPr>
                <w:rFonts w:cs="Times New Roman"/>
                <w:sz w:val="16"/>
                <w:szCs w:val="16"/>
              </w:rPr>
              <w:t>66.6%</w:t>
            </w:r>
            <w:r w:rsidRPr="006F4D77">
              <w:rPr>
                <w:rFonts w:cs="Times New Roman"/>
                <w:sz w:val="16"/>
                <w:szCs w:val="16"/>
              </w:rPr>
              <w:br/>
              <w:t>[66.2%; 66.9%]</w:t>
            </w:r>
          </w:p>
        </w:tc>
        <w:tc>
          <w:tcPr>
            <w:tcW w:w="1377" w:type="dxa"/>
            <w:vAlign w:val="center"/>
          </w:tcPr>
          <w:p w14:paraId="0C9469E9" w14:textId="77777777" w:rsidR="00F61BA8" w:rsidRPr="006F4D77" w:rsidRDefault="00000000" w:rsidP="00A80DFD">
            <w:pPr>
              <w:jc w:val="center"/>
              <w:rPr>
                <w:rFonts w:cs="Times New Roman"/>
                <w:sz w:val="16"/>
                <w:szCs w:val="16"/>
              </w:rPr>
            </w:pPr>
            <w:r w:rsidRPr="006F4D77">
              <w:rPr>
                <w:rFonts w:cs="Times New Roman"/>
                <w:sz w:val="16"/>
                <w:szCs w:val="16"/>
              </w:rPr>
              <w:t>40.1%</w:t>
            </w:r>
            <w:r w:rsidRPr="006F4D77">
              <w:rPr>
                <w:rFonts w:cs="Times New Roman"/>
                <w:sz w:val="16"/>
                <w:szCs w:val="16"/>
              </w:rPr>
              <w:br/>
              <w:t>[39.6%; 40.7%]</w:t>
            </w:r>
          </w:p>
        </w:tc>
      </w:tr>
      <w:tr w:rsidR="00F61BA8" w:rsidRPr="00EE1D9F" w14:paraId="018EE6F6" w14:textId="77777777" w:rsidTr="00A80DFD">
        <w:trPr>
          <w:jc w:val="center"/>
        </w:trPr>
        <w:tc>
          <w:tcPr>
            <w:tcW w:w="1622" w:type="dxa"/>
            <w:vAlign w:val="center"/>
          </w:tcPr>
          <w:p w14:paraId="55DA6E10" w14:textId="77777777" w:rsidR="00F61BA8" w:rsidRPr="00EE1D9F" w:rsidRDefault="00000000" w:rsidP="00A80DFD">
            <w:pPr>
              <w:rPr>
                <w:rFonts w:cs="Times New Roman"/>
                <w:sz w:val="18"/>
                <w:szCs w:val="18"/>
              </w:rPr>
            </w:pPr>
            <w:r w:rsidRPr="00EE1D9F">
              <w:rPr>
                <w:rFonts w:cs="Times New Roman"/>
                <w:sz w:val="18"/>
                <w:szCs w:val="18"/>
              </w:rPr>
              <w:t>Dynamic + Forecast</w:t>
            </w:r>
          </w:p>
        </w:tc>
        <w:tc>
          <w:tcPr>
            <w:tcW w:w="2059" w:type="dxa"/>
            <w:vAlign w:val="center"/>
          </w:tcPr>
          <w:p w14:paraId="37BD3953" w14:textId="77777777" w:rsidR="00F61BA8" w:rsidRPr="006F4D77" w:rsidRDefault="00000000" w:rsidP="00A80DFD">
            <w:pPr>
              <w:jc w:val="center"/>
              <w:rPr>
                <w:rFonts w:cs="Times New Roman"/>
                <w:sz w:val="16"/>
                <w:szCs w:val="16"/>
              </w:rPr>
            </w:pPr>
            <w:r w:rsidRPr="006F4D77">
              <w:rPr>
                <w:rFonts w:cs="Times New Roman"/>
                <w:sz w:val="16"/>
                <w:szCs w:val="16"/>
              </w:rPr>
              <w:t>1,651,087</w:t>
            </w:r>
            <w:r w:rsidRPr="006F4D77">
              <w:rPr>
                <w:rFonts w:cs="Times New Roman"/>
                <w:sz w:val="16"/>
                <w:szCs w:val="16"/>
              </w:rPr>
              <w:br/>
              <w:t>[1,459,567; 1,883,695]</w:t>
            </w:r>
          </w:p>
        </w:tc>
        <w:tc>
          <w:tcPr>
            <w:tcW w:w="1701" w:type="dxa"/>
            <w:vAlign w:val="center"/>
          </w:tcPr>
          <w:p w14:paraId="714CF300" w14:textId="77777777" w:rsidR="00F61BA8" w:rsidRPr="006F4D77" w:rsidRDefault="00000000" w:rsidP="00A80DFD">
            <w:pPr>
              <w:jc w:val="center"/>
              <w:rPr>
                <w:rFonts w:cs="Times New Roman"/>
                <w:sz w:val="16"/>
                <w:szCs w:val="16"/>
              </w:rPr>
            </w:pPr>
            <w:r w:rsidRPr="006F4D77">
              <w:rPr>
                <w:rFonts w:cs="Times New Roman"/>
                <w:sz w:val="16"/>
                <w:szCs w:val="16"/>
              </w:rPr>
              <w:t>109,660</w:t>
            </w:r>
            <w:r w:rsidRPr="006F4D77">
              <w:rPr>
                <w:rFonts w:cs="Times New Roman"/>
                <w:sz w:val="16"/>
                <w:szCs w:val="16"/>
              </w:rPr>
              <w:br/>
              <w:t>[108,549; 110,764]</w:t>
            </w:r>
          </w:p>
        </w:tc>
        <w:tc>
          <w:tcPr>
            <w:tcW w:w="1559" w:type="dxa"/>
            <w:vAlign w:val="center"/>
          </w:tcPr>
          <w:p w14:paraId="30133CA4" w14:textId="77777777" w:rsidR="00F61BA8" w:rsidRPr="006F4D77" w:rsidRDefault="00000000" w:rsidP="00A80DFD">
            <w:pPr>
              <w:jc w:val="center"/>
              <w:rPr>
                <w:rFonts w:cs="Times New Roman"/>
                <w:sz w:val="16"/>
                <w:szCs w:val="16"/>
              </w:rPr>
            </w:pPr>
            <w:r w:rsidRPr="006F4D77">
              <w:rPr>
                <w:rFonts w:cs="Times New Roman"/>
                <w:sz w:val="16"/>
                <w:szCs w:val="16"/>
              </w:rPr>
              <w:t>40,498</w:t>
            </w:r>
            <w:r w:rsidRPr="006F4D77">
              <w:rPr>
                <w:rFonts w:cs="Times New Roman"/>
                <w:sz w:val="16"/>
                <w:szCs w:val="16"/>
              </w:rPr>
              <w:br/>
              <w:t>[39,815; 41,191]</w:t>
            </w:r>
          </w:p>
        </w:tc>
        <w:tc>
          <w:tcPr>
            <w:tcW w:w="1418" w:type="dxa"/>
            <w:vAlign w:val="center"/>
          </w:tcPr>
          <w:p w14:paraId="6D0A19F2" w14:textId="77777777" w:rsidR="00F61BA8" w:rsidRPr="006F4D77" w:rsidRDefault="00000000" w:rsidP="00A80DFD">
            <w:pPr>
              <w:jc w:val="center"/>
              <w:rPr>
                <w:rFonts w:cs="Times New Roman"/>
                <w:sz w:val="16"/>
                <w:szCs w:val="16"/>
              </w:rPr>
            </w:pPr>
            <w:r w:rsidRPr="006F4D77">
              <w:rPr>
                <w:rFonts w:cs="Times New Roman"/>
                <w:sz w:val="16"/>
                <w:szCs w:val="16"/>
              </w:rPr>
              <w:t>98.3%</w:t>
            </w:r>
            <w:r w:rsidRPr="006F4D77">
              <w:rPr>
                <w:rFonts w:cs="Times New Roman"/>
                <w:sz w:val="16"/>
                <w:szCs w:val="16"/>
              </w:rPr>
              <w:br/>
              <w:t>[98.1%; 98.5%]</w:t>
            </w:r>
          </w:p>
        </w:tc>
        <w:tc>
          <w:tcPr>
            <w:tcW w:w="1377" w:type="dxa"/>
            <w:vAlign w:val="center"/>
          </w:tcPr>
          <w:p w14:paraId="379245DC" w14:textId="77777777" w:rsidR="00F61BA8" w:rsidRPr="006F4D77" w:rsidRDefault="00000000" w:rsidP="00A80DFD">
            <w:pPr>
              <w:jc w:val="center"/>
              <w:rPr>
                <w:rFonts w:cs="Times New Roman"/>
                <w:sz w:val="16"/>
                <w:szCs w:val="16"/>
              </w:rPr>
            </w:pPr>
            <w:r w:rsidRPr="006F4D77">
              <w:rPr>
                <w:rFonts w:cs="Times New Roman"/>
                <w:sz w:val="16"/>
                <w:szCs w:val="16"/>
              </w:rPr>
              <w:t>2.3%</w:t>
            </w:r>
            <w:r w:rsidRPr="006F4D77">
              <w:rPr>
                <w:rFonts w:cs="Times New Roman"/>
                <w:sz w:val="16"/>
                <w:szCs w:val="16"/>
              </w:rPr>
              <w:br/>
              <w:t>[2.1%; 2.6%]</w:t>
            </w:r>
          </w:p>
        </w:tc>
      </w:tr>
      <w:tr w:rsidR="00F61BA8" w:rsidRPr="00EE1D9F" w14:paraId="10B17F8E" w14:textId="77777777" w:rsidTr="00A80DFD">
        <w:trPr>
          <w:jc w:val="center"/>
        </w:trPr>
        <w:tc>
          <w:tcPr>
            <w:tcW w:w="1622" w:type="dxa"/>
            <w:vAlign w:val="center"/>
          </w:tcPr>
          <w:p w14:paraId="623F1D45" w14:textId="77777777" w:rsidR="004946DD" w:rsidRDefault="00000000">
            <w:r>
              <w:t>Base-stock (Deterministic)</w:t>
            </w:r>
          </w:p>
        </w:tc>
        <w:tc>
          <w:tcPr>
            <w:tcW w:w="2059" w:type="dxa"/>
            <w:vAlign w:val="center"/>
          </w:tcPr>
          <w:p w14:paraId="2A52B8DC" w14:textId="77777777" w:rsidR="00F61BA8" w:rsidRPr="006F4D77" w:rsidRDefault="00000000" w:rsidP="00A80DFD">
            <w:pPr>
              <w:jc w:val="center"/>
              <w:rPr>
                <w:rFonts w:cs="Times New Roman"/>
                <w:sz w:val="16"/>
                <w:szCs w:val="16"/>
              </w:rPr>
            </w:pPr>
            <w:r w:rsidRPr="006F4D77">
              <w:rPr>
                <w:rFonts w:cs="Times New Roman"/>
                <w:sz w:val="16"/>
                <w:szCs w:val="16"/>
              </w:rPr>
              <w:t>1,676,069</w:t>
            </w:r>
            <w:r w:rsidRPr="006F4D77">
              <w:rPr>
                <w:rFonts w:cs="Times New Roman"/>
                <w:sz w:val="16"/>
                <w:szCs w:val="16"/>
              </w:rPr>
              <w:br/>
              <w:t>[1,479,211; 1,891,316]</w:t>
            </w:r>
          </w:p>
        </w:tc>
        <w:tc>
          <w:tcPr>
            <w:tcW w:w="1701" w:type="dxa"/>
            <w:vAlign w:val="center"/>
          </w:tcPr>
          <w:p w14:paraId="428A983A" w14:textId="77777777" w:rsidR="00F61BA8" w:rsidRPr="006F4D77" w:rsidRDefault="00000000" w:rsidP="00A80DFD">
            <w:pPr>
              <w:jc w:val="center"/>
              <w:rPr>
                <w:rFonts w:cs="Times New Roman"/>
                <w:sz w:val="16"/>
                <w:szCs w:val="16"/>
              </w:rPr>
            </w:pPr>
            <w:r w:rsidRPr="006F4D77">
              <w:rPr>
                <w:rFonts w:cs="Times New Roman"/>
                <w:sz w:val="16"/>
                <w:szCs w:val="16"/>
              </w:rPr>
              <w:t>109,401</w:t>
            </w:r>
            <w:r w:rsidRPr="006F4D77">
              <w:rPr>
                <w:rFonts w:cs="Times New Roman"/>
                <w:sz w:val="16"/>
                <w:szCs w:val="16"/>
              </w:rPr>
              <w:br/>
              <w:t>[108,341; 110,562]</w:t>
            </w:r>
          </w:p>
        </w:tc>
        <w:tc>
          <w:tcPr>
            <w:tcW w:w="1559" w:type="dxa"/>
            <w:vAlign w:val="center"/>
          </w:tcPr>
          <w:p w14:paraId="59FECDC6" w14:textId="77777777" w:rsidR="00F61BA8" w:rsidRPr="006F4D77" w:rsidRDefault="00000000" w:rsidP="00A80DFD">
            <w:pPr>
              <w:jc w:val="center"/>
              <w:rPr>
                <w:rFonts w:cs="Times New Roman"/>
                <w:sz w:val="16"/>
                <w:szCs w:val="16"/>
              </w:rPr>
            </w:pPr>
            <w:r w:rsidRPr="006F4D77">
              <w:rPr>
                <w:rFonts w:cs="Times New Roman"/>
                <w:sz w:val="16"/>
                <w:szCs w:val="16"/>
              </w:rPr>
              <w:t>39,352</w:t>
            </w:r>
            <w:r w:rsidRPr="006F4D77">
              <w:rPr>
                <w:rFonts w:cs="Times New Roman"/>
                <w:sz w:val="16"/>
                <w:szCs w:val="16"/>
              </w:rPr>
              <w:br/>
              <w:t>[38,790; 39,883]</w:t>
            </w:r>
          </w:p>
        </w:tc>
        <w:tc>
          <w:tcPr>
            <w:tcW w:w="1418" w:type="dxa"/>
            <w:vAlign w:val="center"/>
          </w:tcPr>
          <w:p w14:paraId="1F290391" w14:textId="77777777" w:rsidR="00F61BA8" w:rsidRPr="006F4D77" w:rsidRDefault="00000000" w:rsidP="00A80DFD">
            <w:pPr>
              <w:jc w:val="center"/>
              <w:rPr>
                <w:rFonts w:cs="Times New Roman"/>
                <w:sz w:val="16"/>
                <w:szCs w:val="16"/>
              </w:rPr>
            </w:pPr>
            <w:r w:rsidRPr="006F4D77">
              <w:rPr>
                <w:rFonts w:cs="Times New Roman"/>
                <w:sz w:val="16"/>
                <w:szCs w:val="16"/>
              </w:rPr>
              <w:t>98.2%</w:t>
            </w:r>
            <w:r w:rsidRPr="006F4D77">
              <w:rPr>
                <w:rFonts w:cs="Times New Roman"/>
                <w:sz w:val="16"/>
                <w:szCs w:val="16"/>
              </w:rPr>
              <w:br/>
              <w:t>[98.0%; 98.4%]</w:t>
            </w:r>
          </w:p>
        </w:tc>
        <w:tc>
          <w:tcPr>
            <w:tcW w:w="1377" w:type="dxa"/>
            <w:vAlign w:val="center"/>
          </w:tcPr>
          <w:p w14:paraId="037A94F7" w14:textId="77777777" w:rsidR="00F61BA8" w:rsidRPr="006F4D77" w:rsidRDefault="00000000" w:rsidP="00A80DFD">
            <w:pPr>
              <w:jc w:val="center"/>
              <w:rPr>
                <w:rFonts w:cs="Times New Roman"/>
                <w:sz w:val="16"/>
                <w:szCs w:val="16"/>
              </w:rPr>
            </w:pPr>
            <w:r w:rsidRPr="006F4D77">
              <w:rPr>
                <w:rFonts w:cs="Times New Roman"/>
                <w:sz w:val="16"/>
                <w:szCs w:val="16"/>
              </w:rPr>
              <w:t>2.4%</w:t>
            </w:r>
            <w:r w:rsidRPr="006F4D77">
              <w:rPr>
                <w:rFonts w:cs="Times New Roman"/>
                <w:sz w:val="16"/>
                <w:szCs w:val="16"/>
              </w:rPr>
              <w:br/>
              <w:t>[2.1%; 2.7%]</w:t>
            </w:r>
          </w:p>
        </w:tc>
      </w:tr>
      <w:tr w:rsidR="00F61BA8" w:rsidRPr="00EE1D9F" w14:paraId="1691D14C" w14:textId="77777777" w:rsidTr="00A80DFD">
        <w:trPr>
          <w:jc w:val="center"/>
        </w:trPr>
        <w:tc>
          <w:tcPr>
            <w:tcW w:w="1622" w:type="dxa"/>
            <w:vAlign w:val="center"/>
          </w:tcPr>
          <w:p w14:paraId="04772A6E" w14:textId="77777777" w:rsidR="00F61BA8" w:rsidRPr="00EE1D9F" w:rsidRDefault="00000000" w:rsidP="00A80DFD">
            <w:pPr>
              <w:rPr>
                <w:rFonts w:cs="Times New Roman"/>
                <w:sz w:val="18"/>
                <w:szCs w:val="18"/>
              </w:rPr>
            </w:pPr>
            <w:r w:rsidRPr="00EE1D9F">
              <w:rPr>
                <w:rFonts w:cs="Times New Roman"/>
                <w:sz w:val="18"/>
                <w:szCs w:val="18"/>
              </w:rPr>
              <w:t>Hybrid AI</w:t>
            </w:r>
          </w:p>
        </w:tc>
        <w:tc>
          <w:tcPr>
            <w:tcW w:w="2059" w:type="dxa"/>
            <w:vAlign w:val="center"/>
          </w:tcPr>
          <w:p w14:paraId="6AA36825" w14:textId="77777777" w:rsidR="00F61BA8" w:rsidRPr="006F4D77" w:rsidRDefault="00000000" w:rsidP="00A80DFD">
            <w:pPr>
              <w:jc w:val="center"/>
              <w:rPr>
                <w:rFonts w:cs="Times New Roman"/>
                <w:sz w:val="16"/>
                <w:szCs w:val="16"/>
              </w:rPr>
            </w:pPr>
            <w:r w:rsidRPr="006F4D77">
              <w:rPr>
                <w:rFonts w:cs="Times New Roman"/>
                <w:sz w:val="16"/>
                <w:szCs w:val="16"/>
              </w:rPr>
              <w:t>881,241</w:t>
            </w:r>
            <w:r w:rsidRPr="006F4D77">
              <w:rPr>
                <w:rFonts w:cs="Times New Roman"/>
                <w:sz w:val="16"/>
                <w:szCs w:val="16"/>
              </w:rPr>
              <w:br/>
              <w:t>[753,718; 1,022,567]</w:t>
            </w:r>
          </w:p>
        </w:tc>
        <w:tc>
          <w:tcPr>
            <w:tcW w:w="1701" w:type="dxa"/>
            <w:vAlign w:val="center"/>
          </w:tcPr>
          <w:p w14:paraId="19DF3766" w14:textId="77777777" w:rsidR="00F61BA8" w:rsidRPr="006F4D77" w:rsidRDefault="00000000" w:rsidP="00A80DFD">
            <w:pPr>
              <w:jc w:val="center"/>
              <w:rPr>
                <w:rFonts w:cs="Times New Roman"/>
                <w:sz w:val="16"/>
                <w:szCs w:val="16"/>
              </w:rPr>
            </w:pPr>
            <w:r w:rsidRPr="006F4D77">
              <w:rPr>
                <w:rFonts w:cs="Times New Roman"/>
                <w:sz w:val="16"/>
                <w:szCs w:val="16"/>
              </w:rPr>
              <w:t>112,182</w:t>
            </w:r>
            <w:r w:rsidRPr="006F4D77">
              <w:rPr>
                <w:rFonts w:cs="Times New Roman"/>
                <w:sz w:val="16"/>
                <w:szCs w:val="16"/>
              </w:rPr>
              <w:br/>
              <w:t>[111,124; 113,240]</w:t>
            </w:r>
          </w:p>
        </w:tc>
        <w:tc>
          <w:tcPr>
            <w:tcW w:w="1559" w:type="dxa"/>
            <w:vAlign w:val="center"/>
          </w:tcPr>
          <w:p w14:paraId="235D035F" w14:textId="77777777" w:rsidR="00F61BA8" w:rsidRPr="006F4D77" w:rsidRDefault="00000000" w:rsidP="00A80DFD">
            <w:pPr>
              <w:jc w:val="center"/>
              <w:rPr>
                <w:rFonts w:cs="Times New Roman"/>
                <w:sz w:val="16"/>
                <w:szCs w:val="16"/>
              </w:rPr>
            </w:pPr>
            <w:r w:rsidRPr="006F4D77">
              <w:rPr>
                <w:rFonts w:cs="Times New Roman"/>
                <w:sz w:val="16"/>
                <w:szCs w:val="16"/>
              </w:rPr>
              <w:t>27,812</w:t>
            </w:r>
            <w:r w:rsidRPr="006F4D77">
              <w:rPr>
                <w:rFonts w:cs="Times New Roman"/>
                <w:sz w:val="16"/>
                <w:szCs w:val="16"/>
              </w:rPr>
              <w:br/>
              <w:t>[27,350; 28,270]</w:t>
            </w:r>
          </w:p>
        </w:tc>
        <w:tc>
          <w:tcPr>
            <w:tcW w:w="1418" w:type="dxa"/>
            <w:vAlign w:val="center"/>
          </w:tcPr>
          <w:p w14:paraId="425719A5" w14:textId="77777777" w:rsidR="00F61BA8" w:rsidRPr="006F4D77" w:rsidRDefault="00000000" w:rsidP="00A80DFD">
            <w:pPr>
              <w:jc w:val="center"/>
              <w:rPr>
                <w:rFonts w:cs="Times New Roman"/>
                <w:sz w:val="16"/>
                <w:szCs w:val="16"/>
              </w:rPr>
            </w:pPr>
            <w:r w:rsidRPr="006F4D77">
              <w:rPr>
                <w:rFonts w:cs="Times New Roman"/>
                <w:sz w:val="16"/>
                <w:szCs w:val="16"/>
              </w:rPr>
              <w:t>99.3%</w:t>
            </w:r>
            <w:r w:rsidRPr="006F4D77">
              <w:rPr>
                <w:rFonts w:cs="Times New Roman"/>
                <w:sz w:val="16"/>
                <w:szCs w:val="16"/>
              </w:rPr>
              <w:br/>
              <w:t>[99.2%; 99.4%]</w:t>
            </w:r>
          </w:p>
        </w:tc>
        <w:tc>
          <w:tcPr>
            <w:tcW w:w="1377" w:type="dxa"/>
            <w:vAlign w:val="center"/>
          </w:tcPr>
          <w:p w14:paraId="227FA962" w14:textId="77777777" w:rsidR="00F61BA8" w:rsidRPr="006F4D77" w:rsidRDefault="00000000" w:rsidP="00A80DFD">
            <w:pPr>
              <w:jc w:val="center"/>
              <w:rPr>
                <w:rFonts w:cs="Times New Roman"/>
                <w:sz w:val="16"/>
                <w:szCs w:val="16"/>
              </w:rPr>
            </w:pPr>
            <w:r w:rsidRPr="006F4D77">
              <w:rPr>
                <w:rFonts w:cs="Times New Roman"/>
                <w:sz w:val="16"/>
                <w:szCs w:val="16"/>
              </w:rPr>
              <w:t>0.8%</w:t>
            </w:r>
            <w:r w:rsidRPr="006F4D77">
              <w:rPr>
                <w:rFonts w:cs="Times New Roman"/>
                <w:sz w:val="16"/>
                <w:szCs w:val="16"/>
              </w:rPr>
              <w:br/>
              <w:t>[0.7%; 0.9%]</w:t>
            </w:r>
          </w:p>
        </w:tc>
      </w:tr>
    </w:tbl>
    <w:p w14:paraId="73170907" w14:textId="77777777" w:rsidR="00F61BA8" w:rsidRPr="006F4D77" w:rsidRDefault="00000000" w:rsidP="006F4D77">
      <w:pPr>
        <w:pStyle w:val="ng-star-inserted"/>
        <w:spacing w:before="0" w:after="0" w:afterAutospacing="0"/>
        <w:ind w:left="216" w:right="14"/>
        <w:rPr>
          <w:rStyle w:val="ng-star-inserted1"/>
          <w:rFonts w:eastAsiaTheme="majorEastAsia"/>
          <w:b/>
          <w:bCs/>
          <w:color w:val="000000" w:themeColor="text1"/>
          <w:sz w:val="22"/>
          <w:szCs w:val="22"/>
          <w:lang w:val="en-US"/>
        </w:rPr>
      </w:pPr>
      <w:r w:rsidRPr="006F4D77">
        <w:rPr>
          <w:rStyle w:val="ng-star-inserted1"/>
          <w:rFonts w:eastAsiaTheme="majorEastAsia"/>
          <w:b/>
          <w:bCs/>
          <w:color w:val="000000" w:themeColor="text1"/>
          <w:sz w:val="22"/>
          <w:szCs w:val="22"/>
          <w:lang w:val="en-US"/>
        </w:rPr>
        <w:lastRenderedPageBreak/>
        <w:t>Table E.9b. Supply Disruption (365d) sensitivity check (n=30). Mean [95% CI].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2081"/>
        <w:gridCol w:w="1805"/>
        <w:gridCol w:w="1665"/>
        <w:gridCol w:w="1389"/>
        <w:gridCol w:w="1357"/>
      </w:tblGrid>
      <w:tr w:rsidR="00F61BA8" w14:paraId="5020E222" w14:textId="77777777" w:rsidTr="009B20C1">
        <w:trPr>
          <w:jc w:val="center"/>
        </w:trPr>
        <w:tc>
          <w:tcPr>
            <w:tcW w:w="1271" w:type="dxa"/>
            <w:vAlign w:val="center"/>
          </w:tcPr>
          <w:p w14:paraId="55C24921" w14:textId="77777777" w:rsidR="00F61BA8" w:rsidRPr="00A80DFD" w:rsidRDefault="00000000" w:rsidP="00A80DFD">
            <w:pPr>
              <w:jc w:val="center"/>
              <w:rPr>
                <w:rFonts w:cs="Times New Roman"/>
                <w:sz w:val="18"/>
                <w:szCs w:val="18"/>
              </w:rPr>
            </w:pPr>
            <w:r w:rsidRPr="00A80DFD">
              <w:rPr>
                <w:rFonts w:cs="Times New Roman"/>
                <w:b/>
                <w:sz w:val="18"/>
                <w:szCs w:val="18"/>
              </w:rPr>
              <w:t>Policy</w:t>
            </w:r>
          </w:p>
        </w:tc>
        <w:tc>
          <w:tcPr>
            <w:tcW w:w="2126" w:type="dxa"/>
            <w:vAlign w:val="center"/>
          </w:tcPr>
          <w:p w14:paraId="197C4CEF" w14:textId="77777777" w:rsidR="00F61BA8" w:rsidRPr="00A80DFD" w:rsidRDefault="00000000" w:rsidP="00A80DFD">
            <w:pPr>
              <w:jc w:val="center"/>
              <w:rPr>
                <w:rFonts w:cs="Times New Roman"/>
                <w:sz w:val="18"/>
                <w:szCs w:val="18"/>
              </w:rPr>
            </w:pPr>
            <w:r w:rsidRPr="00A80DFD">
              <w:rPr>
                <w:rFonts w:cs="Times New Roman"/>
                <w:b/>
                <w:sz w:val="18"/>
                <w:szCs w:val="18"/>
              </w:rPr>
              <w:t>Total cost (365d)</w:t>
            </w:r>
          </w:p>
        </w:tc>
        <w:tc>
          <w:tcPr>
            <w:tcW w:w="1843" w:type="dxa"/>
            <w:vAlign w:val="center"/>
          </w:tcPr>
          <w:p w14:paraId="50A02D69" w14:textId="77777777" w:rsidR="00F61BA8" w:rsidRPr="00A80DFD" w:rsidRDefault="00000000" w:rsidP="00A80DFD">
            <w:pPr>
              <w:jc w:val="center"/>
              <w:rPr>
                <w:rFonts w:cs="Times New Roman"/>
                <w:sz w:val="18"/>
                <w:szCs w:val="18"/>
              </w:rPr>
            </w:pPr>
            <w:r w:rsidRPr="00A80DFD">
              <w:rPr>
                <w:rFonts w:cs="Times New Roman"/>
                <w:b/>
                <w:sz w:val="18"/>
                <w:szCs w:val="18"/>
              </w:rPr>
              <w:t>Ordering cost (365d)</w:t>
            </w:r>
          </w:p>
        </w:tc>
        <w:tc>
          <w:tcPr>
            <w:tcW w:w="1701" w:type="dxa"/>
            <w:vAlign w:val="center"/>
          </w:tcPr>
          <w:p w14:paraId="2BFB0504" w14:textId="77777777" w:rsidR="00F61BA8" w:rsidRPr="00A80DFD" w:rsidRDefault="00000000" w:rsidP="00A80DFD">
            <w:pPr>
              <w:jc w:val="center"/>
              <w:rPr>
                <w:rFonts w:cs="Times New Roman"/>
                <w:sz w:val="18"/>
                <w:szCs w:val="18"/>
              </w:rPr>
            </w:pPr>
            <w:r w:rsidRPr="00A80DFD">
              <w:rPr>
                <w:rFonts w:cs="Times New Roman"/>
                <w:b/>
                <w:sz w:val="18"/>
                <w:szCs w:val="18"/>
              </w:rPr>
              <w:t>Routing cost (365d)</w:t>
            </w:r>
          </w:p>
        </w:tc>
        <w:tc>
          <w:tcPr>
            <w:tcW w:w="1418" w:type="dxa"/>
            <w:vAlign w:val="center"/>
          </w:tcPr>
          <w:p w14:paraId="57FC2532" w14:textId="77777777" w:rsidR="00F61BA8" w:rsidRPr="00A80DFD" w:rsidRDefault="00000000" w:rsidP="00A80DFD">
            <w:pPr>
              <w:jc w:val="center"/>
              <w:rPr>
                <w:rFonts w:cs="Times New Roman"/>
                <w:sz w:val="18"/>
                <w:szCs w:val="18"/>
              </w:rPr>
            </w:pPr>
            <w:r w:rsidRPr="00A80DFD">
              <w:rPr>
                <w:rFonts w:cs="Times New Roman"/>
                <w:b/>
                <w:sz w:val="18"/>
                <w:szCs w:val="18"/>
              </w:rPr>
              <w:t>Fill rate (365d)</w:t>
            </w:r>
          </w:p>
        </w:tc>
        <w:tc>
          <w:tcPr>
            <w:tcW w:w="1377" w:type="dxa"/>
            <w:vAlign w:val="center"/>
          </w:tcPr>
          <w:p w14:paraId="7F2BD896" w14:textId="77777777" w:rsidR="00F61BA8" w:rsidRPr="00A80DFD" w:rsidRDefault="00000000" w:rsidP="00A80DFD">
            <w:pPr>
              <w:jc w:val="center"/>
              <w:rPr>
                <w:rFonts w:cs="Times New Roman"/>
                <w:sz w:val="18"/>
                <w:szCs w:val="18"/>
              </w:rPr>
            </w:pPr>
            <w:r w:rsidRPr="00A80DFD">
              <w:rPr>
                <w:rFonts w:cs="Times New Roman"/>
                <w:b/>
                <w:sz w:val="18"/>
                <w:szCs w:val="18"/>
              </w:rPr>
              <w:t>Stockout rate (365d)</w:t>
            </w:r>
          </w:p>
        </w:tc>
      </w:tr>
      <w:tr w:rsidR="00F61BA8" w14:paraId="1F768C97" w14:textId="77777777" w:rsidTr="009B20C1">
        <w:trPr>
          <w:jc w:val="center"/>
        </w:trPr>
        <w:tc>
          <w:tcPr>
            <w:tcW w:w="1271" w:type="dxa"/>
            <w:vAlign w:val="center"/>
          </w:tcPr>
          <w:p w14:paraId="18902512" w14:textId="77777777" w:rsidR="00F61BA8" w:rsidRPr="00A80DFD" w:rsidRDefault="00000000" w:rsidP="00A80DFD">
            <w:pPr>
              <w:jc w:val="center"/>
              <w:rPr>
                <w:rFonts w:cs="Times New Roman"/>
                <w:sz w:val="18"/>
                <w:szCs w:val="18"/>
              </w:rPr>
            </w:pPr>
            <w:r w:rsidRPr="00A80DFD">
              <w:rPr>
                <w:rFonts w:cs="Times New Roman"/>
                <w:sz w:val="18"/>
                <w:szCs w:val="18"/>
              </w:rPr>
              <w:t>Static</w:t>
            </w:r>
          </w:p>
        </w:tc>
        <w:tc>
          <w:tcPr>
            <w:tcW w:w="2126" w:type="dxa"/>
            <w:vAlign w:val="center"/>
          </w:tcPr>
          <w:p w14:paraId="6CEADA89" w14:textId="77777777" w:rsidR="00F61BA8" w:rsidRPr="006F4D77" w:rsidRDefault="00000000" w:rsidP="00A80DFD">
            <w:pPr>
              <w:jc w:val="center"/>
              <w:rPr>
                <w:rFonts w:cs="Times New Roman"/>
                <w:sz w:val="16"/>
                <w:szCs w:val="16"/>
              </w:rPr>
            </w:pPr>
            <w:r w:rsidRPr="006F4D77">
              <w:rPr>
                <w:rFonts w:cs="Times New Roman"/>
                <w:sz w:val="16"/>
                <w:szCs w:val="16"/>
              </w:rPr>
              <w:t>46,771,881</w:t>
            </w:r>
            <w:r w:rsidRPr="006F4D77">
              <w:rPr>
                <w:rFonts w:cs="Times New Roman"/>
                <w:sz w:val="16"/>
                <w:szCs w:val="16"/>
              </w:rPr>
              <w:br/>
              <w:t>[45,514,400; 48,169,308]</w:t>
            </w:r>
          </w:p>
        </w:tc>
        <w:tc>
          <w:tcPr>
            <w:tcW w:w="1843" w:type="dxa"/>
            <w:vAlign w:val="center"/>
          </w:tcPr>
          <w:p w14:paraId="08CEA00D" w14:textId="77777777" w:rsidR="00F61BA8" w:rsidRPr="006F4D77" w:rsidRDefault="00000000" w:rsidP="00A80DFD">
            <w:pPr>
              <w:jc w:val="center"/>
              <w:rPr>
                <w:rFonts w:cs="Times New Roman"/>
                <w:sz w:val="16"/>
                <w:szCs w:val="16"/>
              </w:rPr>
            </w:pPr>
            <w:r w:rsidRPr="006F4D77">
              <w:rPr>
                <w:rFonts w:cs="Times New Roman"/>
                <w:sz w:val="16"/>
                <w:szCs w:val="16"/>
              </w:rPr>
              <w:t>62,568</w:t>
            </w:r>
            <w:r w:rsidRPr="006F4D77">
              <w:rPr>
                <w:rFonts w:cs="Times New Roman"/>
                <w:sz w:val="16"/>
                <w:szCs w:val="16"/>
              </w:rPr>
              <w:br/>
              <w:t>[61,512; 63,631]</w:t>
            </w:r>
          </w:p>
        </w:tc>
        <w:tc>
          <w:tcPr>
            <w:tcW w:w="1701" w:type="dxa"/>
            <w:vAlign w:val="center"/>
          </w:tcPr>
          <w:p w14:paraId="79DEC3F3" w14:textId="77777777" w:rsidR="00F61BA8" w:rsidRPr="006F4D77" w:rsidRDefault="00000000" w:rsidP="00A80DFD">
            <w:pPr>
              <w:jc w:val="center"/>
              <w:rPr>
                <w:rFonts w:cs="Times New Roman"/>
                <w:sz w:val="16"/>
                <w:szCs w:val="16"/>
              </w:rPr>
            </w:pPr>
            <w:r w:rsidRPr="006F4D77">
              <w:rPr>
                <w:rFonts w:cs="Times New Roman"/>
                <w:sz w:val="16"/>
                <w:szCs w:val="16"/>
              </w:rPr>
              <w:t>45,907</w:t>
            </w:r>
            <w:r w:rsidRPr="006F4D77">
              <w:rPr>
                <w:rFonts w:cs="Times New Roman"/>
                <w:sz w:val="16"/>
                <w:szCs w:val="16"/>
              </w:rPr>
              <w:br/>
              <w:t>[45,631; 46,196]</w:t>
            </w:r>
          </w:p>
        </w:tc>
        <w:tc>
          <w:tcPr>
            <w:tcW w:w="1418" w:type="dxa"/>
            <w:vAlign w:val="center"/>
          </w:tcPr>
          <w:p w14:paraId="72102814" w14:textId="77777777" w:rsidR="00F61BA8" w:rsidRPr="006F4D77" w:rsidRDefault="00000000" w:rsidP="00A80DFD">
            <w:pPr>
              <w:jc w:val="center"/>
              <w:rPr>
                <w:rFonts w:cs="Times New Roman"/>
                <w:sz w:val="16"/>
                <w:szCs w:val="16"/>
              </w:rPr>
            </w:pPr>
            <w:r w:rsidRPr="006F4D77">
              <w:rPr>
                <w:rFonts w:cs="Times New Roman"/>
                <w:sz w:val="16"/>
                <w:szCs w:val="16"/>
              </w:rPr>
              <w:t>46.2%</w:t>
            </w:r>
            <w:r w:rsidRPr="006F4D77">
              <w:rPr>
                <w:rFonts w:cs="Times New Roman"/>
                <w:sz w:val="16"/>
                <w:szCs w:val="16"/>
              </w:rPr>
              <w:br/>
              <w:t>[45.8%; 46.7%]</w:t>
            </w:r>
          </w:p>
        </w:tc>
        <w:tc>
          <w:tcPr>
            <w:tcW w:w="1377" w:type="dxa"/>
            <w:vAlign w:val="center"/>
          </w:tcPr>
          <w:p w14:paraId="70DE6932" w14:textId="77777777" w:rsidR="00F61BA8" w:rsidRPr="006F4D77" w:rsidRDefault="00000000" w:rsidP="00A80DFD">
            <w:pPr>
              <w:jc w:val="center"/>
              <w:rPr>
                <w:rFonts w:cs="Times New Roman"/>
                <w:sz w:val="16"/>
                <w:szCs w:val="16"/>
              </w:rPr>
            </w:pPr>
            <w:r w:rsidRPr="006F4D77">
              <w:rPr>
                <w:rFonts w:cs="Times New Roman"/>
                <w:sz w:val="16"/>
                <w:szCs w:val="16"/>
              </w:rPr>
              <w:t>59.4%</w:t>
            </w:r>
            <w:r w:rsidRPr="006F4D77">
              <w:rPr>
                <w:rFonts w:cs="Times New Roman"/>
                <w:sz w:val="16"/>
                <w:szCs w:val="16"/>
              </w:rPr>
              <w:br/>
              <w:t>[58.4%; 60.3%]</w:t>
            </w:r>
          </w:p>
        </w:tc>
      </w:tr>
      <w:tr w:rsidR="00F61BA8" w14:paraId="208CFDA6" w14:textId="77777777" w:rsidTr="009B20C1">
        <w:trPr>
          <w:jc w:val="center"/>
        </w:trPr>
        <w:tc>
          <w:tcPr>
            <w:tcW w:w="1271" w:type="dxa"/>
            <w:vAlign w:val="center"/>
          </w:tcPr>
          <w:p w14:paraId="21FC4636" w14:textId="77777777" w:rsidR="00F61BA8" w:rsidRPr="00A80DFD" w:rsidRDefault="00000000" w:rsidP="00A80DFD">
            <w:pPr>
              <w:jc w:val="center"/>
              <w:rPr>
                <w:rFonts w:cs="Times New Roman"/>
                <w:sz w:val="18"/>
                <w:szCs w:val="18"/>
              </w:rPr>
            </w:pPr>
            <w:r w:rsidRPr="00A80DFD">
              <w:rPr>
                <w:rFonts w:cs="Times New Roman"/>
                <w:sz w:val="18"/>
                <w:szCs w:val="18"/>
              </w:rPr>
              <w:t>Dynamic</w:t>
            </w:r>
          </w:p>
        </w:tc>
        <w:tc>
          <w:tcPr>
            <w:tcW w:w="2126" w:type="dxa"/>
            <w:vAlign w:val="center"/>
          </w:tcPr>
          <w:p w14:paraId="661E58C9" w14:textId="77777777" w:rsidR="00F61BA8" w:rsidRPr="006F4D77" w:rsidRDefault="00000000" w:rsidP="00A80DFD">
            <w:pPr>
              <w:jc w:val="center"/>
              <w:rPr>
                <w:rFonts w:cs="Times New Roman"/>
                <w:sz w:val="16"/>
                <w:szCs w:val="16"/>
              </w:rPr>
            </w:pPr>
            <w:r w:rsidRPr="006F4D77">
              <w:rPr>
                <w:rFonts w:cs="Times New Roman"/>
                <w:sz w:val="16"/>
                <w:szCs w:val="16"/>
              </w:rPr>
              <w:t>32,942,737</w:t>
            </w:r>
            <w:r w:rsidRPr="006F4D77">
              <w:rPr>
                <w:rFonts w:cs="Times New Roman"/>
                <w:sz w:val="16"/>
                <w:szCs w:val="16"/>
              </w:rPr>
              <w:br/>
              <w:t>[31,988,742; 33,877,880]</w:t>
            </w:r>
          </w:p>
        </w:tc>
        <w:tc>
          <w:tcPr>
            <w:tcW w:w="1843" w:type="dxa"/>
            <w:vAlign w:val="center"/>
          </w:tcPr>
          <w:p w14:paraId="354108B0" w14:textId="77777777" w:rsidR="00F61BA8" w:rsidRPr="006F4D77" w:rsidRDefault="00000000" w:rsidP="00A80DFD">
            <w:pPr>
              <w:jc w:val="center"/>
              <w:rPr>
                <w:rFonts w:cs="Times New Roman"/>
                <w:sz w:val="16"/>
                <w:szCs w:val="16"/>
              </w:rPr>
            </w:pPr>
            <w:r w:rsidRPr="006F4D77">
              <w:rPr>
                <w:rFonts w:cs="Times New Roman"/>
                <w:sz w:val="16"/>
                <w:szCs w:val="16"/>
              </w:rPr>
              <w:t>78,824</w:t>
            </w:r>
            <w:r w:rsidRPr="006F4D77">
              <w:rPr>
                <w:rFonts w:cs="Times New Roman"/>
                <w:sz w:val="16"/>
                <w:szCs w:val="16"/>
              </w:rPr>
              <w:br/>
              <w:t>[78,028; 79,645]</w:t>
            </w:r>
          </w:p>
        </w:tc>
        <w:tc>
          <w:tcPr>
            <w:tcW w:w="1701" w:type="dxa"/>
            <w:vAlign w:val="center"/>
          </w:tcPr>
          <w:p w14:paraId="1AF71078" w14:textId="77777777" w:rsidR="00F61BA8" w:rsidRPr="006F4D77" w:rsidRDefault="00000000" w:rsidP="00A80DFD">
            <w:pPr>
              <w:jc w:val="center"/>
              <w:rPr>
                <w:rFonts w:cs="Times New Roman"/>
                <w:sz w:val="16"/>
                <w:szCs w:val="16"/>
              </w:rPr>
            </w:pPr>
            <w:r w:rsidRPr="006F4D77">
              <w:rPr>
                <w:rFonts w:cs="Times New Roman"/>
                <w:sz w:val="16"/>
                <w:szCs w:val="16"/>
              </w:rPr>
              <w:t>41,692</w:t>
            </w:r>
            <w:r w:rsidRPr="006F4D77">
              <w:rPr>
                <w:rFonts w:cs="Times New Roman"/>
                <w:sz w:val="16"/>
                <w:szCs w:val="16"/>
              </w:rPr>
              <w:br/>
              <w:t>[41,343; 42,044]</w:t>
            </w:r>
          </w:p>
        </w:tc>
        <w:tc>
          <w:tcPr>
            <w:tcW w:w="1418" w:type="dxa"/>
            <w:vAlign w:val="center"/>
          </w:tcPr>
          <w:p w14:paraId="133F9ED8" w14:textId="77777777" w:rsidR="00F61BA8" w:rsidRPr="006F4D77" w:rsidRDefault="00000000" w:rsidP="00A80DFD">
            <w:pPr>
              <w:jc w:val="center"/>
              <w:rPr>
                <w:rFonts w:cs="Times New Roman"/>
                <w:sz w:val="16"/>
                <w:szCs w:val="16"/>
              </w:rPr>
            </w:pPr>
            <w:r w:rsidRPr="006F4D77">
              <w:rPr>
                <w:rFonts w:cs="Times New Roman"/>
                <w:sz w:val="16"/>
                <w:szCs w:val="16"/>
              </w:rPr>
              <w:t>61.6%</w:t>
            </w:r>
            <w:r w:rsidRPr="006F4D77">
              <w:rPr>
                <w:rFonts w:cs="Times New Roman"/>
                <w:sz w:val="16"/>
                <w:szCs w:val="16"/>
              </w:rPr>
              <w:br/>
              <w:t>[61.2%; 62.1%]</w:t>
            </w:r>
          </w:p>
        </w:tc>
        <w:tc>
          <w:tcPr>
            <w:tcW w:w="1377" w:type="dxa"/>
            <w:vAlign w:val="center"/>
          </w:tcPr>
          <w:p w14:paraId="0ABD7061" w14:textId="77777777" w:rsidR="00F61BA8" w:rsidRPr="006F4D77" w:rsidRDefault="00000000" w:rsidP="00A80DFD">
            <w:pPr>
              <w:jc w:val="center"/>
              <w:rPr>
                <w:rFonts w:cs="Times New Roman"/>
                <w:sz w:val="16"/>
                <w:szCs w:val="16"/>
              </w:rPr>
            </w:pPr>
            <w:r w:rsidRPr="006F4D77">
              <w:rPr>
                <w:rFonts w:cs="Times New Roman"/>
                <w:sz w:val="16"/>
                <w:szCs w:val="16"/>
              </w:rPr>
              <w:t>39.0%</w:t>
            </w:r>
            <w:r w:rsidRPr="006F4D77">
              <w:rPr>
                <w:rFonts w:cs="Times New Roman"/>
                <w:sz w:val="16"/>
                <w:szCs w:val="16"/>
              </w:rPr>
              <w:br/>
              <w:t>[38.7%; 39.3%]</w:t>
            </w:r>
          </w:p>
        </w:tc>
      </w:tr>
      <w:tr w:rsidR="00F61BA8" w14:paraId="777B5A71" w14:textId="77777777" w:rsidTr="009B20C1">
        <w:trPr>
          <w:jc w:val="center"/>
        </w:trPr>
        <w:tc>
          <w:tcPr>
            <w:tcW w:w="1271" w:type="dxa"/>
            <w:vAlign w:val="center"/>
          </w:tcPr>
          <w:p w14:paraId="5BEB9CEC" w14:textId="77777777" w:rsidR="00F61BA8" w:rsidRPr="00A80DFD" w:rsidRDefault="00000000" w:rsidP="00A80DFD">
            <w:pPr>
              <w:jc w:val="center"/>
              <w:rPr>
                <w:rFonts w:cs="Times New Roman"/>
                <w:sz w:val="18"/>
                <w:szCs w:val="18"/>
              </w:rPr>
            </w:pPr>
            <w:r w:rsidRPr="00A80DFD">
              <w:rPr>
                <w:rFonts w:cs="Times New Roman"/>
                <w:sz w:val="18"/>
                <w:szCs w:val="18"/>
              </w:rPr>
              <w:t>Dynamic + Forecast</w:t>
            </w:r>
          </w:p>
        </w:tc>
        <w:tc>
          <w:tcPr>
            <w:tcW w:w="2126" w:type="dxa"/>
            <w:vAlign w:val="center"/>
          </w:tcPr>
          <w:p w14:paraId="78EFFED8" w14:textId="77777777" w:rsidR="00F61BA8" w:rsidRPr="006F4D77" w:rsidRDefault="00000000" w:rsidP="00A80DFD">
            <w:pPr>
              <w:jc w:val="center"/>
              <w:rPr>
                <w:rFonts w:cs="Times New Roman"/>
                <w:sz w:val="16"/>
                <w:szCs w:val="16"/>
              </w:rPr>
            </w:pPr>
            <w:r w:rsidRPr="006F4D77">
              <w:rPr>
                <w:rFonts w:cs="Times New Roman"/>
                <w:sz w:val="16"/>
                <w:szCs w:val="16"/>
              </w:rPr>
              <w:t>44,537,863</w:t>
            </w:r>
            <w:r w:rsidRPr="006F4D77">
              <w:rPr>
                <w:rFonts w:cs="Times New Roman"/>
                <w:sz w:val="16"/>
                <w:szCs w:val="16"/>
              </w:rPr>
              <w:br/>
              <w:t>[43,415,426; 45,684,747]</w:t>
            </w:r>
          </w:p>
        </w:tc>
        <w:tc>
          <w:tcPr>
            <w:tcW w:w="1843" w:type="dxa"/>
            <w:vAlign w:val="center"/>
          </w:tcPr>
          <w:p w14:paraId="2A10A100" w14:textId="77777777" w:rsidR="00F61BA8" w:rsidRPr="006F4D77" w:rsidRDefault="00000000" w:rsidP="00A80DFD">
            <w:pPr>
              <w:jc w:val="center"/>
              <w:rPr>
                <w:rFonts w:cs="Times New Roman"/>
                <w:sz w:val="16"/>
                <w:szCs w:val="16"/>
              </w:rPr>
            </w:pPr>
            <w:r w:rsidRPr="006F4D77">
              <w:rPr>
                <w:rFonts w:cs="Times New Roman"/>
                <w:sz w:val="16"/>
                <w:szCs w:val="16"/>
              </w:rPr>
              <w:t>996,096</w:t>
            </w:r>
            <w:r w:rsidRPr="006F4D77">
              <w:rPr>
                <w:rFonts w:cs="Times New Roman"/>
                <w:sz w:val="16"/>
                <w:szCs w:val="16"/>
              </w:rPr>
              <w:br/>
              <w:t>[967,575; 1,021,879]</w:t>
            </w:r>
          </w:p>
        </w:tc>
        <w:tc>
          <w:tcPr>
            <w:tcW w:w="1701" w:type="dxa"/>
            <w:vAlign w:val="center"/>
          </w:tcPr>
          <w:p w14:paraId="5AFD52A4" w14:textId="77777777" w:rsidR="00F61BA8" w:rsidRPr="006F4D77" w:rsidRDefault="00000000" w:rsidP="00A80DFD">
            <w:pPr>
              <w:jc w:val="center"/>
              <w:rPr>
                <w:rFonts w:cs="Times New Roman"/>
                <w:sz w:val="16"/>
                <w:szCs w:val="16"/>
              </w:rPr>
            </w:pPr>
            <w:r w:rsidRPr="006F4D77">
              <w:rPr>
                <w:rFonts w:cs="Times New Roman"/>
                <w:sz w:val="16"/>
                <w:szCs w:val="16"/>
              </w:rPr>
              <w:t>178,217</w:t>
            </w:r>
            <w:r w:rsidRPr="006F4D77">
              <w:rPr>
                <w:rFonts w:cs="Times New Roman"/>
                <w:sz w:val="16"/>
                <w:szCs w:val="16"/>
              </w:rPr>
              <w:br/>
              <w:t>[173,477; 183,047]</w:t>
            </w:r>
          </w:p>
        </w:tc>
        <w:tc>
          <w:tcPr>
            <w:tcW w:w="1418" w:type="dxa"/>
            <w:vAlign w:val="center"/>
          </w:tcPr>
          <w:p w14:paraId="43584F05" w14:textId="77777777" w:rsidR="00F61BA8" w:rsidRPr="006F4D77" w:rsidRDefault="00000000" w:rsidP="00A80DFD">
            <w:pPr>
              <w:jc w:val="center"/>
              <w:rPr>
                <w:rFonts w:cs="Times New Roman"/>
                <w:sz w:val="16"/>
                <w:szCs w:val="16"/>
              </w:rPr>
            </w:pPr>
            <w:r w:rsidRPr="006F4D77">
              <w:rPr>
                <w:rFonts w:cs="Times New Roman"/>
                <w:sz w:val="16"/>
                <w:szCs w:val="16"/>
              </w:rPr>
              <w:t>87.8%</w:t>
            </w:r>
            <w:r w:rsidRPr="006F4D77">
              <w:rPr>
                <w:rFonts w:cs="Times New Roman"/>
                <w:sz w:val="16"/>
                <w:szCs w:val="16"/>
              </w:rPr>
              <w:br/>
              <w:t>[87.5%; 88.1%]</w:t>
            </w:r>
          </w:p>
        </w:tc>
        <w:tc>
          <w:tcPr>
            <w:tcW w:w="1377" w:type="dxa"/>
            <w:vAlign w:val="center"/>
          </w:tcPr>
          <w:p w14:paraId="2DDC4CCF" w14:textId="77777777" w:rsidR="00F61BA8" w:rsidRPr="006F4D77" w:rsidRDefault="00000000" w:rsidP="00A80DFD">
            <w:pPr>
              <w:jc w:val="center"/>
              <w:rPr>
                <w:rFonts w:cs="Times New Roman"/>
                <w:sz w:val="16"/>
                <w:szCs w:val="16"/>
              </w:rPr>
            </w:pPr>
            <w:r w:rsidRPr="006F4D77">
              <w:rPr>
                <w:rFonts w:cs="Times New Roman"/>
                <w:sz w:val="16"/>
                <w:szCs w:val="16"/>
              </w:rPr>
              <w:t>12.2%</w:t>
            </w:r>
            <w:r w:rsidRPr="006F4D77">
              <w:rPr>
                <w:rFonts w:cs="Times New Roman"/>
                <w:sz w:val="16"/>
                <w:szCs w:val="16"/>
              </w:rPr>
              <w:br/>
              <w:t>[12.0%; 12.4%]</w:t>
            </w:r>
          </w:p>
        </w:tc>
      </w:tr>
      <w:tr w:rsidR="00F61BA8" w14:paraId="246568FD" w14:textId="77777777" w:rsidTr="009B20C1">
        <w:trPr>
          <w:jc w:val="center"/>
        </w:trPr>
        <w:tc>
          <w:tcPr>
            <w:tcW w:w="1271" w:type="dxa"/>
            <w:vAlign w:val="center"/>
          </w:tcPr>
          <w:p w14:paraId="52499890" w14:textId="77777777" w:rsidR="004946DD" w:rsidRDefault="00000000">
            <w:r>
              <w:t>Base-stock (Deterministic)</w:t>
            </w:r>
          </w:p>
        </w:tc>
        <w:tc>
          <w:tcPr>
            <w:tcW w:w="2126" w:type="dxa"/>
            <w:vAlign w:val="center"/>
          </w:tcPr>
          <w:p w14:paraId="6C6E9B5C" w14:textId="77777777" w:rsidR="00F61BA8" w:rsidRPr="006F4D77" w:rsidRDefault="00000000" w:rsidP="00A80DFD">
            <w:pPr>
              <w:jc w:val="center"/>
              <w:rPr>
                <w:rFonts w:cs="Times New Roman"/>
                <w:sz w:val="16"/>
                <w:szCs w:val="16"/>
              </w:rPr>
            </w:pPr>
            <w:r w:rsidRPr="006F4D77">
              <w:rPr>
                <w:rFonts w:cs="Times New Roman"/>
                <w:sz w:val="16"/>
                <w:szCs w:val="16"/>
              </w:rPr>
              <w:t>44,044,320</w:t>
            </w:r>
            <w:r w:rsidRPr="006F4D77">
              <w:rPr>
                <w:rFonts w:cs="Times New Roman"/>
                <w:sz w:val="16"/>
                <w:szCs w:val="16"/>
              </w:rPr>
              <w:br/>
              <w:t>[42,935,747; 45,115,337]</w:t>
            </w:r>
          </w:p>
        </w:tc>
        <w:tc>
          <w:tcPr>
            <w:tcW w:w="1843" w:type="dxa"/>
            <w:vAlign w:val="center"/>
          </w:tcPr>
          <w:p w14:paraId="6A4B0A76" w14:textId="77777777" w:rsidR="00F61BA8" w:rsidRPr="006F4D77" w:rsidRDefault="00000000" w:rsidP="00A80DFD">
            <w:pPr>
              <w:jc w:val="center"/>
              <w:rPr>
                <w:rFonts w:cs="Times New Roman"/>
                <w:sz w:val="16"/>
                <w:szCs w:val="16"/>
              </w:rPr>
            </w:pPr>
            <w:r w:rsidRPr="006F4D77">
              <w:rPr>
                <w:rFonts w:cs="Times New Roman"/>
                <w:sz w:val="16"/>
                <w:szCs w:val="16"/>
              </w:rPr>
              <w:t>985,552</w:t>
            </w:r>
            <w:r w:rsidRPr="006F4D77">
              <w:rPr>
                <w:rFonts w:cs="Times New Roman"/>
                <w:sz w:val="16"/>
                <w:szCs w:val="16"/>
              </w:rPr>
              <w:br/>
              <w:t>[963,882; 1,008,214]</w:t>
            </w:r>
          </w:p>
        </w:tc>
        <w:tc>
          <w:tcPr>
            <w:tcW w:w="1701" w:type="dxa"/>
            <w:vAlign w:val="center"/>
          </w:tcPr>
          <w:p w14:paraId="5BDD3C63" w14:textId="77777777" w:rsidR="00F61BA8" w:rsidRPr="006F4D77" w:rsidRDefault="00000000" w:rsidP="00A80DFD">
            <w:pPr>
              <w:jc w:val="center"/>
              <w:rPr>
                <w:rFonts w:cs="Times New Roman"/>
                <w:sz w:val="16"/>
                <w:szCs w:val="16"/>
              </w:rPr>
            </w:pPr>
            <w:r w:rsidRPr="006F4D77">
              <w:rPr>
                <w:rFonts w:cs="Times New Roman"/>
                <w:sz w:val="16"/>
                <w:szCs w:val="16"/>
              </w:rPr>
              <w:t>177,012</w:t>
            </w:r>
            <w:r w:rsidRPr="006F4D77">
              <w:rPr>
                <w:rFonts w:cs="Times New Roman"/>
                <w:sz w:val="16"/>
                <w:szCs w:val="16"/>
              </w:rPr>
              <w:br/>
              <w:t>[172,626; 181,141]</w:t>
            </w:r>
          </w:p>
        </w:tc>
        <w:tc>
          <w:tcPr>
            <w:tcW w:w="1418" w:type="dxa"/>
            <w:vAlign w:val="center"/>
          </w:tcPr>
          <w:p w14:paraId="516294E7" w14:textId="77777777" w:rsidR="00F61BA8" w:rsidRPr="006F4D77" w:rsidRDefault="00000000" w:rsidP="00A80DFD">
            <w:pPr>
              <w:jc w:val="center"/>
              <w:rPr>
                <w:rFonts w:cs="Times New Roman"/>
                <w:sz w:val="16"/>
                <w:szCs w:val="16"/>
              </w:rPr>
            </w:pPr>
            <w:r w:rsidRPr="006F4D77">
              <w:rPr>
                <w:rFonts w:cs="Times New Roman"/>
                <w:sz w:val="16"/>
                <w:szCs w:val="16"/>
              </w:rPr>
              <w:t>87.9%</w:t>
            </w:r>
            <w:r w:rsidRPr="006F4D77">
              <w:rPr>
                <w:rFonts w:cs="Times New Roman"/>
                <w:sz w:val="16"/>
                <w:szCs w:val="16"/>
              </w:rPr>
              <w:br/>
              <w:t>[87.7%; 88.2%]</w:t>
            </w:r>
          </w:p>
        </w:tc>
        <w:tc>
          <w:tcPr>
            <w:tcW w:w="1377" w:type="dxa"/>
            <w:vAlign w:val="center"/>
          </w:tcPr>
          <w:p w14:paraId="4DF7542F" w14:textId="77777777" w:rsidR="00F61BA8" w:rsidRPr="006F4D77" w:rsidRDefault="00000000" w:rsidP="00A80DFD">
            <w:pPr>
              <w:jc w:val="center"/>
              <w:rPr>
                <w:rFonts w:cs="Times New Roman"/>
                <w:sz w:val="16"/>
                <w:szCs w:val="16"/>
              </w:rPr>
            </w:pPr>
            <w:r w:rsidRPr="006F4D77">
              <w:rPr>
                <w:rFonts w:cs="Times New Roman"/>
                <w:sz w:val="16"/>
                <w:szCs w:val="16"/>
              </w:rPr>
              <w:t>12.0%</w:t>
            </w:r>
            <w:r w:rsidRPr="006F4D77">
              <w:rPr>
                <w:rFonts w:cs="Times New Roman"/>
                <w:sz w:val="16"/>
                <w:szCs w:val="16"/>
              </w:rPr>
              <w:br/>
              <w:t>[11.9%; 12.1%]</w:t>
            </w:r>
          </w:p>
        </w:tc>
      </w:tr>
      <w:tr w:rsidR="00F61BA8" w14:paraId="5BB1AB86" w14:textId="77777777" w:rsidTr="009B20C1">
        <w:trPr>
          <w:jc w:val="center"/>
        </w:trPr>
        <w:tc>
          <w:tcPr>
            <w:tcW w:w="1271" w:type="dxa"/>
            <w:vAlign w:val="center"/>
          </w:tcPr>
          <w:p w14:paraId="61798A8C" w14:textId="77777777" w:rsidR="00F61BA8" w:rsidRPr="00A80DFD" w:rsidRDefault="00000000" w:rsidP="00A80DFD">
            <w:pPr>
              <w:jc w:val="center"/>
              <w:rPr>
                <w:rFonts w:cs="Times New Roman"/>
                <w:sz w:val="18"/>
                <w:szCs w:val="18"/>
              </w:rPr>
            </w:pPr>
            <w:r w:rsidRPr="00A80DFD">
              <w:rPr>
                <w:rFonts w:cs="Times New Roman"/>
                <w:sz w:val="18"/>
                <w:szCs w:val="18"/>
              </w:rPr>
              <w:t>Hybrid AI</w:t>
            </w:r>
          </w:p>
        </w:tc>
        <w:tc>
          <w:tcPr>
            <w:tcW w:w="2126" w:type="dxa"/>
            <w:vAlign w:val="center"/>
          </w:tcPr>
          <w:p w14:paraId="0EC5187F" w14:textId="77777777" w:rsidR="00F61BA8" w:rsidRPr="006F4D77" w:rsidRDefault="00000000" w:rsidP="00A80DFD">
            <w:pPr>
              <w:jc w:val="center"/>
              <w:rPr>
                <w:rFonts w:cs="Times New Roman"/>
                <w:sz w:val="16"/>
                <w:szCs w:val="16"/>
              </w:rPr>
            </w:pPr>
            <w:r w:rsidRPr="006F4D77">
              <w:rPr>
                <w:rFonts w:cs="Times New Roman"/>
                <w:sz w:val="16"/>
                <w:szCs w:val="16"/>
              </w:rPr>
              <w:t>85,781,931</w:t>
            </w:r>
            <w:r w:rsidRPr="006F4D77">
              <w:rPr>
                <w:rFonts w:cs="Times New Roman"/>
                <w:sz w:val="16"/>
                <w:szCs w:val="16"/>
              </w:rPr>
              <w:br/>
              <w:t>[84,115,287; 87,387,674]</w:t>
            </w:r>
          </w:p>
        </w:tc>
        <w:tc>
          <w:tcPr>
            <w:tcW w:w="1843" w:type="dxa"/>
            <w:vAlign w:val="center"/>
          </w:tcPr>
          <w:p w14:paraId="3A496860" w14:textId="77777777" w:rsidR="00F61BA8" w:rsidRPr="006F4D77" w:rsidRDefault="00000000" w:rsidP="00A80DFD">
            <w:pPr>
              <w:jc w:val="center"/>
              <w:rPr>
                <w:rFonts w:cs="Times New Roman"/>
                <w:sz w:val="16"/>
                <w:szCs w:val="16"/>
              </w:rPr>
            </w:pPr>
            <w:r w:rsidRPr="006F4D77">
              <w:rPr>
                <w:rFonts w:cs="Times New Roman"/>
                <w:sz w:val="16"/>
                <w:szCs w:val="16"/>
              </w:rPr>
              <w:t>0</w:t>
            </w:r>
            <w:r w:rsidRPr="006F4D77">
              <w:rPr>
                <w:rFonts w:cs="Times New Roman"/>
                <w:sz w:val="16"/>
                <w:szCs w:val="16"/>
              </w:rPr>
              <w:br/>
              <w:t>[0; 0]</w:t>
            </w:r>
          </w:p>
        </w:tc>
        <w:tc>
          <w:tcPr>
            <w:tcW w:w="1701" w:type="dxa"/>
            <w:vAlign w:val="center"/>
          </w:tcPr>
          <w:p w14:paraId="2D35F31B" w14:textId="77777777" w:rsidR="00F61BA8" w:rsidRPr="006F4D77" w:rsidRDefault="00000000" w:rsidP="00A80DFD">
            <w:pPr>
              <w:jc w:val="center"/>
              <w:rPr>
                <w:rFonts w:cs="Times New Roman"/>
                <w:sz w:val="16"/>
                <w:szCs w:val="16"/>
              </w:rPr>
            </w:pPr>
            <w:r w:rsidRPr="006F4D77">
              <w:rPr>
                <w:rFonts w:cs="Times New Roman"/>
                <w:sz w:val="16"/>
                <w:szCs w:val="16"/>
              </w:rPr>
              <w:t>0</w:t>
            </w:r>
            <w:r w:rsidRPr="006F4D77">
              <w:rPr>
                <w:rFonts w:cs="Times New Roman"/>
                <w:sz w:val="16"/>
                <w:szCs w:val="16"/>
              </w:rPr>
              <w:br/>
              <w:t>[0; 0]</w:t>
            </w:r>
          </w:p>
        </w:tc>
        <w:tc>
          <w:tcPr>
            <w:tcW w:w="1418" w:type="dxa"/>
            <w:vAlign w:val="center"/>
          </w:tcPr>
          <w:p w14:paraId="09BC308C" w14:textId="77777777" w:rsidR="00F61BA8" w:rsidRPr="006F4D77" w:rsidRDefault="00000000" w:rsidP="00A80DFD">
            <w:pPr>
              <w:jc w:val="center"/>
              <w:rPr>
                <w:rFonts w:cs="Times New Roman"/>
                <w:sz w:val="16"/>
                <w:szCs w:val="16"/>
              </w:rPr>
            </w:pPr>
            <w:r w:rsidRPr="006F4D77">
              <w:rPr>
                <w:rFonts w:cs="Times New Roman"/>
                <w:sz w:val="16"/>
                <w:szCs w:val="16"/>
              </w:rPr>
              <w:t>0.4%</w:t>
            </w:r>
            <w:r w:rsidRPr="006F4D77">
              <w:rPr>
                <w:rFonts w:cs="Times New Roman"/>
                <w:sz w:val="16"/>
                <w:szCs w:val="16"/>
              </w:rPr>
              <w:br/>
              <w:t>[0.4%; 0.4%]</w:t>
            </w:r>
          </w:p>
        </w:tc>
        <w:tc>
          <w:tcPr>
            <w:tcW w:w="1377" w:type="dxa"/>
            <w:vAlign w:val="center"/>
          </w:tcPr>
          <w:p w14:paraId="139F2741" w14:textId="77777777" w:rsidR="00F61BA8" w:rsidRPr="006F4D77" w:rsidRDefault="00000000" w:rsidP="00A80DFD">
            <w:pPr>
              <w:jc w:val="center"/>
              <w:rPr>
                <w:rFonts w:cs="Times New Roman"/>
                <w:sz w:val="16"/>
                <w:szCs w:val="16"/>
              </w:rPr>
            </w:pPr>
            <w:r w:rsidRPr="006F4D77">
              <w:rPr>
                <w:rFonts w:cs="Times New Roman"/>
                <w:sz w:val="16"/>
                <w:szCs w:val="16"/>
              </w:rPr>
              <w:t>98.7%</w:t>
            </w:r>
            <w:r w:rsidRPr="006F4D77">
              <w:rPr>
                <w:rFonts w:cs="Times New Roman"/>
                <w:sz w:val="16"/>
                <w:szCs w:val="16"/>
              </w:rPr>
              <w:br/>
              <w:t>[98.6%; 98.9%]</w:t>
            </w:r>
          </w:p>
        </w:tc>
      </w:tr>
    </w:tbl>
    <w:p w14:paraId="4A0E1563" w14:textId="000A00BD" w:rsidR="00F61BA8" w:rsidRPr="00A80DFD" w:rsidRDefault="00000000" w:rsidP="00A80DFD">
      <w:pPr>
        <w:pStyle w:val="text-base"/>
        <w:spacing w:before="0" w:after="0"/>
        <w:ind w:left="142"/>
        <w:jc w:val="both"/>
        <w:rPr>
          <w:lang w:val="en-US"/>
        </w:rPr>
      </w:pPr>
      <w:r w:rsidRPr="00A80DFD">
        <w:rPr>
          <w:lang w:val="en-US"/>
        </w:rPr>
        <w:t>In Stable at 365 days, Hybrid AI reduces mean total cost relative to Dynamic + Forecast and Base-stock (Δ=-769,846 [-987,528; -576,605] and -794,828 [-1,003,056; -601,986]); within-run Wilcoxon signed-rank tests with Holm adjustment yield p=</w:t>
      </w:r>
      <m:oMath>
        <m:r>
          <w:rPr>
            <w:rFonts w:ascii="Cambria Math" w:hAnsi="Cambria Math"/>
            <w:lang w:val="en-US"/>
          </w:rPr>
          <m:t>7.45×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oMath>
      <w:r w:rsidRPr="00A80DFD">
        <w:rPr>
          <w:lang w:val="en-US"/>
        </w:rPr>
        <w:t>and p=</w:t>
      </w:r>
      <m:oMath>
        <m:r>
          <w:rPr>
            <w:rFonts w:ascii="Cambria Math" w:hAnsi="Cambria Math"/>
            <w:lang w:val="en-US"/>
          </w:rPr>
          <m:t>1.86×</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-8</m:t>
            </m:r>
          </m:sup>
        </m:sSup>
      </m:oMath>
      <w:r w:rsidRPr="00A80DFD">
        <w:rPr>
          <w:lang w:val="en-US"/>
        </w:rPr>
        <w:t xml:space="preserve"> for </w:t>
      </w:r>
      <w:r w:rsidR="009C0FA5">
        <w:rPr>
          <w:lang w:val="en-US"/>
        </w:rPr>
        <w:t xml:space="preserve">the </w:t>
      </w:r>
      <w:r w:rsidRPr="00A80DFD">
        <w:rPr>
          <w:lang w:val="en-US"/>
        </w:rPr>
        <w:t xml:space="preserve">total cost. Hybrid AI also increases fill rate by +1.0 pp [0.8; 1.3] and +1.1 pp [0.9; 1.3] (paired bootstrap CIs). In Supply Disruption at 365 days, Hybrid AI collapses </w:t>
      </w:r>
      <w:r w:rsidR="00D508F7">
        <w:rPr>
          <w:lang w:val="en-US"/>
        </w:rPr>
        <w:t>into a no-order regime (mean ordering cost 0; mean routing cost 0), with a fill rate of 0.4% and a mean total cost of</w:t>
      </w:r>
      <w:r w:rsidRPr="00A80DFD">
        <w:rPr>
          <w:lang w:val="en-US"/>
        </w:rPr>
        <w:t xml:space="preserve"> 85,781,931. Relative to Dynamic + Forecast and Base-stock, the paired deltas are Δ=+41,244,068 [39,666,639; 42,825,722] and +41,737,611 [40,217,755; 43,249,592] in total cost and Δ=-87.3 pp [-87.7; -87.0] and -87.5 pp [-87.8; -87.3] in fill rate (paired bootstrap CIs); Holm-adjusted p-values for total cost are </w:t>
      </w:r>
      <m:oMath>
        <m:r>
          <w:rPr>
            <w:rFonts w:ascii="Cambria Math" w:hAnsi="Cambria Math"/>
            <w:lang w:val="en-US"/>
          </w:rPr>
          <m:t>7.45×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oMath>
      <w:r w:rsidRPr="00A80DFD">
        <w:rPr>
          <w:lang w:val="en-US"/>
        </w:rPr>
        <w:t xml:space="preserve"> and </w:t>
      </w:r>
      <m:oMath>
        <m:r>
          <w:rPr>
            <w:rFonts w:ascii="Cambria Math" w:hAnsi="Cambria Math"/>
            <w:lang w:val="en-US"/>
          </w:rPr>
          <m:t>7.45×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oMath>
      <w:r w:rsidRPr="00A80DFD">
        <w:rPr>
          <w:lang w:val="en-US"/>
        </w:rPr>
        <w:t>.</w:t>
      </w:r>
    </w:p>
    <w:p w14:paraId="19574B69" w14:textId="77777777" w:rsidR="00F61BA8" w:rsidRDefault="00000000">
      <w:pPr>
        <w:pStyle w:val="Ttulo3"/>
        <w:spacing w:before="0" w:after="0"/>
      </w:pPr>
      <w:r>
        <w:rPr>
          <w:rFonts w:eastAsia="Times New Roman"/>
          <w:sz w:val="20"/>
        </w:rPr>
        <w:t>Appendix E.10. Equivalence testing and minimum detectable effects (within-run)</w:t>
      </w:r>
    </w:p>
    <w:p w14:paraId="44F4C9D2" w14:textId="792EDDAF" w:rsidR="00F61BA8" w:rsidRPr="00A80DFD" w:rsidRDefault="00000000" w:rsidP="00A80DFD">
      <w:pPr>
        <w:pStyle w:val="text-base"/>
        <w:spacing w:before="0" w:after="0"/>
        <w:ind w:left="142"/>
        <w:jc w:val="both"/>
        <w:rPr>
          <w:lang w:val="en-US"/>
        </w:rPr>
      </w:pPr>
      <w:r w:rsidRPr="00A80DFD">
        <w:rPr>
          <w:lang w:val="en-US"/>
        </w:rPr>
        <w:t xml:space="preserve">To support claims of practical similarity in High Volatility, we supplemented the paired Wilcoxon analysis with two one-sided tests (TOST) for equivalence and a minimum detectable effect (MDE) calculation, computed within the Phase A2 run using paired differences aligned by replication. We defined equivalence margins as ±1% of the baseline mean for cost components and ±0.01 for fill rate. We report </w:t>
      </w:r>
      <w:r w:rsidR="009C0FA5">
        <w:rPr>
          <w:lang w:val="en-US"/>
        </w:rPr>
        <w:t xml:space="preserve">the </w:t>
      </w:r>
      <w:r w:rsidRPr="00A80DFD">
        <w:rPr>
          <w:lang w:val="en-US"/>
        </w:rPr>
        <w:t>standardized paired effect size</w:t>
      </w:r>
      <w:r w:rsidR="009C0FA5">
        <w:rPr>
          <w:lang w:val="en-US"/>
        </w:rPr>
        <w:t>,</w:t>
      </w:r>
      <w:r w:rsidRPr="00A80DFD">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z</m:t>
            </m:r>
          </m:sub>
        </m:sSub>
      </m:oMath>
      <w:r w:rsidR="009C0FA5">
        <w:rPr>
          <w:lang w:val="en-US"/>
        </w:rPr>
        <w:t xml:space="preserve">, </w:t>
      </w:r>
      <w:r w:rsidRPr="00A80DFD">
        <w:rPr>
          <w:lang w:val="en-US"/>
        </w:rPr>
        <w:t>and the MDE (absolute) for 80% power at α = 0.05 (two-sided) under a normal approximation; we interpret these as sensitivity indicators rather than as confirmatory results.</w:t>
      </w:r>
    </w:p>
    <w:p w14:paraId="7DEF4C7C" w14:textId="3420880E" w:rsidR="00F61BA8" w:rsidRPr="00A80DFD" w:rsidRDefault="00000000" w:rsidP="00A80DFD">
      <w:pPr>
        <w:pStyle w:val="text-base"/>
        <w:spacing w:before="0" w:after="0"/>
        <w:ind w:left="142"/>
        <w:jc w:val="both"/>
        <w:rPr>
          <w:lang w:val="en-US"/>
        </w:rPr>
      </w:pPr>
      <w:r w:rsidRPr="00A80DFD">
        <w:rPr>
          <w:lang w:val="en-US"/>
        </w:rPr>
        <w:t xml:space="preserve">In </w:t>
      </w:r>
      <w:r w:rsidR="00D508F7">
        <w:rPr>
          <w:lang w:val="en-US"/>
        </w:rPr>
        <w:t>the High Volatility at 90 days, TOST did not support equivalence in total cost between Hybrid AI and either Base-stock or Dynamic + Forecast (</w:t>
      </w:r>
      <m:oMath>
        <m:r>
          <w:rPr>
            <w:rFonts w:ascii="Cambria Math" w:hAnsi="Cambria Math"/>
            <w:lang w:val="en-US"/>
          </w:rPr>
          <m:t>tos</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p</m:t>
            </m:r>
          </m:sub>
        </m:sSub>
      </m:oMath>
      <w:r w:rsidR="00D508F7">
        <w:rPr>
          <w:lang w:val="en-US"/>
        </w:rPr>
        <w:t xml:space="preserve"> = 0.504 and 0.428, respectively</w:t>
      </w:r>
      <w:r w:rsidRPr="00A80DFD">
        <w:rPr>
          <w:lang w:val="en-US"/>
        </w:rPr>
        <w:t>). For fill rate, TOST supported equivalence within ±0.01 against both baselines (</w:t>
      </w:r>
      <m:oMath>
        <m:r>
          <w:rPr>
            <w:rFonts w:ascii="Cambria Math" w:hAnsi="Cambria Math"/>
            <w:lang w:val="en-US"/>
          </w:rPr>
          <m:t>tos</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p</m:t>
            </m:r>
          </m:sub>
        </m:sSub>
        <m:r>
          <m:rPr>
            <m:sty m:val="p"/>
          </m:rPr>
          <w:rPr>
            <w:rFonts w:ascii="Cambria Math" w:hAnsi="Cambria Math"/>
            <w:lang w:val="en-US"/>
          </w:rPr>
          <m:t>=2.00×</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-5</m:t>
            </m:r>
          </m:sup>
        </m:sSup>
      </m:oMath>
      <w:r w:rsidRPr="00A80DFD">
        <w:rPr>
          <w:lang w:val="en-US"/>
        </w:rPr>
        <w:t xml:space="preserve"> vs Base-stock; </w:t>
      </w:r>
      <m:oMath>
        <m:r>
          <w:rPr>
            <w:rFonts w:ascii="Cambria Math" w:hAnsi="Cambria Math"/>
            <w:lang w:val="en-US"/>
          </w:rPr>
          <m:t>1.97×</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oMath>
      <w:r w:rsidRPr="00A80DFD">
        <w:rPr>
          <w:lang w:val="en-US"/>
        </w:rPr>
        <w:t xml:space="preserve"> vs Dynamic + Forecast). In High Volatility at 180 days, TOST supported equivalence for fill rate within ±0.01 (</w:t>
      </w:r>
      <m:oMath>
        <m:r>
          <w:rPr>
            <w:rFonts w:ascii="Cambria Math" w:hAnsi="Cambria Math"/>
            <w:lang w:val="en-US"/>
          </w:rPr>
          <m:t>tos</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p</m:t>
            </m:r>
          </m:sub>
        </m:sSub>
        <m:r>
          <w:rPr>
            <w:rFonts w:ascii="Cambria Math" w:hAnsi="Cambria Math"/>
            <w:lang w:val="en-US"/>
          </w:rPr>
          <m:t>=3.59×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-27</m:t>
            </m:r>
          </m:sup>
        </m:sSup>
      </m:oMath>
      <w:r w:rsidRPr="00A80DFD">
        <w:rPr>
          <w:lang w:val="en-US"/>
        </w:rPr>
        <w:t xml:space="preserve"> vs Base-stock; </w:t>
      </w:r>
      <m:oMath>
        <m:r>
          <w:rPr>
            <w:rFonts w:ascii="Cambria Math" w:hAnsi="Cambria Math"/>
            <w:lang w:val="en-US"/>
          </w:rPr>
          <m:t>8.29×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-15</m:t>
            </m:r>
          </m:sup>
        </m:sSup>
      </m:oMath>
      <w:r w:rsidRPr="00A80DFD">
        <w:rPr>
          <w:lang w:val="en-US"/>
        </w:rPr>
        <w:t xml:space="preserve"> vs Dynamic + Forecast), while total-cost equivalence remained unsupported (</w:t>
      </w:r>
      <m:oMath>
        <m:r>
          <w:rPr>
            <w:rFonts w:ascii="Cambria Math" w:hAnsi="Cambria Math"/>
            <w:lang w:val="en-US"/>
          </w:rPr>
          <m:t>tos</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p</m:t>
            </m:r>
          </m:sub>
        </m:sSub>
      </m:oMath>
      <w:r w:rsidRPr="00A80DFD">
        <w:rPr>
          <w:lang w:val="en-US"/>
        </w:rPr>
        <w:t xml:space="preserve"> = 0.113 vs Base-stock; 0.821 vs Dynamic + Forecast). We report the paired standardized effect size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z</m:t>
            </m:r>
          </m:sub>
        </m:sSub>
      </m:oMath>
      <w:r w:rsidRPr="00A80DFD">
        <w:rPr>
          <w:lang w:val="en-US"/>
        </w:rPr>
        <w:t>) and the implied minimum detectable effect (MDE) for each metric to quantify the limits of inference under n = 100 paired replications.</w:t>
      </w:r>
    </w:p>
    <w:p w14:paraId="60563106" w14:textId="77777777" w:rsidR="00884D0D" w:rsidRDefault="00000000" w:rsidP="00DD5FF3">
      <w:pPr>
        <w:pStyle w:val="Ttulo2"/>
      </w:pPr>
      <w:r>
        <w:t xml:space="preserve">Appendix F: Forecast </w:t>
      </w:r>
      <w:proofErr w:type="spellStart"/>
      <w:r>
        <w:t>backtest</w:t>
      </w:r>
      <w:proofErr w:type="spellEnd"/>
      <w:r>
        <w:t xml:space="preserve"> and routing ablations (supporting analyses)</w:t>
      </w:r>
    </w:p>
    <w:p w14:paraId="65A3964F" w14:textId="77777777" w:rsidR="00884D0D" w:rsidRDefault="00000000">
      <w:pPr>
        <w:pStyle w:val="Ttulo3"/>
        <w:spacing w:before="0" w:after="0"/>
      </w:pPr>
      <w:r>
        <w:rPr>
          <w:rFonts w:eastAsia="Times New Roman"/>
          <w:sz w:val="20"/>
        </w:rPr>
        <w:t xml:space="preserve">Appendix F.1. Forecast point-accuracy </w:t>
      </w:r>
      <w:proofErr w:type="spellStart"/>
      <w:r>
        <w:rPr>
          <w:rFonts w:eastAsia="Times New Roman"/>
          <w:sz w:val="20"/>
        </w:rPr>
        <w:t>backtest</w:t>
      </w:r>
      <w:proofErr w:type="spellEnd"/>
    </w:p>
    <w:p w14:paraId="4FCA3A74" w14:textId="77777777" w:rsidR="00884D0D" w:rsidRPr="00653ACC" w:rsidRDefault="00000000" w:rsidP="004E6856">
      <w:pPr>
        <w:pStyle w:val="text-base"/>
        <w:spacing w:before="0" w:after="0"/>
        <w:jc w:val="both"/>
        <w:rPr>
          <w:lang w:val="en-US"/>
        </w:rPr>
      </w:pPr>
      <w:r w:rsidRPr="00653ACC">
        <w:rPr>
          <w:lang w:val="en-US"/>
        </w:rPr>
        <w:t xml:space="preserve">This appendix reports an out-of-sample point-accuracy </w:t>
      </w:r>
      <w:proofErr w:type="spellStart"/>
      <w:r w:rsidRPr="00653ACC">
        <w:rPr>
          <w:lang w:val="en-US"/>
        </w:rPr>
        <w:t>backtest</w:t>
      </w:r>
      <w:proofErr w:type="spellEnd"/>
      <w:r w:rsidRPr="00653ACC">
        <w:rPr>
          <w:lang w:val="en-US"/>
        </w:rPr>
        <w:t xml:space="preserve"> for the LSTM+RF forecaster used by the Hybrid AI policy and by forecast-informed baselines (e.g., BASE_STOCK_UNCERTAIN and Dynamic + Forecast). We evaluate one-step-ahead predictions using a rolling-origin scheme over the historical demand stream that underpins the scenario generators. We report point metrics only in this </w:t>
      </w:r>
      <w:proofErr w:type="spellStart"/>
      <w:r w:rsidRPr="00653ACC">
        <w:rPr>
          <w:lang w:val="en-US"/>
        </w:rPr>
        <w:t>backtest</w:t>
      </w:r>
      <w:proofErr w:type="spellEnd"/>
      <w:r w:rsidRPr="00653ACC">
        <w:rPr>
          <w:lang w:val="en-US"/>
        </w:rPr>
        <w:t>; we do not claim formal probabilistic calibration for the uncertainty proxy used in BASE_STOCK_UNCERTAIN.</w:t>
      </w:r>
    </w:p>
    <w:p w14:paraId="1C31413F" w14:textId="77777777" w:rsidR="00884D0D" w:rsidRDefault="00000000">
      <w:pPr>
        <w:pStyle w:val="Ttulo3"/>
        <w:spacing w:before="0" w:after="0"/>
      </w:pPr>
      <w:r>
        <w:rPr>
          <w:rFonts w:eastAsia="Times New Roman"/>
          <w:sz w:val="20"/>
        </w:rPr>
        <w:t>Appendix F.3. Routing proxy ablation (GA off)</w:t>
      </w:r>
    </w:p>
    <w:p w14:paraId="28A0BDD8" w14:textId="77777777" w:rsidR="00884D0D" w:rsidRPr="00653ACC" w:rsidRDefault="00000000" w:rsidP="004E6856">
      <w:pPr>
        <w:pStyle w:val="text-base"/>
        <w:spacing w:before="0" w:after="0"/>
        <w:jc w:val="both"/>
        <w:rPr>
          <w:lang w:val="en-US"/>
        </w:rPr>
      </w:pPr>
      <w:r w:rsidRPr="00F34B55">
        <w:rPr>
          <w:lang w:val="en-US"/>
        </w:rPr>
        <w:t xml:space="preserve">To isolate whether routing-aware costs drive the disruption failure mode, we run GA-off configurations in two contexts. First, we report GA=off as an ablation setting for the primary paired Monte Carlo grid; second, we run a bottleneck-isolation diagnostic under Supply Disruption with GA off and reward = </w:t>
      </w:r>
      <w:proofErr w:type="spellStart"/>
      <w:r w:rsidRPr="00F34B55">
        <w:rPr>
          <w:lang w:val="en-US"/>
        </w:rPr>
        <w:t>inventory_only</w:t>
      </w:r>
      <w:proofErr w:type="spellEnd"/>
      <w:r w:rsidRPr="00F34B55">
        <w:rPr>
          <w:lang w:val="en-US"/>
        </w:rPr>
        <w:t xml:space="preserve"> (Appendix E.8). Together, these tests show that removing the routing proxy and simplifying the objective can mitigate the catastrophic collapse, yet Hybrid AI still trades service for cost and does not dominate tuned baselines in fill rate. The evidence supports interpreting the disruption failure as an interaction between objective specification, action bounds, and long lead times rather than as a pure artifact of the routing module.</w:t>
      </w:r>
    </w:p>
    <w:p w14:paraId="399FC489" w14:textId="77777777" w:rsidR="00884D0D" w:rsidRDefault="00000000" w:rsidP="00DD5FF3">
      <w:pPr>
        <w:pStyle w:val="Ttulo2"/>
      </w:pPr>
      <w:r>
        <w:lastRenderedPageBreak/>
        <w:t>Appendix H: Operational definitions for the deployment gates (Table 2)</w:t>
      </w:r>
    </w:p>
    <w:p w14:paraId="4F4980AB" w14:textId="6592E37E" w:rsidR="00DF75A2" w:rsidRPr="00DF75A2" w:rsidRDefault="00000000" w:rsidP="004E742A">
      <w:pPr>
        <w:pStyle w:val="text-base"/>
        <w:spacing w:before="0" w:after="0"/>
        <w:jc w:val="both"/>
        <w:rPr>
          <w:color w:val="FFC000"/>
          <w:lang w:val="en-US"/>
        </w:rPr>
      </w:pPr>
      <w:r w:rsidRPr="00653ACC">
        <w:rPr>
          <w:lang w:val="en-US"/>
        </w:rPr>
        <w:t xml:space="preserve">This appendix defines the operational decision gates referenced in the Discussion. </w:t>
      </w:r>
      <w:r w:rsidR="00DF75A2" w:rsidRPr="00DF75A2">
        <w:rPr>
          <w:color w:val="FFC000"/>
          <w:lang w:val="en-US"/>
        </w:rPr>
        <w:t>The targets below are illustrative and define a minimum safety specification for healthcare deployment; they do not constitute the objective function or constraint set used in the present experiments.</w:t>
      </w:r>
    </w:p>
    <w:p w14:paraId="5905F0E3" w14:textId="77777777" w:rsidR="004E6856" w:rsidRPr="006F4D77" w:rsidRDefault="004E6856" w:rsidP="006F4D77">
      <w:pPr>
        <w:pStyle w:val="ng-star-inserted"/>
        <w:spacing w:before="0" w:after="0" w:afterAutospacing="0"/>
        <w:ind w:left="216" w:right="14"/>
        <w:rPr>
          <w:rStyle w:val="ng-star-inserted1"/>
          <w:rFonts w:eastAsiaTheme="majorEastAsia"/>
          <w:lang w:val="en-US"/>
        </w:rPr>
      </w:pPr>
      <w:r w:rsidRPr="006F4D77">
        <w:rPr>
          <w:rStyle w:val="ng-star-inserted1"/>
          <w:rFonts w:eastAsiaTheme="majorEastAsia"/>
          <w:lang w:val="en-US"/>
        </w:rPr>
        <w:t>Table H.1. Illustrative decision gates for deployment readiness.</w:t>
      </w:r>
    </w:p>
    <w:tbl>
      <w:tblPr>
        <w:tblStyle w:val="Tabelacomgrade"/>
        <w:tblW w:w="0" w:type="auto"/>
        <w:jc w:val="center"/>
        <w:tblLook w:val="04A0" w:firstRow="1" w:lastRow="0" w:firstColumn="1" w:lastColumn="0" w:noHBand="0" w:noVBand="1"/>
      </w:tblPr>
      <w:tblGrid>
        <w:gridCol w:w="1980"/>
        <w:gridCol w:w="3402"/>
        <w:gridCol w:w="4354"/>
      </w:tblGrid>
      <w:tr w:rsidR="00884D0D" w:rsidRPr="004E6856" w14:paraId="166AFDA7" w14:textId="77777777" w:rsidTr="001C4BA5">
        <w:trPr>
          <w:jc w:val="center"/>
        </w:trPr>
        <w:tc>
          <w:tcPr>
            <w:tcW w:w="1980" w:type="dxa"/>
            <w:vAlign w:val="center"/>
          </w:tcPr>
          <w:p w14:paraId="53F70C48" w14:textId="77777777" w:rsidR="00884D0D" w:rsidRPr="004E6856" w:rsidRDefault="00000000" w:rsidP="001C4BA5">
            <w:pPr>
              <w:jc w:val="center"/>
              <w:rPr>
                <w:rFonts w:cs="Times New Roman"/>
                <w:b/>
                <w:bCs/>
                <w:sz w:val="18"/>
                <w:szCs w:val="18"/>
              </w:rPr>
            </w:pPr>
            <w:r w:rsidRPr="004E6856">
              <w:rPr>
                <w:rFonts w:cs="Times New Roman"/>
                <w:b/>
                <w:bCs/>
                <w:sz w:val="18"/>
                <w:szCs w:val="18"/>
              </w:rPr>
              <w:t>KPI</w:t>
            </w:r>
          </w:p>
        </w:tc>
        <w:tc>
          <w:tcPr>
            <w:tcW w:w="3402" w:type="dxa"/>
            <w:vAlign w:val="center"/>
          </w:tcPr>
          <w:p w14:paraId="479EFB80" w14:textId="77777777" w:rsidR="00884D0D" w:rsidRPr="004E6856" w:rsidRDefault="00000000" w:rsidP="001C4BA5">
            <w:pPr>
              <w:jc w:val="center"/>
              <w:rPr>
                <w:rFonts w:cs="Times New Roman"/>
                <w:b/>
                <w:bCs/>
                <w:sz w:val="18"/>
                <w:szCs w:val="18"/>
              </w:rPr>
            </w:pPr>
            <w:r w:rsidRPr="004E6856">
              <w:rPr>
                <w:rFonts w:cs="Times New Roman"/>
                <w:b/>
                <w:bCs/>
                <w:sz w:val="18"/>
                <w:szCs w:val="18"/>
              </w:rPr>
              <w:t>Illustrative target</w:t>
            </w:r>
          </w:p>
        </w:tc>
        <w:tc>
          <w:tcPr>
            <w:tcW w:w="4354" w:type="dxa"/>
            <w:vAlign w:val="center"/>
          </w:tcPr>
          <w:p w14:paraId="39233312" w14:textId="77777777" w:rsidR="00884D0D" w:rsidRPr="004E6856" w:rsidRDefault="00000000" w:rsidP="001C4BA5">
            <w:pPr>
              <w:jc w:val="center"/>
              <w:rPr>
                <w:rFonts w:cs="Times New Roman"/>
                <w:b/>
                <w:bCs/>
                <w:sz w:val="18"/>
                <w:szCs w:val="18"/>
              </w:rPr>
            </w:pPr>
            <w:r w:rsidRPr="004E6856">
              <w:rPr>
                <w:rFonts w:cs="Times New Roman"/>
                <w:b/>
                <w:bCs/>
                <w:sz w:val="18"/>
                <w:szCs w:val="18"/>
              </w:rPr>
              <w:t>Operational interpretation</w:t>
            </w:r>
          </w:p>
        </w:tc>
      </w:tr>
      <w:tr w:rsidR="00884D0D" w:rsidRPr="004E6856" w14:paraId="34F72F08" w14:textId="77777777" w:rsidTr="001C4BA5">
        <w:trPr>
          <w:jc w:val="center"/>
        </w:trPr>
        <w:tc>
          <w:tcPr>
            <w:tcW w:w="1980" w:type="dxa"/>
            <w:vAlign w:val="center"/>
          </w:tcPr>
          <w:p w14:paraId="2191A76B" w14:textId="77777777" w:rsidR="00884D0D" w:rsidRPr="004E6856" w:rsidRDefault="00000000" w:rsidP="001C4BA5">
            <w:pPr>
              <w:rPr>
                <w:rFonts w:cs="Times New Roman"/>
                <w:sz w:val="18"/>
                <w:szCs w:val="18"/>
              </w:rPr>
            </w:pPr>
            <w:r w:rsidRPr="004E6856">
              <w:rPr>
                <w:rFonts w:cs="Times New Roman"/>
                <w:sz w:val="18"/>
                <w:szCs w:val="18"/>
              </w:rPr>
              <w:t>Fill rate</w:t>
            </w:r>
          </w:p>
        </w:tc>
        <w:tc>
          <w:tcPr>
            <w:tcW w:w="3402" w:type="dxa"/>
            <w:vAlign w:val="center"/>
          </w:tcPr>
          <w:p w14:paraId="6BD06CBD" w14:textId="77777777" w:rsidR="00884D0D" w:rsidRPr="004E6856" w:rsidRDefault="00000000" w:rsidP="001C4BA5">
            <w:pPr>
              <w:jc w:val="center"/>
              <w:rPr>
                <w:rFonts w:cs="Times New Roman"/>
                <w:sz w:val="18"/>
                <w:szCs w:val="18"/>
              </w:rPr>
            </w:pPr>
            <w:r w:rsidRPr="004E6856">
              <w:rPr>
                <w:rFonts w:cs="Times New Roman"/>
                <w:sz w:val="18"/>
                <w:szCs w:val="18"/>
              </w:rPr>
              <w:t>≥ 0.95 (nominal); ≥ 0.90 (stress)</w:t>
            </w:r>
          </w:p>
        </w:tc>
        <w:tc>
          <w:tcPr>
            <w:tcW w:w="4354" w:type="dxa"/>
            <w:vAlign w:val="center"/>
          </w:tcPr>
          <w:p w14:paraId="35E889B2" w14:textId="77777777" w:rsidR="00884D0D" w:rsidRPr="004E6856" w:rsidRDefault="00000000" w:rsidP="001C4BA5">
            <w:pPr>
              <w:rPr>
                <w:rFonts w:cs="Times New Roman"/>
                <w:sz w:val="18"/>
                <w:szCs w:val="18"/>
              </w:rPr>
            </w:pPr>
            <w:r w:rsidRPr="004E6856">
              <w:rPr>
                <w:rFonts w:cs="Times New Roman"/>
                <w:sz w:val="18"/>
                <w:szCs w:val="18"/>
              </w:rPr>
              <w:t>Service floor</w:t>
            </w:r>
            <w:r w:rsidR="00D508F7">
              <w:rPr>
                <w:rFonts w:cs="Times New Roman"/>
                <w:sz w:val="18"/>
                <w:szCs w:val="18"/>
              </w:rPr>
              <w:t xml:space="preserve">, </w:t>
            </w:r>
            <w:r w:rsidRPr="004E6856">
              <w:rPr>
                <w:rFonts w:cs="Times New Roman"/>
                <w:sz w:val="18"/>
                <w:szCs w:val="18"/>
              </w:rPr>
              <w:t xml:space="preserve">trigger fallback if violated </w:t>
            </w:r>
            <w:proofErr w:type="gramStart"/>
            <w:r w:rsidRPr="004E6856">
              <w:rPr>
                <w:rFonts w:cs="Times New Roman"/>
                <w:sz w:val="18"/>
                <w:szCs w:val="18"/>
              </w:rPr>
              <w:t>for k</w:t>
            </w:r>
            <w:proofErr w:type="gramEnd"/>
            <w:r w:rsidRPr="004E6856">
              <w:rPr>
                <w:rFonts w:cs="Times New Roman"/>
                <w:sz w:val="18"/>
                <w:szCs w:val="18"/>
              </w:rPr>
              <w:t xml:space="preserve"> consecutive periods.</w:t>
            </w:r>
          </w:p>
        </w:tc>
      </w:tr>
      <w:tr w:rsidR="00884D0D" w:rsidRPr="004E6856" w14:paraId="4F7A29CC" w14:textId="77777777" w:rsidTr="001C4BA5">
        <w:trPr>
          <w:jc w:val="center"/>
        </w:trPr>
        <w:tc>
          <w:tcPr>
            <w:tcW w:w="1980" w:type="dxa"/>
            <w:vAlign w:val="center"/>
          </w:tcPr>
          <w:p w14:paraId="09D416AF" w14:textId="77777777" w:rsidR="00884D0D" w:rsidRPr="004E6856" w:rsidRDefault="00000000" w:rsidP="001C4BA5">
            <w:pPr>
              <w:rPr>
                <w:rFonts w:cs="Times New Roman"/>
                <w:sz w:val="18"/>
                <w:szCs w:val="18"/>
              </w:rPr>
            </w:pPr>
            <w:r w:rsidRPr="004E6856">
              <w:rPr>
                <w:rFonts w:cs="Times New Roman"/>
                <w:sz w:val="18"/>
                <w:szCs w:val="18"/>
              </w:rPr>
              <w:t>Stockout days</w:t>
            </w:r>
          </w:p>
        </w:tc>
        <w:tc>
          <w:tcPr>
            <w:tcW w:w="3402" w:type="dxa"/>
            <w:vAlign w:val="center"/>
          </w:tcPr>
          <w:p w14:paraId="2876E3B5" w14:textId="77777777" w:rsidR="00884D0D" w:rsidRPr="004E6856" w:rsidRDefault="00000000" w:rsidP="001C4BA5">
            <w:pPr>
              <w:jc w:val="center"/>
              <w:rPr>
                <w:rFonts w:cs="Times New Roman"/>
                <w:sz w:val="18"/>
                <w:szCs w:val="18"/>
              </w:rPr>
            </w:pPr>
            <w:r w:rsidRPr="004E6856">
              <w:rPr>
                <w:rFonts w:cs="Times New Roman"/>
                <w:sz w:val="18"/>
                <w:szCs w:val="18"/>
              </w:rPr>
              <w:t>≤ 5% of days (nominal)</w:t>
            </w:r>
          </w:p>
        </w:tc>
        <w:tc>
          <w:tcPr>
            <w:tcW w:w="4354" w:type="dxa"/>
            <w:vAlign w:val="center"/>
          </w:tcPr>
          <w:p w14:paraId="740A7011" w14:textId="77777777" w:rsidR="00884D0D" w:rsidRPr="004E6856" w:rsidRDefault="00000000" w:rsidP="001C4BA5">
            <w:pPr>
              <w:rPr>
                <w:rFonts w:cs="Times New Roman"/>
                <w:sz w:val="18"/>
                <w:szCs w:val="18"/>
              </w:rPr>
            </w:pPr>
            <w:r w:rsidRPr="004E6856">
              <w:rPr>
                <w:rFonts w:cs="Times New Roman"/>
                <w:sz w:val="18"/>
                <w:szCs w:val="18"/>
              </w:rPr>
              <w:t>Tail-risk constraint; monitor persistent stockout streaks.</w:t>
            </w:r>
          </w:p>
        </w:tc>
      </w:tr>
      <w:tr w:rsidR="00884D0D" w:rsidRPr="004E6856" w14:paraId="1D864D95" w14:textId="77777777" w:rsidTr="001C4BA5">
        <w:trPr>
          <w:jc w:val="center"/>
        </w:trPr>
        <w:tc>
          <w:tcPr>
            <w:tcW w:w="1980" w:type="dxa"/>
            <w:vAlign w:val="center"/>
          </w:tcPr>
          <w:p w14:paraId="1CA2470F" w14:textId="77777777" w:rsidR="00884D0D" w:rsidRPr="004E6856" w:rsidRDefault="00000000" w:rsidP="001C4BA5">
            <w:pPr>
              <w:rPr>
                <w:rFonts w:cs="Times New Roman"/>
                <w:sz w:val="18"/>
                <w:szCs w:val="18"/>
              </w:rPr>
            </w:pPr>
            <w:r w:rsidRPr="004E6856">
              <w:rPr>
                <w:rFonts w:cs="Times New Roman"/>
                <w:sz w:val="18"/>
                <w:szCs w:val="18"/>
              </w:rPr>
              <w:t>Ordering feasibility</w:t>
            </w:r>
          </w:p>
        </w:tc>
        <w:tc>
          <w:tcPr>
            <w:tcW w:w="3402" w:type="dxa"/>
            <w:vAlign w:val="center"/>
          </w:tcPr>
          <w:p w14:paraId="188CDD06" w14:textId="77777777" w:rsidR="00884D0D" w:rsidRPr="004E6856" w:rsidRDefault="00000000" w:rsidP="001C4BA5">
            <w:pPr>
              <w:jc w:val="center"/>
              <w:rPr>
                <w:rFonts w:cs="Times New Roman"/>
                <w:sz w:val="18"/>
                <w:szCs w:val="18"/>
              </w:rPr>
            </w:pPr>
            <w:r w:rsidRPr="004E6856">
              <w:rPr>
                <w:rFonts w:cs="Times New Roman"/>
                <w:sz w:val="18"/>
                <w:szCs w:val="18"/>
              </w:rPr>
              <w:t>No negative inventory; respect capacity when applicable</w:t>
            </w:r>
          </w:p>
        </w:tc>
        <w:tc>
          <w:tcPr>
            <w:tcW w:w="4354" w:type="dxa"/>
            <w:vAlign w:val="center"/>
          </w:tcPr>
          <w:p w14:paraId="6F07E919" w14:textId="77777777" w:rsidR="00884D0D" w:rsidRPr="004E6856" w:rsidRDefault="00000000" w:rsidP="001C4BA5">
            <w:pPr>
              <w:rPr>
                <w:rFonts w:cs="Times New Roman"/>
                <w:sz w:val="18"/>
                <w:szCs w:val="18"/>
              </w:rPr>
            </w:pPr>
            <w:r w:rsidRPr="004E6856">
              <w:rPr>
                <w:rFonts w:cs="Times New Roman"/>
                <w:sz w:val="18"/>
                <w:szCs w:val="18"/>
              </w:rPr>
              <w:t>Hard constraints</w:t>
            </w:r>
            <w:r w:rsidR="00D508F7">
              <w:rPr>
                <w:rFonts w:cs="Times New Roman"/>
                <w:sz w:val="18"/>
                <w:szCs w:val="18"/>
              </w:rPr>
              <w:t>,</w:t>
            </w:r>
            <w:r w:rsidRPr="004E6856">
              <w:rPr>
                <w:rFonts w:cs="Times New Roman"/>
                <w:sz w:val="18"/>
                <w:szCs w:val="18"/>
              </w:rPr>
              <w:t xml:space="preserve"> enforce clipping and audit logs.</w:t>
            </w:r>
          </w:p>
        </w:tc>
      </w:tr>
      <w:tr w:rsidR="00884D0D" w:rsidRPr="004E6856" w14:paraId="7AA6A490" w14:textId="77777777" w:rsidTr="001C4BA5">
        <w:trPr>
          <w:jc w:val="center"/>
        </w:trPr>
        <w:tc>
          <w:tcPr>
            <w:tcW w:w="1980" w:type="dxa"/>
            <w:vAlign w:val="center"/>
          </w:tcPr>
          <w:p w14:paraId="445B1D61" w14:textId="77777777" w:rsidR="00884D0D" w:rsidRPr="004E6856" w:rsidRDefault="00000000" w:rsidP="001C4BA5">
            <w:pPr>
              <w:rPr>
                <w:rFonts w:cs="Times New Roman"/>
                <w:sz w:val="18"/>
                <w:szCs w:val="18"/>
              </w:rPr>
            </w:pPr>
            <w:r w:rsidRPr="004E6856">
              <w:rPr>
                <w:rFonts w:cs="Times New Roman"/>
                <w:sz w:val="18"/>
                <w:szCs w:val="18"/>
              </w:rPr>
              <w:t>Cost recovery resilience</w:t>
            </w:r>
          </w:p>
        </w:tc>
        <w:tc>
          <w:tcPr>
            <w:tcW w:w="3402" w:type="dxa"/>
            <w:vAlign w:val="center"/>
          </w:tcPr>
          <w:p w14:paraId="7682DA51" w14:textId="77777777" w:rsidR="00884D0D" w:rsidRPr="004E6856" w:rsidRDefault="00000000" w:rsidP="001C4BA5">
            <w:pPr>
              <w:jc w:val="center"/>
              <w:rPr>
                <w:rFonts w:cs="Times New Roman"/>
                <w:sz w:val="18"/>
                <w:szCs w:val="18"/>
              </w:rPr>
            </w:pPr>
            <w:r w:rsidRPr="004E6856">
              <w:rPr>
                <w:rFonts w:cs="Times New Roman"/>
                <w:sz w:val="18"/>
                <w:szCs w:val="18"/>
              </w:rPr>
              <w:t>No regime with &gt; +X% cost vs best baseline</w:t>
            </w:r>
          </w:p>
        </w:tc>
        <w:tc>
          <w:tcPr>
            <w:tcW w:w="4354" w:type="dxa"/>
            <w:vAlign w:val="center"/>
          </w:tcPr>
          <w:p w14:paraId="14FE4B97" w14:textId="77777777" w:rsidR="00884D0D" w:rsidRPr="004E6856" w:rsidRDefault="00000000" w:rsidP="001C4BA5">
            <w:pPr>
              <w:rPr>
                <w:rFonts w:cs="Times New Roman"/>
                <w:sz w:val="18"/>
                <w:szCs w:val="18"/>
              </w:rPr>
            </w:pPr>
            <w:r w:rsidRPr="004E6856">
              <w:rPr>
                <w:rFonts w:cs="Times New Roman"/>
                <w:sz w:val="18"/>
                <w:szCs w:val="18"/>
              </w:rPr>
              <w:t xml:space="preserve">Do-no-harm gate: reject policies </w:t>
            </w:r>
            <w:r w:rsidR="00D508F7">
              <w:rPr>
                <w:rFonts w:cs="Times New Roman"/>
                <w:sz w:val="18"/>
                <w:szCs w:val="18"/>
              </w:rPr>
              <w:t>that lead to</w:t>
            </w:r>
            <w:r w:rsidRPr="004E6856">
              <w:rPr>
                <w:rFonts w:cs="Times New Roman"/>
                <w:sz w:val="18"/>
                <w:szCs w:val="18"/>
              </w:rPr>
              <w:t xml:space="preserve"> catastrophic regime loss.</w:t>
            </w:r>
          </w:p>
        </w:tc>
      </w:tr>
      <w:tr w:rsidR="004946DD" w:rsidRPr="001C4BA5" w14:paraId="493B48F6" w14:textId="77777777" w:rsidTr="001C4BA5">
        <w:trPr>
          <w:jc w:val="center"/>
        </w:trPr>
        <w:tc>
          <w:tcPr>
            <w:tcW w:w="1980" w:type="dxa"/>
            <w:vAlign w:val="center"/>
          </w:tcPr>
          <w:p w14:paraId="660417CE" w14:textId="77777777" w:rsidR="004946DD" w:rsidRPr="001C4BA5" w:rsidRDefault="00000000" w:rsidP="001C4BA5">
            <w:pPr>
              <w:rPr>
                <w:rFonts w:cs="Times New Roman"/>
                <w:sz w:val="18"/>
                <w:szCs w:val="18"/>
              </w:rPr>
            </w:pPr>
            <w:r w:rsidRPr="001C4BA5">
              <w:rPr>
                <w:rFonts w:cs="Times New Roman"/>
                <w:sz w:val="18"/>
                <w:szCs w:val="18"/>
              </w:rPr>
              <w:t>Throughput (lines/day)</w:t>
            </w:r>
          </w:p>
        </w:tc>
        <w:tc>
          <w:tcPr>
            <w:tcW w:w="3402" w:type="dxa"/>
            <w:vAlign w:val="center"/>
          </w:tcPr>
          <w:p w14:paraId="46121E77" w14:textId="77777777" w:rsidR="004946DD" w:rsidRPr="001C4BA5" w:rsidRDefault="00000000" w:rsidP="001C4BA5">
            <w:pPr>
              <w:jc w:val="center"/>
              <w:rPr>
                <w:rFonts w:cs="Times New Roman"/>
                <w:sz w:val="18"/>
                <w:szCs w:val="18"/>
              </w:rPr>
            </w:pPr>
            <w:r w:rsidRPr="001C4BA5">
              <w:rPr>
                <w:rFonts w:cs="Times New Roman"/>
                <w:sz w:val="18"/>
                <w:szCs w:val="18"/>
              </w:rPr>
              <w:t>≥ 20–50 (facility-specific)</w:t>
            </w:r>
          </w:p>
        </w:tc>
        <w:tc>
          <w:tcPr>
            <w:tcW w:w="4354" w:type="dxa"/>
            <w:vAlign w:val="center"/>
          </w:tcPr>
          <w:p w14:paraId="402792E6" w14:textId="77777777" w:rsidR="004946DD" w:rsidRPr="001C4BA5" w:rsidRDefault="00000000" w:rsidP="001C4BA5">
            <w:pPr>
              <w:rPr>
                <w:rFonts w:cs="Times New Roman"/>
                <w:sz w:val="18"/>
                <w:szCs w:val="18"/>
              </w:rPr>
            </w:pPr>
            <w:r w:rsidRPr="001C4BA5">
              <w:rPr>
                <w:rFonts w:cs="Times New Roman"/>
                <w:sz w:val="18"/>
                <w:szCs w:val="18"/>
              </w:rPr>
              <w:t>Calibrate to facility-day line-volume distribution and aggregation level (Appendix C.4: 90th percentile ≈22 in SUS sample).</w:t>
            </w:r>
          </w:p>
        </w:tc>
      </w:tr>
    </w:tbl>
    <w:p w14:paraId="026AE32E" w14:textId="1D6B43FC" w:rsidR="00AC5F4C" w:rsidRPr="00E869A0" w:rsidRDefault="00000000" w:rsidP="00DC3F28">
      <w:pPr>
        <w:pStyle w:val="text-base"/>
        <w:spacing w:before="0" w:after="0"/>
        <w:jc w:val="both"/>
        <w:rPr>
          <w:lang w:val="en-US"/>
        </w:rPr>
      </w:pPr>
      <w:r w:rsidRPr="00DF75A2">
        <w:rPr>
          <w:color w:val="FFC000"/>
          <w:lang w:val="en-US"/>
        </w:rPr>
        <w:t xml:space="preserve">Definition notes (implementation guidance). </w:t>
      </w:r>
      <w:r w:rsidR="00DF75A2" w:rsidRPr="00DF75A2">
        <w:rPr>
          <w:color w:val="FFC000"/>
          <w:lang w:val="en-US"/>
        </w:rPr>
        <w:t>Let</w:t>
      </w:r>
      <w:r w:rsidRPr="00DF75A2">
        <w:rPr>
          <w:color w:val="FFC000"/>
          <w:lang w:val="en-US"/>
        </w:rPr>
        <w:t xml:space="preserve"> </w:t>
      </w:r>
      <w:proofErr w:type="spellStart"/>
      <w:r w:rsidRPr="00DF75A2">
        <w:rPr>
          <w:color w:val="FFC000"/>
          <w:lang w:val="en-US"/>
        </w:rPr>
        <w:t>fill_</w:t>
      </w:r>
      <w:r w:rsidR="00994185" w:rsidRPr="00DF75A2">
        <w:rPr>
          <w:color w:val="FFC000"/>
          <w:lang w:val="en-US"/>
        </w:rPr>
        <w:t>W</w:t>
      </w:r>
      <w:proofErr w:type="spellEnd"/>
      <w:r w:rsidR="00994185" w:rsidRPr="00DF75A2">
        <w:rPr>
          <w:color w:val="FFC000"/>
          <w:vertAlign w:val="subscript"/>
          <w:lang w:val="en-US"/>
        </w:rPr>
        <w:t>(t)</w:t>
      </w:r>
      <w:r w:rsidR="00994185" w:rsidRPr="00DF75A2">
        <w:rPr>
          <w:color w:val="FFC000"/>
          <w:lang w:val="en-US"/>
        </w:rPr>
        <w:t xml:space="preserve"> </w:t>
      </w:r>
      <w:r w:rsidR="00DF75A2" w:rsidRPr="00DF75A2">
        <w:rPr>
          <w:color w:val="FFC000"/>
          <w:lang w:val="en-US"/>
        </w:rPr>
        <w:t>denote</w:t>
      </w:r>
      <w:r w:rsidRPr="00DF75A2">
        <w:rPr>
          <w:color w:val="FFC000"/>
          <w:lang w:val="en-US"/>
        </w:rPr>
        <w:t xml:space="preserve"> the ratio of demand </w:t>
      </w:r>
      <w:r w:rsidR="00DF75A2" w:rsidRPr="00DF75A2">
        <w:rPr>
          <w:color w:val="FFC000"/>
          <w:lang w:val="en-US"/>
        </w:rPr>
        <w:t xml:space="preserve">served to requested demand </w:t>
      </w:r>
      <w:r w:rsidRPr="00DF75A2">
        <w:rPr>
          <w:color w:val="FFC000"/>
          <w:lang w:val="en-US"/>
        </w:rPr>
        <w:t xml:space="preserve">over a rolling window W (e.g., 14 days): </w:t>
      </w:r>
      <m:oMath>
        <m:r>
          <w:rPr>
            <w:rFonts w:ascii="Cambria Math" w:hAnsi="Cambria Math"/>
            <w:lang w:val="en-US"/>
          </w:rPr>
          <m:t>fil</m:t>
        </m:r>
        <m:sSub>
          <m:sSubPr>
            <m:ctrlPr>
              <w:rPr>
                <w:rFonts w:ascii="Cambria Math" w:hAnsi="Cambria Math"/>
                <w:i/>
                <w:lang w:val="en-US"/>
              </w:rPr>
            </m:ctrlPr>
          </m:sSubPr>
          <m:e>
            <m:r>
              <w:rPr>
                <w:rFonts w:ascii="Cambria Math" w:hAnsi="Cambria Math"/>
                <w:lang w:val="en-US"/>
              </w:rPr>
              <m:t>l W</m:t>
            </m:r>
          </m:e>
          <m:sub>
            <m:d>
              <m:dPr>
                <m:ctrlPr>
                  <w:rPr>
                    <w:rFonts w:ascii="Cambria Math" w:hAnsi="Cambria Math"/>
                    <w:i/>
                    <w:lang w:val="en-US"/>
                  </w:rPr>
                </m:ctrlPr>
              </m:dPr>
              <m:e>
                <m:r>
                  <w:rPr>
                    <w:rFonts w:ascii="Cambria Math" w:hAnsi="Cambria Math"/>
                    <w:lang w:val="en-US"/>
                  </w:rPr>
                  <m:t>t</m:t>
                </m:r>
              </m:e>
            </m:d>
          </m:sub>
        </m:sSub>
        <m:r>
          <w:rPr>
            <w:rFonts w:ascii="Cambria Math" w:hAnsi="Cambria Math"/>
            <w:lang w:val="en-US"/>
          </w:rPr>
          <m:t>=</m:t>
        </m:r>
        <m:sSubSup>
          <m:sSubSupPr>
            <m:ctrlPr>
              <w:rPr>
                <w:rFonts w:ascii="Cambria Math" w:hAnsi="Cambria Math"/>
                <w:i/>
                <w:lang w:val="en-US"/>
              </w:rPr>
            </m:ctrlPr>
          </m:sSubSupPr>
          <m:e>
            <m:r>
              <w:rPr>
                <w:rFonts w:ascii="Cambria Math" w:hAnsi="Cambria Math"/>
              </w:rPr>
              <m:t>Σ</m:t>
            </m:r>
          </m:e>
          <m:sub>
            <m:r>
              <w:rPr>
                <w:rFonts w:ascii="Cambria Math" w:hAnsi="Cambria Math"/>
                <w:lang w:val="en-US"/>
              </w:rPr>
              <m:t>u=t-W+1</m:t>
            </m:r>
          </m:sub>
          <m:sup>
            <m:r>
              <w:rPr>
                <w:rFonts w:ascii="Cambria Math" w:hAnsi="Cambria Math"/>
                <w:lang w:val="en-US"/>
              </w:rPr>
              <m:t>t</m:t>
            </m:r>
          </m:sup>
        </m:sSubSup>
        <m:r>
          <w:rPr>
            <w:rFonts w:ascii="Cambria Math" w:hAnsi="Cambria Math"/>
            <w:lang w:val="en-US"/>
          </w:rPr>
          <m:t>serve</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u</m:t>
            </m:r>
          </m:sub>
        </m:sSub>
        <m:r>
          <m:rPr>
            <m:lit/>
          </m:rPr>
          <w:rPr>
            <w:rFonts w:ascii="Cambria Math" w:hAnsi="Cambria Math"/>
            <w:lang w:val="en-US"/>
          </w:rPr>
          <m:t>/</m:t>
        </m:r>
        <m:sSubSup>
          <m:sSubSupPr>
            <m:ctrlPr>
              <w:rPr>
                <w:rFonts w:ascii="Cambria Math" w:hAnsi="Cambria Math"/>
                <w:i/>
                <w:lang w:val="en-US"/>
              </w:rPr>
            </m:ctrlPr>
          </m:sSubSupPr>
          <m:e>
            <m:r>
              <w:rPr>
                <w:rFonts w:ascii="Cambria Math" w:hAnsi="Cambria Math"/>
              </w:rPr>
              <m:t>Σ</m:t>
            </m:r>
          </m:e>
          <m:sub>
            <m:r>
              <w:rPr>
                <w:rFonts w:ascii="Cambria Math" w:hAnsi="Cambria Math"/>
                <w:lang w:val="en-US"/>
              </w:rPr>
              <m:t>u=t-W+1</m:t>
            </m:r>
          </m:sub>
          <m:sup>
            <m:r>
              <w:rPr>
                <w:rFonts w:ascii="Cambria Math" w:hAnsi="Cambria Math"/>
                <w:lang w:val="en-US"/>
              </w:rPr>
              <m:t>t</m:t>
            </m:r>
          </m:sup>
        </m:sSubSup>
        <m:r>
          <w:rPr>
            <w:rFonts w:ascii="Cambria Math" w:hAnsi="Cambria Math"/>
            <w:lang w:val="en-US"/>
          </w:rPr>
          <m:t>deman</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u</m:t>
            </m:r>
          </m:sub>
        </m:sSub>
      </m:oMath>
      <w:r w:rsidRPr="00E869A0">
        <w:rPr>
          <w:lang w:val="en-US"/>
        </w:rPr>
        <w:t>. Compute stockout_share_W</w:t>
      </w:r>
      <w:r w:rsidRPr="00994185">
        <w:rPr>
          <w:vertAlign w:val="subscript"/>
          <w:lang w:val="en-US"/>
        </w:rPr>
        <w:t>(t)</w:t>
      </w:r>
      <w:r w:rsidRPr="00E869A0">
        <w:rPr>
          <w:lang w:val="en-US"/>
        </w:rPr>
        <w:t xml:space="preserve"> as the fraction of days in the window with any lost sales (</w:t>
      </w:r>
      <m:oMath>
        <m:r>
          <w:rPr>
            <w:rFonts w:ascii="Cambria Math" w:hAnsi="Cambria Math"/>
            <w:lang w:val="en-US"/>
          </w:rPr>
          <m:t>L</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u</m:t>
            </m:r>
          </m:sub>
        </m:sSub>
      </m:oMath>
      <w:r w:rsidRPr="00E869A0">
        <w:rPr>
          <w:lang w:val="en-US"/>
        </w:rPr>
        <w:t>&gt;0).</w:t>
      </w:r>
    </w:p>
    <w:p w14:paraId="45D4C79B" w14:textId="78D148BB" w:rsidR="00994185" w:rsidRDefault="00000000" w:rsidP="00DC3F28">
      <w:pPr>
        <w:pStyle w:val="text-base"/>
        <w:spacing w:before="0" w:after="0"/>
        <w:jc w:val="both"/>
        <w:rPr>
          <w:lang w:val="en-US"/>
        </w:rPr>
      </w:pPr>
      <w:r w:rsidRPr="00E869A0">
        <w:rPr>
          <w:lang w:val="en-US"/>
        </w:rPr>
        <w:t xml:space="preserve">Trigger logic. Use a persistence parameter k to prevent a single-day outlier from switching control. For example, trigger fallback when a breach condition holds for k consecutive decision epochs, then keep fallback active for m epochs or until recovery criteria hold </w:t>
      </w:r>
      <w:r w:rsidR="009C0FA5">
        <w:rPr>
          <w:lang w:val="en-US"/>
        </w:rPr>
        <w:t>(</w:t>
      </w:r>
      <w:r w:rsidR="00994185">
        <w:rPr>
          <w:lang w:val="en-US"/>
        </w:rPr>
        <w:t>Fill W</w:t>
      </w:r>
      <w:r w:rsidR="00994185" w:rsidRPr="00994185">
        <w:rPr>
          <w:vertAlign w:val="subscript"/>
          <w:lang w:val="en-US"/>
        </w:rPr>
        <w:t>(t)</w:t>
      </w:r>
      <w:r w:rsidR="00994185" w:rsidRPr="00994185">
        <w:rPr>
          <w:rFonts w:ascii="Cambria Math" w:hAnsi="Cambria Math"/>
          <w:i/>
          <w:lang w:val="en-US"/>
        </w:rPr>
        <w:t xml:space="preserve"> </w:t>
      </w:r>
      <m:oMath>
        <m:r>
          <w:rPr>
            <w:rFonts w:ascii="Cambria Math" w:hAnsi="Cambria Math"/>
            <w:lang w:val="en-US"/>
          </w:rPr>
          <m:t>≥</m:t>
        </m:r>
        <m:r>
          <w:rPr>
            <w:rFonts w:ascii="Cambria Math" w:hAnsi="Cambria Math"/>
          </w:rPr>
          <m:t>τ</m:t>
        </m:r>
      </m:oMath>
      <w:r w:rsidR="00994185" w:rsidRPr="00E869A0">
        <w:rPr>
          <w:lang w:val="en-US"/>
        </w:rPr>
        <w:t xml:space="preserve"> and stockout_share_W(t)≤0.10 for k epochs).</w:t>
      </w:r>
    </w:p>
    <w:p w14:paraId="08A6DAB3" w14:textId="77777777" w:rsidR="00AC5F4C" w:rsidRPr="00E869A0" w:rsidRDefault="00000000" w:rsidP="00DC3F28">
      <w:pPr>
        <w:pStyle w:val="text-base"/>
        <w:spacing w:before="0" w:after="0"/>
        <w:jc w:val="both"/>
        <w:rPr>
          <w:lang w:val="en-US"/>
        </w:rPr>
      </w:pPr>
      <w:r w:rsidRPr="00E869A0">
        <w:rPr>
          <w:lang w:val="en-US"/>
        </w:rPr>
        <w:t xml:space="preserve">Cost-resilience ratio. Define the reference baseline using a </w:t>
      </w:r>
      <w:proofErr w:type="gramStart"/>
      <w:r w:rsidRPr="00E869A0">
        <w:rPr>
          <w:lang w:val="en-US"/>
        </w:rPr>
        <w:t>short paired</w:t>
      </w:r>
      <w:proofErr w:type="gramEnd"/>
      <w:r w:rsidRPr="00E869A0">
        <w:rPr>
          <w:lang w:val="en-US"/>
        </w:rPr>
        <w:t xml:space="preserve"> pilot on the same facility and scenario family (or use the best-performing classical policy in historical </w:t>
      </w:r>
      <w:proofErr w:type="spellStart"/>
      <w:r w:rsidRPr="00E869A0">
        <w:rPr>
          <w:lang w:val="en-US"/>
        </w:rPr>
        <w:t>backtests</w:t>
      </w:r>
      <w:proofErr w:type="spellEnd"/>
      <w:r w:rsidRPr="00E869A0">
        <w:rPr>
          <w:lang w:val="en-US"/>
        </w:rPr>
        <w:t xml:space="preserve">). Compute </w:t>
      </w:r>
      <w:proofErr w:type="spellStart"/>
      <w:r w:rsidRPr="00E869A0">
        <w:rPr>
          <w:lang w:val="en-US"/>
        </w:rPr>
        <w:t>cost_ratio_W</w:t>
      </w:r>
      <w:proofErr w:type="spellEnd"/>
      <w:r w:rsidRPr="00DC137B">
        <w:rPr>
          <w:vertAlign w:val="subscript"/>
          <w:lang w:val="en-US"/>
        </w:rPr>
        <w:t>(t)</w:t>
      </w:r>
      <w:r w:rsidRPr="00E869A0">
        <w:rPr>
          <w:lang w:val="en-US"/>
        </w:rPr>
        <w:t xml:space="preserve"> as the ratio of </w:t>
      </w:r>
      <w:r w:rsidR="00DC3F28">
        <w:rPr>
          <w:lang w:val="en-US"/>
        </w:rPr>
        <w:t xml:space="preserve">the </w:t>
      </w:r>
      <w:r w:rsidRPr="00E869A0">
        <w:rPr>
          <w:lang w:val="en-US"/>
        </w:rPr>
        <w:t>mean daily cost in the window under the candidate policy to the reference. Set X (or the ratio threshold) using governance risk tolerance and clinical supply criticality.</w:t>
      </w:r>
    </w:p>
    <w:p w14:paraId="0420B164" w14:textId="5313C3B1" w:rsidR="00AC5F4C" w:rsidRPr="00E869A0" w:rsidRDefault="00000000" w:rsidP="00DC3F28">
      <w:pPr>
        <w:pStyle w:val="text-base"/>
        <w:spacing w:before="0" w:after="0"/>
        <w:jc w:val="both"/>
        <w:rPr>
          <w:lang w:val="en-US"/>
        </w:rPr>
      </w:pPr>
      <w:r w:rsidRPr="00E869A0">
        <w:rPr>
          <w:lang w:val="en-US"/>
        </w:rPr>
        <w:t xml:space="preserve">Throughput gate. Set the volume threshold on the same aggregation basis used by monitoring (facility-day, network-day, or SKU-equivalent unit). In our SUS sample, the facility-day line-volume distribution yields P90≈22 and max≈48 (Appendix C.4), which motivates a practical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max</m:t>
            </m:r>
          </m:sub>
        </m:sSub>
      </m:oMath>
      <w:r w:rsidRPr="00E869A0">
        <w:rPr>
          <w:lang w:val="en-US"/>
        </w:rPr>
        <w:t xml:space="preserve"> in the 20–50 range rather than 500. Treat exceedance as a distribution shift and force fallback while initiating data review.</w:t>
      </w:r>
    </w:p>
    <w:sectPr w:rsidR="00AC5F4C" w:rsidRPr="00E869A0" w:rsidSect="008676CE">
      <w:footerReference w:type="default" r:id="rId12"/>
      <w:pgSz w:w="11906" w:h="16838"/>
      <w:pgMar w:top="1080" w:right="1080" w:bottom="1080" w:left="108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E4551" w14:textId="77777777" w:rsidR="003B504F" w:rsidRDefault="003B504F" w:rsidP="00747409">
      <w:r>
        <w:separator/>
      </w:r>
    </w:p>
  </w:endnote>
  <w:endnote w:type="continuationSeparator" w:id="0">
    <w:p w14:paraId="1C4C120F" w14:textId="77777777" w:rsidR="003B504F" w:rsidRDefault="003B504F" w:rsidP="00747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39866"/>
      <w:docPartObj>
        <w:docPartGallery w:val="Page Numbers (Bottom of Page)"/>
        <w:docPartUnique/>
      </w:docPartObj>
    </w:sdtPr>
    <w:sdtEndPr>
      <w:rPr>
        <w:rFonts w:cs="Times New Roman"/>
        <w:noProof/>
      </w:rPr>
    </w:sdtEndPr>
    <w:sdtContent>
      <w:p w14:paraId="65EF7D50" w14:textId="77777777" w:rsidR="000E3F7E" w:rsidRPr="006828DE" w:rsidRDefault="000E3F7E">
        <w:pPr>
          <w:pStyle w:val="Rodap"/>
          <w:jc w:val="right"/>
          <w:rPr>
            <w:rFonts w:cs="Times New Roman"/>
          </w:rPr>
        </w:pPr>
        <w:r w:rsidRPr="006828DE">
          <w:rPr>
            <w:rFonts w:cs="Times New Roman"/>
          </w:rPr>
          <w:fldChar w:fldCharType="begin"/>
        </w:r>
        <w:r w:rsidRPr="006828DE">
          <w:rPr>
            <w:rFonts w:cs="Times New Roman"/>
          </w:rPr>
          <w:instrText xml:space="preserve"> PAGE   \* MERGEFORMAT </w:instrText>
        </w:r>
        <w:r w:rsidRPr="006828DE">
          <w:rPr>
            <w:rFonts w:cs="Times New Roman"/>
          </w:rPr>
          <w:fldChar w:fldCharType="separate"/>
        </w:r>
        <w:r w:rsidRPr="006828DE">
          <w:rPr>
            <w:rFonts w:cs="Times New Roman"/>
            <w:noProof/>
          </w:rPr>
          <w:t>2</w:t>
        </w:r>
        <w:r w:rsidRPr="006828DE">
          <w:rPr>
            <w:rFonts w:cs="Times New Roman"/>
            <w:noProof/>
          </w:rPr>
          <w:fldChar w:fldCharType="end"/>
        </w:r>
      </w:p>
    </w:sdtContent>
  </w:sdt>
  <w:p w14:paraId="2FA74C1E" w14:textId="77777777" w:rsidR="000E3F7E" w:rsidRDefault="000E3F7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6015B" w14:textId="77777777" w:rsidR="003B504F" w:rsidRDefault="003B504F" w:rsidP="00747409">
      <w:r>
        <w:separator/>
      </w:r>
    </w:p>
  </w:footnote>
  <w:footnote w:type="continuationSeparator" w:id="0">
    <w:p w14:paraId="23108C03" w14:textId="77777777" w:rsidR="003B504F" w:rsidRDefault="003B504F" w:rsidP="00747409">
      <w:r>
        <w:continuationSeparator/>
      </w:r>
    </w:p>
  </w:footnote>
  <w:footnote w:id="1">
    <w:p w14:paraId="075A042B" w14:textId="77777777" w:rsidR="006C2556" w:rsidRDefault="006C2556" w:rsidP="006C2556">
      <w:pPr>
        <w:pStyle w:val="Textodenotaderodap"/>
        <w:rPr>
          <w:rFonts w:cs="Times New Roman"/>
        </w:rPr>
      </w:pPr>
      <w:r w:rsidRPr="00E91D70">
        <w:rPr>
          <w:rStyle w:val="Refdenotaderodap"/>
        </w:rPr>
        <w:footnoteRef/>
      </w:r>
      <w:r>
        <w:t xml:space="preserve"> </w:t>
      </w:r>
      <w:r>
        <w:rPr>
          <w:rFonts w:cs="Times New Roman"/>
        </w:rPr>
        <w:t>Information Science Institute, Federal University of Bahia, Salvador, BA, Brazil. rcmello@ufba.br</w:t>
      </w:r>
    </w:p>
  </w:footnote>
  <w:footnote w:id="2">
    <w:p w14:paraId="235E8C70" w14:textId="77777777" w:rsidR="006C2556" w:rsidRDefault="006C2556" w:rsidP="006C2556">
      <w:pPr>
        <w:pStyle w:val="Textodenotaderodap"/>
      </w:pPr>
      <w:r w:rsidRPr="00E91D70">
        <w:rPr>
          <w:rStyle w:val="Refdenotaderodap"/>
        </w:rPr>
        <w:footnoteRef/>
      </w:r>
      <w:r>
        <w:t xml:space="preserve"> </w:t>
      </w:r>
      <w:r>
        <w:rPr>
          <w:rFonts w:cs="Times New Roman"/>
          <w:lang w:val="en-GB"/>
        </w:rPr>
        <w:t>The corresponding author: Warwick Business School, University of Warwick, Coventry, UK. b.chen@warwick.ac.uk</w:t>
      </w:r>
    </w:p>
  </w:footnote>
  <w:footnote w:id="3">
    <w:p w14:paraId="7D3E5B9B" w14:textId="77777777" w:rsidR="006C2556" w:rsidRDefault="006C2556" w:rsidP="006C2556">
      <w:pPr>
        <w:pStyle w:val="Textodenotaderodap"/>
      </w:pPr>
      <w:r w:rsidRPr="00E91D70">
        <w:rPr>
          <w:rStyle w:val="Refdenotaderodap"/>
        </w:rPr>
        <w:footnoteRef/>
      </w:r>
      <w:r>
        <w:t xml:space="preserve"> </w:t>
      </w:r>
      <w:r>
        <w:rPr>
          <w:rFonts w:cs="Times New Roman"/>
        </w:rPr>
        <w:t>Computing Institute, Federal University of Bahia, Salvador, BA, Brazil. felipeschuler@ufba.br</w:t>
      </w:r>
    </w:p>
  </w:footnote>
  <w:footnote w:id="4">
    <w:p w14:paraId="5C4D4EFB" w14:textId="77777777" w:rsidR="006C2556" w:rsidRDefault="006C2556" w:rsidP="006C2556">
      <w:pPr>
        <w:pStyle w:val="Textodenotaderodap"/>
      </w:pPr>
      <w:r w:rsidRPr="00E91D70">
        <w:rPr>
          <w:rStyle w:val="Refdenotaderodap"/>
        </w:rPr>
        <w:footnoteRef/>
      </w:r>
      <w:r>
        <w:t xml:space="preserve"> </w:t>
      </w:r>
      <w:r>
        <w:rPr>
          <w:rFonts w:cs="Times New Roman"/>
        </w:rPr>
        <w:t>Computing Institute, Federal University of Bahia, Salvador, BA, Brazil. dclaro@ufba.br</w:t>
      </w:r>
    </w:p>
  </w:footnote>
  <w:footnote w:id="5">
    <w:p w14:paraId="1CDBCED3" w14:textId="77777777" w:rsidR="006C2556" w:rsidRDefault="006C2556" w:rsidP="006C2556">
      <w:pPr>
        <w:pStyle w:val="Textodenotaderodap"/>
      </w:pPr>
      <w:r w:rsidRPr="00E91D70">
        <w:rPr>
          <w:rStyle w:val="Refdenotaderodap"/>
        </w:rPr>
        <w:footnoteRef/>
      </w:r>
      <w:r>
        <w:t xml:space="preserve"> </w:t>
      </w:r>
      <w:r>
        <w:rPr>
          <w:rFonts w:cs="Times New Roman"/>
        </w:rPr>
        <w:t>Business School, Federal University of Bahia, Salvador, BA, Brazil. antoniosaf@ufba.br</w:t>
      </w:r>
    </w:p>
  </w:footnote>
  <w:footnote w:id="6">
    <w:p w14:paraId="379A2DC0" w14:textId="77777777" w:rsidR="006C2556" w:rsidRDefault="006C2556" w:rsidP="006C2556">
      <w:pPr>
        <w:pStyle w:val="Textodenotaderodap"/>
      </w:pPr>
      <w:r w:rsidRPr="00E91D70">
        <w:rPr>
          <w:rStyle w:val="Refdenotaderodap"/>
        </w:rPr>
        <w:footnoteRef/>
      </w:r>
      <w:r>
        <w:t xml:space="preserve"> </w:t>
      </w:r>
      <w:r>
        <w:rPr>
          <w:rFonts w:cs="Times New Roman"/>
        </w:rPr>
        <w:t>Business School, Federal University of Bahia, Salvador, BA, Brazil. rodrigo.ladeira@ufba.br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FD404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F976C9"/>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2" w15:restartNumberingAfterBreak="0">
    <w:nsid w:val="00FD062B"/>
    <w:multiLevelType w:val="multilevel"/>
    <w:tmpl w:val="B870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7BAE"/>
    <w:multiLevelType w:val="multilevel"/>
    <w:tmpl w:val="1AA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C1786"/>
    <w:multiLevelType w:val="hybridMultilevel"/>
    <w:tmpl w:val="5AE8E702"/>
    <w:lvl w:ilvl="0" w:tplc="0416000F">
      <w:start w:val="1"/>
      <w:numFmt w:val="decimal"/>
      <w:lvlText w:val="%1."/>
      <w:lvlJc w:val="left"/>
      <w:pPr>
        <w:ind w:left="929" w:hanging="360"/>
      </w:pPr>
    </w:lvl>
    <w:lvl w:ilvl="1" w:tplc="04160019" w:tentative="1">
      <w:start w:val="1"/>
      <w:numFmt w:val="lowerLetter"/>
      <w:lvlText w:val="%2."/>
      <w:lvlJc w:val="left"/>
      <w:pPr>
        <w:ind w:left="1649" w:hanging="360"/>
      </w:pPr>
    </w:lvl>
    <w:lvl w:ilvl="2" w:tplc="0416001B" w:tentative="1">
      <w:start w:val="1"/>
      <w:numFmt w:val="lowerRoman"/>
      <w:lvlText w:val="%3."/>
      <w:lvlJc w:val="right"/>
      <w:pPr>
        <w:ind w:left="2369" w:hanging="180"/>
      </w:pPr>
    </w:lvl>
    <w:lvl w:ilvl="3" w:tplc="0416000F" w:tentative="1">
      <w:start w:val="1"/>
      <w:numFmt w:val="decimal"/>
      <w:lvlText w:val="%4."/>
      <w:lvlJc w:val="left"/>
      <w:pPr>
        <w:ind w:left="3089" w:hanging="360"/>
      </w:pPr>
    </w:lvl>
    <w:lvl w:ilvl="4" w:tplc="04160019" w:tentative="1">
      <w:start w:val="1"/>
      <w:numFmt w:val="lowerLetter"/>
      <w:lvlText w:val="%5."/>
      <w:lvlJc w:val="left"/>
      <w:pPr>
        <w:ind w:left="3809" w:hanging="360"/>
      </w:pPr>
    </w:lvl>
    <w:lvl w:ilvl="5" w:tplc="0416001B" w:tentative="1">
      <w:start w:val="1"/>
      <w:numFmt w:val="lowerRoman"/>
      <w:lvlText w:val="%6."/>
      <w:lvlJc w:val="right"/>
      <w:pPr>
        <w:ind w:left="4529" w:hanging="180"/>
      </w:pPr>
    </w:lvl>
    <w:lvl w:ilvl="6" w:tplc="0416000F" w:tentative="1">
      <w:start w:val="1"/>
      <w:numFmt w:val="decimal"/>
      <w:lvlText w:val="%7."/>
      <w:lvlJc w:val="left"/>
      <w:pPr>
        <w:ind w:left="5249" w:hanging="360"/>
      </w:pPr>
    </w:lvl>
    <w:lvl w:ilvl="7" w:tplc="04160019" w:tentative="1">
      <w:start w:val="1"/>
      <w:numFmt w:val="lowerLetter"/>
      <w:lvlText w:val="%8."/>
      <w:lvlJc w:val="left"/>
      <w:pPr>
        <w:ind w:left="5969" w:hanging="360"/>
      </w:pPr>
    </w:lvl>
    <w:lvl w:ilvl="8" w:tplc="0416001B" w:tentative="1">
      <w:start w:val="1"/>
      <w:numFmt w:val="lowerRoman"/>
      <w:lvlText w:val="%9."/>
      <w:lvlJc w:val="right"/>
      <w:pPr>
        <w:ind w:left="6689" w:hanging="180"/>
      </w:pPr>
    </w:lvl>
  </w:abstractNum>
  <w:abstractNum w:abstractNumId="5" w15:restartNumberingAfterBreak="0">
    <w:nsid w:val="0F933A7A"/>
    <w:multiLevelType w:val="hybridMultilevel"/>
    <w:tmpl w:val="48BCA84C"/>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0402332"/>
    <w:multiLevelType w:val="hybridMultilevel"/>
    <w:tmpl w:val="7864FFAA"/>
    <w:lvl w:ilvl="0" w:tplc="0416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554BA4"/>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8" w15:restartNumberingAfterBreak="0">
    <w:nsid w:val="12C95709"/>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9" w15:restartNumberingAfterBreak="0">
    <w:nsid w:val="1AD345FD"/>
    <w:multiLevelType w:val="multilevel"/>
    <w:tmpl w:val="CE50763A"/>
    <w:lvl w:ilvl="0">
      <w:start w:val="1"/>
      <w:numFmt w:val="decimal"/>
      <w:lvlText w:val="%1."/>
      <w:lvlJc w:val="left"/>
      <w:pPr>
        <w:ind w:left="569"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3915" w:hanging="720"/>
      </w:pPr>
      <w:rPr>
        <w:rFonts w:hint="default"/>
      </w:rPr>
    </w:lvl>
    <w:lvl w:ilvl="3">
      <w:start w:val="1"/>
      <w:numFmt w:val="decimal"/>
      <w:isLgl/>
      <w:lvlText w:val="%1.%2.%3.%4"/>
      <w:lvlJc w:val="left"/>
      <w:pPr>
        <w:ind w:left="5408" w:hanging="720"/>
      </w:pPr>
      <w:rPr>
        <w:rFonts w:hint="default"/>
      </w:rPr>
    </w:lvl>
    <w:lvl w:ilvl="4">
      <w:start w:val="1"/>
      <w:numFmt w:val="decimal"/>
      <w:isLgl/>
      <w:lvlText w:val="%1.%2.%3.%4.%5"/>
      <w:lvlJc w:val="left"/>
      <w:pPr>
        <w:ind w:left="7261" w:hanging="1080"/>
      </w:pPr>
      <w:rPr>
        <w:rFonts w:hint="default"/>
      </w:rPr>
    </w:lvl>
    <w:lvl w:ilvl="5">
      <w:start w:val="1"/>
      <w:numFmt w:val="decimal"/>
      <w:isLgl/>
      <w:lvlText w:val="%1.%2.%3.%4.%5.%6"/>
      <w:lvlJc w:val="left"/>
      <w:pPr>
        <w:ind w:left="8754" w:hanging="1080"/>
      </w:pPr>
      <w:rPr>
        <w:rFonts w:hint="default"/>
      </w:rPr>
    </w:lvl>
    <w:lvl w:ilvl="6">
      <w:start w:val="1"/>
      <w:numFmt w:val="decimal"/>
      <w:isLgl/>
      <w:lvlText w:val="%1.%2.%3.%4.%5.%6.%7"/>
      <w:lvlJc w:val="left"/>
      <w:pPr>
        <w:ind w:left="10247" w:hanging="1080"/>
      </w:pPr>
      <w:rPr>
        <w:rFonts w:hint="default"/>
      </w:rPr>
    </w:lvl>
    <w:lvl w:ilvl="7">
      <w:start w:val="1"/>
      <w:numFmt w:val="decimal"/>
      <w:isLgl/>
      <w:lvlText w:val="%1.%2.%3.%4.%5.%6.%7.%8"/>
      <w:lvlJc w:val="left"/>
      <w:pPr>
        <w:ind w:left="12100" w:hanging="1440"/>
      </w:pPr>
      <w:rPr>
        <w:rFonts w:hint="default"/>
      </w:rPr>
    </w:lvl>
    <w:lvl w:ilvl="8">
      <w:start w:val="1"/>
      <w:numFmt w:val="decimal"/>
      <w:isLgl/>
      <w:lvlText w:val="%1.%2.%3.%4.%5.%6.%7.%8.%9"/>
      <w:lvlJc w:val="left"/>
      <w:pPr>
        <w:ind w:left="13593" w:hanging="1440"/>
      </w:pPr>
      <w:rPr>
        <w:rFonts w:hint="default"/>
      </w:rPr>
    </w:lvl>
  </w:abstractNum>
  <w:abstractNum w:abstractNumId="10" w15:restartNumberingAfterBreak="0">
    <w:nsid w:val="1C621BBD"/>
    <w:multiLevelType w:val="multilevel"/>
    <w:tmpl w:val="2F006268"/>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D515E6F"/>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12" w15:restartNumberingAfterBreak="0">
    <w:nsid w:val="1ED86E00"/>
    <w:multiLevelType w:val="hybridMultilevel"/>
    <w:tmpl w:val="7564FE30"/>
    <w:lvl w:ilvl="0" w:tplc="B47C7D8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4755F7C"/>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14" w15:restartNumberingAfterBreak="0">
    <w:nsid w:val="25BB3813"/>
    <w:multiLevelType w:val="hybridMultilevel"/>
    <w:tmpl w:val="BBB0D1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6887C42"/>
    <w:multiLevelType w:val="multilevel"/>
    <w:tmpl w:val="ABAC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B1141"/>
    <w:multiLevelType w:val="hybridMultilevel"/>
    <w:tmpl w:val="1B9EED30"/>
    <w:lvl w:ilvl="0" w:tplc="01F43830">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2A80238F"/>
    <w:multiLevelType w:val="multilevel"/>
    <w:tmpl w:val="A83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166A3"/>
    <w:multiLevelType w:val="multilevel"/>
    <w:tmpl w:val="CE50763A"/>
    <w:lvl w:ilvl="0">
      <w:start w:val="1"/>
      <w:numFmt w:val="decimal"/>
      <w:lvlText w:val="%1."/>
      <w:lvlJc w:val="left"/>
      <w:pPr>
        <w:ind w:left="569"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3915" w:hanging="720"/>
      </w:pPr>
      <w:rPr>
        <w:rFonts w:hint="default"/>
      </w:rPr>
    </w:lvl>
    <w:lvl w:ilvl="3">
      <w:start w:val="1"/>
      <w:numFmt w:val="decimal"/>
      <w:isLgl/>
      <w:lvlText w:val="%1.%2.%3.%4"/>
      <w:lvlJc w:val="left"/>
      <w:pPr>
        <w:ind w:left="5408" w:hanging="720"/>
      </w:pPr>
      <w:rPr>
        <w:rFonts w:hint="default"/>
      </w:rPr>
    </w:lvl>
    <w:lvl w:ilvl="4">
      <w:start w:val="1"/>
      <w:numFmt w:val="decimal"/>
      <w:isLgl/>
      <w:lvlText w:val="%1.%2.%3.%4.%5"/>
      <w:lvlJc w:val="left"/>
      <w:pPr>
        <w:ind w:left="7261" w:hanging="1080"/>
      </w:pPr>
      <w:rPr>
        <w:rFonts w:hint="default"/>
      </w:rPr>
    </w:lvl>
    <w:lvl w:ilvl="5">
      <w:start w:val="1"/>
      <w:numFmt w:val="decimal"/>
      <w:isLgl/>
      <w:lvlText w:val="%1.%2.%3.%4.%5.%6"/>
      <w:lvlJc w:val="left"/>
      <w:pPr>
        <w:ind w:left="8754" w:hanging="1080"/>
      </w:pPr>
      <w:rPr>
        <w:rFonts w:hint="default"/>
      </w:rPr>
    </w:lvl>
    <w:lvl w:ilvl="6">
      <w:start w:val="1"/>
      <w:numFmt w:val="decimal"/>
      <w:isLgl/>
      <w:lvlText w:val="%1.%2.%3.%4.%5.%6.%7"/>
      <w:lvlJc w:val="left"/>
      <w:pPr>
        <w:ind w:left="10247" w:hanging="1080"/>
      </w:pPr>
      <w:rPr>
        <w:rFonts w:hint="default"/>
      </w:rPr>
    </w:lvl>
    <w:lvl w:ilvl="7">
      <w:start w:val="1"/>
      <w:numFmt w:val="decimal"/>
      <w:isLgl/>
      <w:lvlText w:val="%1.%2.%3.%4.%5.%6.%7.%8"/>
      <w:lvlJc w:val="left"/>
      <w:pPr>
        <w:ind w:left="12100" w:hanging="1440"/>
      </w:pPr>
      <w:rPr>
        <w:rFonts w:hint="default"/>
      </w:rPr>
    </w:lvl>
    <w:lvl w:ilvl="8">
      <w:start w:val="1"/>
      <w:numFmt w:val="decimal"/>
      <w:isLgl/>
      <w:lvlText w:val="%1.%2.%3.%4.%5.%6.%7.%8.%9"/>
      <w:lvlJc w:val="left"/>
      <w:pPr>
        <w:ind w:left="13593" w:hanging="1440"/>
      </w:pPr>
      <w:rPr>
        <w:rFonts w:hint="default"/>
      </w:rPr>
    </w:lvl>
  </w:abstractNum>
  <w:abstractNum w:abstractNumId="19" w15:restartNumberingAfterBreak="0">
    <w:nsid w:val="314E284D"/>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20" w15:restartNumberingAfterBreak="0">
    <w:nsid w:val="38294402"/>
    <w:multiLevelType w:val="hybridMultilevel"/>
    <w:tmpl w:val="941696F4"/>
    <w:lvl w:ilvl="0" w:tplc="04160001">
      <w:start w:val="1"/>
      <w:numFmt w:val="bullet"/>
      <w:lvlText w:val=""/>
      <w:lvlJc w:val="left"/>
      <w:pPr>
        <w:ind w:left="936" w:hanging="360"/>
      </w:pPr>
      <w:rPr>
        <w:rFonts w:ascii="Symbol" w:hAnsi="Symbol" w:hint="default"/>
      </w:rPr>
    </w:lvl>
    <w:lvl w:ilvl="1" w:tplc="04160003" w:tentative="1">
      <w:start w:val="1"/>
      <w:numFmt w:val="bullet"/>
      <w:lvlText w:val="o"/>
      <w:lvlJc w:val="left"/>
      <w:pPr>
        <w:ind w:left="1656" w:hanging="360"/>
      </w:pPr>
      <w:rPr>
        <w:rFonts w:ascii="Courier New" w:hAnsi="Courier New" w:cs="Courier New" w:hint="default"/>
      </w:rPr>
    </w:lvl>
    <w:lvl w:ilvl="2" w:tplc="04160005" w:tentative="1">
      <w:start w:val="1"/>
      <w:numFmt w:val="bullet"/>
      <w:lvlText w:val=""/>
      <w:lvlJc w:val="left"/>
      <w:pPr>
        <w:ind w:left="2376" w:hanging="360"/>
      </w:pPr>
      <w:rPr>
        <w:rFonts w:ascii="Wingdings" w:hAnsi="Wingdings" w:hint="default"/>
      </w:rPr>
    </w:lvl>
    <w:lvl w:ilvl="3" w:tplc="04160001" w:tentative="1">
      <w:start w:val="1"/>
      <w:numFmt w:val="bullet"/>
      <w:lvlText w:val=""/>
      <w:lvlJc w:val="left"/>
      <w:pPr>
        <w:ind w:left="3096" w:hanging="360"/>
      </w:pPr>
      <w:rPr>
        <w:rFonts w:ascii="Symbol" w:hAnsi="Symbol" w:hint="default"/>
      </w:rPr>
    </w:lvl>
    <w:lvl w:ilvl="4" w:tplc="04160003" w:tentative="1">
      <w:start w:val="1"/>
      <w:numFmt w:val="bullet"/>
      <w:lvlText w:val="o"/>
      <w:lvlJc w:val="left"/>
      <w:pPr>
        <w:ind w:left="3816" w:hanging="360"/>
      </w:pPr>
      <w:rPr>
        <w:rFonts w:ascii="Courier New" w:hAnsi="Courier New" w:cs="Courier New" w:hint="default"/>
      </w:rPr>
    </w:lvl>
    <w:lvl w:ilvl="5" w:tplc="04160005" w:tentative="1">
      <w:start w:val="1"/>
      <w:numFmt w:val="bullet"/>
      <w:lvlText w:val=""/>
      <w:lvlJc w:val="left"/>
      <w:pPr>
        <w:ind w:left="4536" w:hanging="360"/>
      </w:pPr>
      <w:rPr>
        <w:rFonts w:ascii="Wingdings" w:hAnsi="Wingdings" w:hint="default"/>
      </w:rPr>
    </w:lvl>
    <w:lvl w:ilvl="6" w:tplc="04160001" w:tentative="1">
      <w:start w:val="1"/>
      <w:numFmt w:val="bullet"/>
      <w:lvlText w:val=""/>
      <w:lvlJc w:val="left"/>
      <w:pPr>
        <w:ind w:left="5256" w:hanging="360"/>
      </w:pPr>
      <w:rPr>
        <w:rFonts w:ascii="Symbol" w:hAnsi="Symbol" w:hint="default"/>
      </w:rPr>
    </w:lvl>
    <w:lvl w:ilvl="7" w:tplc="04160003" w:tentative="1">
      <w:start w:val="1"/>
      <w:numFmt w:val="bullet"/>
      <w:lvlText w:val="o"/>
      <w:lvlJc w:val="left"/>
      <w:pPr>
        <w:ind w:left="5976" w:hanging="360"/>
      </w:pPr>
      <w:rPr>
        <w:rFonts w:ascii="Courier New" w:hAnsi="Courier New" w:cs="Courier New" w:hint="default"/>
      </w:rPr>
    </w:lvl>
    <w:lvl w:ilvl="8" w:tplc="04160005" w:tentative="1">
      <w:start w:val="1"/>
      <w:numFmt w:val="bullet"/>
      <w:lvlText w:val=""/>
      <w:lvlJc w:val="left"/>
      <w:pPr>
        <w:ind w:left="6696" w:hanging="360"/>
      </w:pPr>
      <w:rPr>
        <w:rFonts w:ascii="Wingdings" w:hAnsi="Wingdings" w:hint="default"/>
      </w:rPr>
    </w:lvl>
  </w:abstractNum>
  <w:abstractNum w:abstractNumId="21" w15:restartNumberingAfterBreak="0">
    <w:nsid w:val="3AB91790"/>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22" w15:restartNumberingAfterBreak="0">
    <w:nsid w:val="3B34798F"/>
    <w:multiLevelType w:val="hybridMultilevel"/>
    <w:tmpl w:val="71B001C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23" w15:restartNumberingAfterBreak="0">
    <w:nsid w:val="3F851610"/>
    <w:multiLevelType w:val="hybridMultilevel"/>
    <w:tmpl w:val="06A41672"/>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1AB7B32"/>
    <w:multiLevelType w:val="hybridMultilevel"/>
    <w:tmpl w:val="00728C90"/>
    <w:lvl w:ilvl="0" w:tplc="01F4383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2E469E9"/>
    <w:multiLevelType w:val="multilevel"/>
    <w:tmpl w:val="5032F2E8"/>
    <w:lvl w:ilvl="0">
      <w:start w:val="3"/>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45BF6FD5"/>
    <w:multiLevelType w:val="hybridMultilevel"/>
    <w:tmpl w:val="11845BC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92E3986"/>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28" w15:restartNumberingAfterBreak="0">
    <w:nsid w:val="49C54452"/>
    <w:multiLevelType w:val="hybridMultilevel"/>
    <w:tmpl w:val="F78EB2C2"/>
    <w:lvl w:ilvl="0" w:tplc="04DCA84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D31030E"/>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30" w15:restartNumberingAfterBreak="0">
    <w:nsid w:val="4EAA057A"/>
    <w:multiLevelType w:val="hybridMultilevel"/>
    <w:tmpl w:val="B7EA4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049582E"/>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32" w15:restartNumberingAfterBreak="0">
    <w:nsid w:val="54D538D5"/>
    <w:multiLevelType w:val="hybridMultilevel"/>
    <w:tmpl w:val="A5E86130"/>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8A214F4"/>
    <w:multiLevelType w:val="hybridMultilevel"/>
    <w:tmpl w:val="802C7F8A"/>
    <w:lvl w:ilvl="0" w:tplc="A37C6A3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E704233"/>
    <w:multiLevelType w:val="multilevel"/>
    <w:tmpl w:val="CE1A5554"/>
    <w:lvl w:ilvl="0">
      <w:start w:val="1"/>
      <w:numFmt w:val="decimal"/>
      <w:lvlText w:val="%1."/>
      <w:lvlJc w:val="left"/>
      <w:pPr>
        <w:ind w:left="360" w:hanging="360"/>
      </w:pPr>
      <w:rPr>
        <w:rFonts w:hint="default"/>
      </w:rPr>
    </w:lvl>
    <w:lvl w:ilvl="1">
      <w:start w:val="1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5F6336A0"/>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36" w15:restartNumberingAfterBreak="0">
    <w:nsid w:val="60BB2CFE"/>
    <w:multiLevelType w:val="hybridMultilevel"/>
    <w:tmpl w:val="AAA636C4"/>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37" w15:restartNumberingAfterBreak="0">
    <w:nsid w:val="64165972"/>
    <w:multiLevelType w:val="hybridMultilevel"/>
    <w:tmpl w:val="6962362A"/>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8" w15:restartNumberingAfterBreak="0">
    <w:nsid w:val="655537E2"/>
    <w:multiLevelType w:val="multilevel"/>
    <w:tmpl w:val="40F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9A187B"/>
    <w:multiLevelType w:val="hybridMultilevel"/>
    <w:tmpl w:val="BF081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7DD4E50"/>
    <w:multiLevelType w:val="hybridMultilevel"/>
    <w:tmpl w:val="49D257F8"/>
    <w:lvl w:ilvl="0" w:tplc="04160001">
      <w:start w:val="1"/>
      <w:numFmt w:val="bullet"/>
      <w:lvlText w:val=""/>
      <w:lvlJc w:val="left"/>
      <w:pPr>
        <w:ind w:left="929" w:hanging="360"/>
      </w:pPr>
      <w:rPr>
        <w:rFonts w:ascii="Symbol" w:hAnsi="Symbol" w:hint="default"/>
      </w:rPr>
    </w:lvl>
    <w:lvl w:ilvl="1" w:tplc="04160003" w:tentative="1">
      <w:start w:val="1"/>
      <w:numFmt w:val="bullet"/>
      <w:lvlText w:val="o"/>
      <w:lvlJc w:val="left"/>
      <w:pPr>
        <w:ind w:left="1649" w:hanging="360"/>
      </w:pPr>
      <w:rPr>
        <w:rFonts w:ascii="Courier New" w:hAnsi="Courier New" w:cs="Courier New" w:hint="default"/>
      </w:rPr>
    </w:lvl>
    <w:lvl w:ilvl="2" w:tplc="04160005" w:tentative="1">
      <w:start w:val="1"/>
      <w:numFmt w:val="bullet"/>
      <w:lvlText w:val=""/>
      <w:lvlJc w:val="left"/>
      <w:pPr>
        <w:ind w:left="2369" w:hanging="360"/>
      </w:pPr>
      <w:rPr>
        <w:rFonts w:ascii="Wingdings" w:hAnsi="Wingdings" w:hint="default"/>
      </w:rPr>
    </w:lvl>
    <w:lvl w:ilvl="3" w:tplc="04160001" w:tentative="1">
      <w:start w:val="1"/>
      <w:numFmt w:val="bullet"/>
      <w:lvlText w:val=""/>
      <w:lvlJc w:val="left"/>
      <w:pPr>
        <w:ind w:left="3089" w:hanging="360"/>
      </w:pPr>
      <w:rPr>
        <w:rFonts w:ascii="Symbol" w:hAnsi="Symbol" w:hint="default"/>
      </w:rPr>
    </w:lvl>
    <w:lvl w:ilvl="4" w:tplc="04160003" w:tentative="1">
      <w:start w:val="1"/>
      <w:numFmt w:val="bullet"/>
      <w:lvlText w:val="o"/>
      <w:lvlJc w:val="left"/>
      <w:pPr>
        <w:ind w:left="3809" w:hanging="360"/>
      </w:pPr>
      <w:rPr>
        <w:rFonts w:ascii="Courier New" w:hAnsi="Courier New" w:cs="Courier New" w:hint="default"/>
      </w:rPr>
    </w:lvl>
    <w:lvl w:ilvl="5" w:tplc="04160005" w:tentative="1">
      <w:start w:val="1"/>
      <w:numFmt w:val="bullet"/>
      <w:lvlText w:val=""/>
      <w:lvlJc w:val="left"/>
      <w:pPr>
        <w:ind w:left="4529" w:hanging="360"/>
      </w:pPr>
      <w:rPr>
        <w:rFonts w:ascii="Wingdings" w:hAnsi="Wingdings" w:hint="default"/>
      </w:rPr>
    </w:lvl>
    <w:lvl w:ilvl="6" w:tplc="04160001" w:tentative="1">
      <w:start w:val="1"/>
      <w:numFmt w:val="bullet"/>
      <w:lvlText w:val=""/>
      <w:lvlJc w:val="left"/>
      <w:pPr>
        <w:ind w:left="5249" w:hanging="360"/>
      </w:pPr>
      <w:rPr>
        <w:rFonts w:ascii="Symbol" w:hAnsi="Symbol" w:hint="default"/>
      </w:rPr>
    </w:lvl>
    <w:lvl w:ilvl="7" w:tplc="04160003" w:tentative="1">
      <w:start w:val="1"/>
      <w:numFmt w:val="bullet"/>
      <w:lvlText w:val="o"/>
      <w:lvlJc w:val="left"/>
      <w:pPr>
        <w:ind w:left="5969" w:hanging="360"/>
      </w:pPr>
      <w:rPr>
        <w:rFonts w:ascii="Courier New" w:hAnsi="Courier New" w:cs="Courier New" w:hint="default"/>
      </w:rPr>
    </w:lvl>
    <w:lvl w:ilvl="8" w:tplc="04160005" w:tentative="1">
      <w:start w:val="1"/>
      <w:numFmt w:val="bullet"/>
      <w:lvlText w:val=""/>
      <w:lvlJc w:val="left"/>
      <w:pPr>
        <w:ind w:left="6689" w:hanging="360"/>
      </w:pPr>
      <w:rPr>
        <w:rFonts w:ascii="Wingdings" w:hAnsi="Wingdings" w:hint="default"/>
      </w:rPr>
    </w:lvl>
  </w:abstractNum>
  <w:abstractNum w:abstractNumId="41" w15:restartNumberingAfterBreak="0">
    <w:nsid w:val="6FE91CCC"/>
    <w:multiLevelType w:val="hybridMultilevel"/>
    <w:tmpl w:val="067C2E44"/>
    <w:lvl w:ilvl="0" w:tplc="B47C7D8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1367B26"/>
    <w:multiLevelType w:val="multilevel"/>
    <w:tmpl w:val="2EF85EEA"/>
    <w:lvl w:ilvl="0">
      <w:start w:val="1"/>
      <w:numFmt w:val="decimal"/>
      <w:lvlText w:val="%1."/>
      <w:lvlJc w:val="left"/>
      <w:pPr>
        <w:ind w:left="502"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43" w15:restartNumberingAfterBreak="0">
    <w:nsid w:val="7FA3568F"/>
    <w:multiLevelType w:val="multilevel"/>
    <w:tmpl w:val="2EF85EEA"/>
    <w:lvl w:ilvl="0">
      <w:start w:val="1"/>
      <w:numFmt w:val="decimal"/>
      <w:lvlText w:val="%1."/>
      <w:lvlJc w:val="left"/>
      <w:pPr>
        <w:ind w:left="502"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num w:numId="1" w16cid:durableId="933628609">
    <w:abstractNumId w:val="31"/>
  </w:num>
  <w:num w:numId="2" w16cid:durableId="1222447730">
    <w:abstractNumId w:val="19"/>
  </w:num>
  <w:num w:numId="3" w16cid:durableId="9383775">
    <w:abstractNumId w:val="11"/>
  </w:num>
  <w:num w:numId="4" w16cid:durableId="710345937">
    <w:abstractNumId w:val="21"/>
  </w:num>
  <w:num w:numId="5" w16cid:durableId="1582181103">
    <w:abstractNumId w:val="35"/>
  </w:num>
  <w:num w:numId="6" w16cid:durableId="1679887131">
    <w:abstractNumId w:val="18"/>
  </w:num>
  <w:num w:numId="7" w16cid:durableId="598293539">
    <w:abstractNumId w:val="42"/>
  </w:num>
  <w:num w:numId="8" w16cid:durableId="1759137009">
    <w:abstractNumId w:val="24"/>
  </w:num>
  <w:num w:numId="9" w16cid:durableId="1630357498">
    <w:abstractNumId w:val="10"/>
  </w:num>
  <w:num w:numId="10" w16cid:durableId="1064988709">
    <w:abstractNumId w:val="17"/>
  </w:num>
  <w:num w:numId="11" w16cid:durableId="1283073953">
    <w:abstractNumId w:val="4"/>
  </w:num>
  <w:num w:numId="12" w16cid:durableId="1319961007">
    <w:abstractNumId w:val="0"/>
  </w:num>
  <w:num w:numId="13" w16cid:durableId="856045727">
    <w:abstractNumId w:val="39"/>
  </w:num>
  <w:num w:numId="14" w16cid:durableId="1967656766">
    <w:abstractNumId w:val="40"/>
  </w:num>
  <w:num w:numId="15" w16cid:durableId="497696877">
    <w:abstractNumId w:val="7"/>
  </w:num>
  <w:num w:numId="16" w16cid:durableId="511997970">
    <w:abstractNumId w:val="38"/>
  </w:num>
  <w:num w:numId="17" w16cid:durableId="120267955">
    <w:abstractNumId w:val="15"/>
  </w:num>
  <w:num w:numId="18" w16cid:durableId="711349157">
    <w:abstractNumId w:val="8"/>
  </w:num>
  <w:num w:numId="19" w16cid:durableId="1447310480">
    <w:abstractNumId w:val="1"/>
  </w:num>
  <w:num w:numId="20" w16cid:durableId="1877884564">
    <w:abstractNumId w:val="3"/>
  </w:num>
  <w:num w:numId="21" w16cid:durableId="1583561261">
    <w:abstractNumId w:val="2"/>
  </w:num>
  <w:num w:numId="22" w16cid:durableId="1408500130">
    <w:abstractNumId w:val="29"/>
  </w:num>
  <w:num w:numId="23" w16cid:durableId="277100791">
    <w:abstractNumId w:val="27"/>
  </w:num>
  <w:num w:numId="24" w16cid:durableId="1355494560">
    <w:abstractNumId w:val="13"/>
  </w:num>
  <w:num w:numId="25" w16cid:durableId="116721151">
    <w:abstractNumId w:val="43"/>
  </w:num>
  <w:num w:numId="26" w16cid:durableId="810487800">
    <w:abstractNumId w:val="9"/>
  </w:num>
  <w:num w:numId="27" w16cid:durableId="689836254">
    <w:abstractNumId w:val="22"/>
  </w:num>
  <w:num w:numId="28" w16cid:durableId="1853256026">
    <w:abstractNumId w:val="37"/>
  </w:num>
  <w:num w:numId="29" w16cid:durableId="1421294251">
    <w:abstractNumId w:val="36"/>
  </w:num>
  <w:num w:numId="30" w16cid:durableId="225184012">
    <w:abstractNumId w:val="32"/>
  </w:num>
  <w:num w:numId="31" w16cid:durableId="519972148">
    <w:abstractNumId w:val="23"/>
  </w:num>
  <w:num w:numId="32" w16cid:durableId="22559075">
    <w:abstractNumId w:val="34"/>
  </w:num>
  <w:num w:numId="33" w16cid:durableId="1166551310">
    <w:abstractNumId w:val="26"/>
  </w:num>
  <w:num w:numId="34" w16cid:durableId="355540087">
    <w:abstractNumId w:val="14"/>
  </w:num>
  <w:num w:numId="35" w16cid:durableId="393745304">
    <w:abstractNumId w:val="33"/>
  </w:num>
  <w:num w:numId="36" w16cid:durableId="2042583827">
    <w:abstractNumId w:val="6"/>
  </w:num>
  <w:num w:numId="37" w16cid:durableId="771164397">
    <w:abstractNumId w:val="5"/>
  </w:num>
  <w:num w:numId="38" w16cid:durableId="720515847">
    <w:abstractNumId w:val="41"/>
  </w:num>
  <w:num w:numId="39" w16cid:durableId="483938713">
    <w:abstractNumId w:val="12"/>
  </w:num>
  <w:num w:numId="40" w16cid:durableId="477964970">
    <w:abstractNumId w:val="28"/>
  </w:num>
  <w:num w:numId="41" w16cid:durableId="1062290748">
    <w:abstractNumId w:val="30"/>
  </w:num>
  <w:num w:numId="42" w16cid:durableId="1634676552">
    <w:abstractNumId w:val="16"/>
  </w:num>
  <w:num w:numId="43" w16cid:durableId="783580466">
    <w:abstractNumId w:val="25"/>
  </w:num>
  <w:num w:numId="44" w16cid:durableId="11043013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0Mja1MDEyMjYxMzZV0lEKTi0uzszPAymwMKgFAHaCFRotAAAA"/>
  </w:docVars>
  <w:rsids>
    <w:rsidRoot w:val="00CB0AF5"/>
    <w:rsid w:val="000001C9"/>
    <w:rsid w:val="00000AE3"/>
    <w:rsid w:val="00001E79"/>
    <w:rsid w:val="00003F23"/>
    <w:rsid w:val="0000440C"/>
    <w:rsid w:val="00005EBE"/>
    <w:rsid w:val="00006687"/>
    <w:rsid w:val="00007CB1"/>
    <w:rsid w:val="00012239"/>
    <w:rsid w:val="00013C1D"/>
    <w:rsid w:val="00016824"/>
    <w:rsid w:val="000249CB"/>
    <w:rsid w:val="000261FA"/>
    <w:rsid w:val="0003002C"/>
    <w:rsid w:val="00032306"/>
    <w:rsid w:val="00037327"/>
    <w:rsid w:val="00037EE0"/>
    <w:rsid w:val="000430E5"/>
    <w:rsid w:val="0004547D"/>
    <w:rsid w:val="00045FC2"/>
    <w:rsid w:val="0004625F"/>
    <w:rsid w:val="000508F0"/>
    <w:rsid w:val="00050D5B"/>
    <w:rsid w:val="0005235D"/>
    <w:rsid w:val="00054872"/>
    <w:rsid w:val="00057652"/>
    <w:rsid w:val="00062135"/>
    <w:rsid w:val="00065309"/>
    <w:rsid w:val="00067074"/>
    <w:rsid w:val="0007334F"/>
    <w:rsid w:val="00076B08"/>
    <w:rsid w:val="00076B7D"/>
    <w:rsid w:val="00083469"/>
    <w:rsid w:val="000849AC"/>
    <w:rsid w:val="000855B6"/>
    <w:rsid w:val="0008631C"/>
    <w:rsid w:val="00096A28"/>
    <w:rsid w:val="000A08FD"/>
    <w:rsid w:val="000A296C"/>
    <w:rsid w:val="000A498F"/>
    <w:rsid w:val="000A57FE"/>
    <w:rsid w:val="000A5D0B"/>
    <w:rsid w:val="000A728C"/>
    <w:rsid w:val="000B3B8D"/>
    <w:rsid w:val="000B5496"/>
    <w:rsid w:val="000B6701"/>
    <w:rsid w:val="000C06CD"/>
    <w:rsid w:val="000C0A33"/>
    <w:rsid w:val="000C1764"/>
    <w:rsid w:val="000C19FF"/>
    <w:rsid w:val="000C699C"/>
    <w:rsid w:val="000C73A8"/>
    <w:rsid w:val="000D0687"/>
    <w:rsid w:val="000D225A"/>
    <w:rsid w:val="000D39D7"/>
    <w:rsid w:val="000D42DA"/>
    <w:rsid w:val="000D4CB4"/>
    <w:rsid w:val="000D502C"/>
    <w:rsid w:val="000D510F"/>
    <w:rsid w:val="000D527C"/>
    <w:rsid w:val="000E3F7E"/>
    <w:rsid w:val="000F07D9"/>
    <w:rsid w:val="000F1601"/>
    <w:rsid w:val="000F16C5"/>
    <w:rsid w:val="000F1D1A"/>
    <w:rsid w:val="000F2C76"/>
    <w:rsid w:val="00100EAB"/>
    <w:rsid w:val="001014EC"/>
    <w:rsid w:val="001044EB"/>
    <w:rsid w:val="0010561C"/>
    <w:rsid w:val="00107556"/>
    <w:rsid w:val="00112029"/>
    <w:rsid w:val="001138DF"/>
    <w:rsid w:val="00115EB9"/>
    <w:rsid w:val="0011661B"/>
    <w:rsid w:val="001172D5"/>
    <w:rsid w:val="0012079B"/>
    <w:rsid w:val="00121421"/>
    <w:rsid w:val="00121EE7"/>
    <w:rsid w:val="00123DE1"/>
    <w:rsid w:val="00124A4B"/>
    <w:rsid w:val="00130595"/>
    <w:rsid w:val="00131212"/>
    <w:rsid w:val="00133D9F"/>
    <w:rsid w:val="0013581C"/>
    <w:rsid w:val="00135DE1"/>
    <w:rsid w:val="00136957"/>
    <w:rsid w:val="00141B87"/>
    <w:rsid w:val="00142744"/>
    <w:rsid w:val="001433B4"/>
    <w:rsid w:val="001459DD"/>
    <w:rsid w:val="00146B38"/>
    <w:rsid w:val="00146BF8"/>
    <w:rsid w:val="00147232"/>
    <w:rsid w:val="0014778B"/>
    <w:rsid w:val="00151889"/>
    <w:rsid w:val="00152630"/>
    <w:rsid w:val="001529A3"/>
    <w:rsid w:val="00154790"/>
    <w:rsid w:val="00156857"/>
    <w:rsid w:val="00164D6A"/>
    <w:rsid w:val="00167A91"/>
    <w:rsid w:val="00172DFE"/>
    <w:rsid w:val="00173991"/>
    <w:rsid w:val="00173FF6"/>
    <w:rsid w:val="001743D4"/>
    <w:rsid w:val="00175380"/>
    <w:rsid w:val="00184052"/>
    <w:rsid w:val="0018431B"/>
    <w:rsid w:val="00184581"/>
    <w:rsid w:val="00184C45"/>
    <w:rsid w:val="001851FC"/>
    <w:rsid w:val="00190180"/>
    <w:rsid w:val="00191EA5"/>
    <w:rsid w:val="001A047F"/>
    <w:rsid w:val="001A0FF3"/>
    <w:rsid w:val="001A4386"/>
    <w:rsid w:val="001A45E8"/>
    <w:rsid w:val="001A6AC4"/>
    <w:rsid w:val="001A6B92"/>
    <w:rsid w:val="001B07FA"/>
    <w:rsid w:val="001B1FAD"/>
    <w:rsid w:val="001B277B"/>
    <w:rsid w:val="001B2F79"/>
    <w:rsid w:val="001B4971"/>
    <w:rsid w:val="001B58AC"/>
    <w:rsid w:val="001B5B5C"/>
    <w:rsid w:val="001B6999"/>
    <w:rsid w:val="001C0648"/>
    <w:rsid w:val="001C2518"/>
    <w:rsid w:val="001C4BA5"/>
    <w:rsid w:val="001C5C06"/>
    <w:rsid w:val="001D269D"/>
    <w:rsid w:val="001D2C7F"/>
    <w:rsid w:val="001D4589"/>
    <w:rsid w:val="001D5E3C"/>
    <w:rsid w:val="001D6AC5"/>
    <w:rsid w:val="001D7B00"/>
    <w:rsid w:val="001E2130"/>
    <w:rsid w:val="001E2B3A"/>
    <w:rsid w:val="001E4D92"/>
    <w:rsid w:val="001E7DCD"/>
    <w:rsid w:val="001F088C"/>
    <w:rsid w:val="001F0B32"/>
    <w:rsid w:val="001F0B83"/>
    <w:rsid w:val="001F2604"/>
    <w:rsid w:val="001F2803"/>
    <w:rsid w:val="001F5F02"/>
    <w:rsid w:val="001F64AE"/>
    <w:rsid w:val="001F6688"/>
    <w:rsid w:val="001F66FF"/>
    <w:rsid w:val="001F7BCC"/>
    <w:rsid w:val="00201009"/>
    <w:rsid w:val="00201138"/>
    <w:rsid w:val="0020140B"/>
    <w:rsid w:val="00201D19"/>
    <w:rsid w:val="00203E0F"/>
    <w:rsid w:val="00204A3D"/>
    <w:rsid w:val="00206061"/>
    <w:rsid w:val="00211F52"/>
    <w:rsid w:val="0021226A"/>
    <w:rsid w:val="00214B00"/>
    <w:rsid w:val="00217772"/>
    <w:rsid w:val="00217CDE"/>
    <w:rsid w:val="00220128"/>
    <w:rsid w:val="00220BED"/>
    <w:rsid w:val="002213F7"/>
    <w:rsid w:val="002215A0"/>
    <w:rsid w:val="0022254E"/>
    <w:rsid w:val="00222C31"/>
    <w:rsid w:val="0022323D"/>
    <w:rsid w:val="002252E4"/>
    <w:rsid w:val="002332FB"/>
    <w:rsid w:val="002342EF"/>
    <w:rsid w:val="002356C3"/>
    <w:rsid w:val="002419C7"/>
    <w:rsid w:val="002420AF"/>
    <w:rsid w:val="002431FB"/>
    <w:rsid w:val="002437B6"/>
    <w:rsid w:val="00245D82"/>
    <w:rsid w:val="00246EF4"/>
    <w:rsid w:val="002507C0"/>
    <w:rsid w:val="00252F98"/>
    <w:rsid w:val="0025314C"/>
    <w:rsid w:val="0025635D"/>
    <w:rsid w:val="00256645"/>
    <w:rsid w:val="002576E9"/>
    <w:rsid w:val="00276C4F"/>
    <w:rsid w:val="00277E49"/>
    <w:rsid w:val="0028149F"/>
    <w:rsid w:val="002822BC"/>
    <w:rsid w:val="00282CF2"/>
    <w:rsid w:val="00282E49"/>
    <w:rsid w:val="00283FD1"/>
    <w:rsid w:val="0028554F"/>
    <w:rsid w:val="0028693F"/>
    <w:rsid w:val="002875A0"/>
    <w:rsid w:val="00292D37"/>
    <w:rsid w:val="002941A3"/>
    <w:rsid w:val="00296303"/>
    <w:rsid w:val="002A36F4"/>
    <w:rsid w:val="002A771E"/>
    <w:rsid w:val="002B09AA"/>
    <w:rsid w:val="002B180B"/>
    <w:rsid w:val="002B56EF"/>
    <w:rsid w:val="002B5D44"/>
    <w:rsid w:val="002B74AA"/>
    <w:rsid w:val="002B77A3"/>
    <w:rsid w:val="002B7934"/>
    <w:rsid w:val="002C083E"/>
    <w:rsid w:val="002C0943"/>
    <w:rsid w:val="002C0F85"/>
    <w:rsid w:val="002C59BB"/>
    <w:rsid w:val="002D1FC4"/>
    <w:rsid w:val="002D4451"/>
    <w:rsid w:val="002D4662"/>
    <w:rsid w:val="002E0CB8"/>
    <w:rsid w:val="002E223C"/>
    <w:rsid w:val="002E4BC0"/>
    <w:rsid w:val="002E54A4"/>
    <w:rsid w:val="002E5C29"/>
    <w:rsid w:val="002E6489"/>
    <w:rsid w:val="002F0D8D"/>
    <w:rsid w:val="002F2463"/>
    <w:rsid w:val="002F3CF2"/>
    <w:rsid w:val="002F3E1D"/>
    <w:rsid w:val="002F77DC"/>
    <w:rsid w:val="003006F9"/>
    <w:rsid w:val="00300CDE"/>
    <w:rsid w:val="00301414"/>
    <w:rsid w:val="00301C6E"/>
    <w:rsid w:val="00303614"/>
    <w:rsid w:val="00304FF1"/>
    <w:rsid w:val="00305496"/>
    <w:rsid w:val="003055F8"/>
    <w:rsid w:val="00305B10"/>
    <w:rsid w:val="0031198F"/>
    <w:rsid w:val="00316634"/>
    <w:rsid w:val="00316707"/>
    <w:rsid w:val="003167D3"/>
    <w:rsid w:val="003173A8"/>
    <w:rsid w:val="00320867"/>
    <w:rsid w:val="0032110E"/>
    <w:rsid w:val="00322E08"/>
    <w:rsid w:val="0032446B"/>
    <w:rsid w:val="00331AA4"/>
    <w:rsid w:val="00334A0D"/>
    <w:rsid w:val="00337618"/>
    <w:rsid w:val="00337995"/>
    <w:rsid w:val="00337C1B"/>
    <w:rsid w:val="00343AD1"/>
    <w:rsid w:val="00346D95"/>
    <w:rsid w:val="00347AA6"/>
    <w:rsid w:val="003507CC"/>
    <w:rsid w:val="00351384"/>
    <w:rsid w:val="003533F7"/>
    <w:rsid w:val="003544AC"/>
    <w:rsid w:val="0035560C"/>
    <w:rsid w:val="00355C11"/>
    <w:rsid w:val="0035772A"/>
    <w:rsid w:val="00357D5F"/>
    <w:rsid w:val="00361F72"/>
    <w:rsid w:val="003650F0"/>
    <w:rsid w:val="00372CF2"/>
    <w:rsid w:val="003736C4"/>
    <w:rsid w:val="00373930"/>
    <w:rsid w:val="00373C90"/>
    <w:rsid w:val="00374D11"/>
    <w:rsid w:val="00376645"/>
    <w:rsid w:val="003807C5"/>
    <w:rsid w:val="0038108D"/>
    <w:rsid w:val="00382B76"/>
    <w:rsid w:val="003836DD"/>
    <w:rsid w:val="00384EF9"/>
    <w:rsid w:val="00385EC7"/>
    <w:rsid w:val="003868EC"/>
    <w:rsid w:val="00387172"/>
    <w:rsid w:val="003872CF"/>
    <w:rsid w:val="00387D8D"/>
    <w:rsid w:val="0039049C"/>
    <w:rsid w:val="00393D4E"/>
    <w:rsid w:val="00394933"/>
    <w:rsid w:val="00396406"/>
    <w:rsid w:val="0039685C"/>
    <w:rsid w:val="003A0F72"/>
    <w:rsid w:val="003A18AA"/>
    <w:rsid w:val="003A1CD1"/>
    <w:rsid w:val="003A2979"/>
    <w:rsid w:val="003A58C1"/>
    <w:rsid w:val="003A6293"/>
    <w:rsid w:val="003A79A3"/>
    <w:rsid w:val="003A7AD9"/>
    <w:rsid w:val="003B0A20"/>
    <w:rsid w:val="003B0B21"/>
    <w:rsid w:val="003B0F42"/>
    <w:rsid w:val="003B19AE"/>
    <w:rsid w:val="003B3F0D"/>
    <w:rsid w:val="003B3F69"/>
    <w:rsid w:val="003B4C13"/>
    <w:rsid w:val="003B504F"/>
    <w:rsid w:val="003B562E"/>
    <w:rsid w:val="003B7136"/>
    <w:rsid w:val="003B7B1E"/>
    <w:rsid w:val="003C0212"/>
    <w:rsid w:val="003C040A"/>
    <w:rsid w:val="003C08C7"/>
    <w:rsid w:val="003C5CB9"/>
    <w:rsid w:val="003C7A4F"/>
    <w:rsid w:val="003D173C"/>
    <w:rsid w:val="003D38A6"/>
    <w:rsid w:val="003D4B97"/>
    <w:rsid w:val="003D7B18"/>
    <w:rsid w:val="003E0B33"/>
    <w:rsid w:val="003E224D"/>
    <w:rsid w:val="003E2FF2"/>
    <w:rsid w:val="003E40E6"/>
    <w:rsid w:val="003E4D4A"/>
    <w:rsid w:val="003E757C"/>
    <w:rsid w:val="003F1286"/>
    <w:rsid w:val="003F1BC0"/>
    <w:rsid w:val="003F2BFF"/>
    <w:rsid w:val="00400420"/>
    <w:rsid w:val="00400BA3"/>
    <w:rsid w:val="0040256A"/>
    <w:rsid w:val="00402F0D"/>
    <w:rsid w:val="00403B67"/>
    <w:rsid w:val="00404EEE"/>
    <w:rsid w:val="00405D2E"/>
    <w:rsid w:val="00412DBF"/>
    <w:rsid w:val="00415AF9"/>
    <w:rsid w:val="00415E72"/>
    <w:rsid w:val="00415EDB"/>
    <w:rsid w:val="004171C0"/>
    <w:rsid w:val="0042178D"/>
    <w:rsid w:val="00422123"/>
    <w:rsid w:val="00422AD3"/>
    <w:rsid w:val="00425499"/>
    <w:rsid w:val="0043225C"/>
    <w:rsid w:val="0043410D"/>
    <w:rsid w:val="004344A2"/>
    <w:rsid w:val="00436596"/>
    <w:rsid w:val="0043765D"/>
    <w:rsid w:val="0044335A"/>
    <w:rsid w:val="00450DF6"/>
    <w:rsid w:val="00450E13"/>
    <w:rsid w:val="00454C3C"/>
    <w:rsid w:val="0045539D"/>
    <w:rsid w:val="0045656A"/>
    <w:rsid w:val="0045690E"/>
    <w:rsid w:val="00456E08"/>
    <w:rsid w:val="004609C3"/>
    <w:rsid w:val="004611BE"/>
    <w:rsid w:val="00462959"/>
    <w:rsid w:val="004632B4"/>
    <w:rsid w:val="004633F7"/>
    <w:rsid w:val="00464C59"/>
    <w:rsid w:val="0047501B"/>
    <w:rsid w:val="00475210"/>
    <w:rsid w:val="004841B0"/>
    <w:rsid w:val="00485829"/>
    <w:rsid w:val="0048585B"/>
    <w:rsid w:val="00485979"/>
    <w:rsid w:val="00486F25"/>
    <w:rsid w:val="00487A93"/>
    <w:rsid w:val="004926D8"/>
    <w:rsid w:val="00493C6B"/>
    <w:rsid w:val="004946DD"/>
    <w:rsid w:val="004976E9"/>
    <w:rsid w:val="004A16E7"/>
    <w:rsid w:val="004A181C"/>
    <w:rsid w:val="004A1A5C"/>
    <w:rsid w:val="004A210C"/>
    <w:rsid w:val="004A2B08"/>
    <w:rsid w:val="004A4E3C"/>
    <w:rsid w:val="004A50DC"/>
    <w:rsid w:val="004A6275"/>
    <w:rsid w:val="004A70BA"/>
    <w:rsid w:val="004A713E"/>
    <w:rsid w:val="004B0106"/>
    <w:rsid w:val="004B2325"/>
    <w:rsid w:val="004B2673"/>
    <w:rsid w:val="004B2F41"/>
    <w:rsid w:val="004B3702"/>
    <w:rsid w:val="004B492D"/>
    <w:rsid w:val="004B7031"/>
    <w:rsid w:val="004C1558"/>
    <w:rsid w:val="004C59A8"/>
    <w:rsid w:val="004D5F55"/>
    <w:rsid w:val="004D6F98"/>
    <w:rsid w:val="004E3DE0"/>
    <w:rsid w:val="004E4B4D"/>
    <w:rsid w:val="004E6856"/>
    <w:rsid w:val="004E6A19"/>
    <w:rsid w:val="004E742A"/>
    <w:rsid w:val="004E7BFA"/>
    <w:rsid w:val="004F2F76"/>
    <w:rsid w:val="004F3C0D"/>
    <w:rsid w:val="004F3D3A"/>
    <w:rsid w:val="004F46C6"/>
    <w:rsid w:val="004F4933"/>
    <w:rsid w:val="004F4E8A"/>
    <w:rsid w:val="004F712E"/>
    <w:rsid w:val="004F746B"/>
    <w:rsid w:val="004F7A1F"/>
    <w:rsid w:val="0050269D"/>
    <w:rsid w:val="005056BD"/>
    <w:rsid w:val="00507AED"/>
    <w:rsid w:val="005139ED"/>
    <w:rsid w:val="00514587"/>
    <w:rsid w:val="005153BA"/>
    <w:rsid w:val="005221D6"/>
    <w:rsid w:val="00523718"/>
    <w:rsid w:val="00523923"/>
    <w:rsid w:val="00525517"/>
    <w:rsid w:val="00525DD2"/>
    <w:rsid w:val="00526C08"/>
    <w:rsid w:val="005305EB"/>
    <w:rsid w:val="005375AD"/>
    <w:rsid w:val="0053762D"/>
    <w:rsid w:val="005412D9"/>
    <w:rsid w:val="00541F14"/>
    <w:rsid w:val="00543D22"/>
    <w:rsid w:val="00544949"/>
    <w:rsid w:val="00545BF6"/>
    <w:rsid w:val="005514F9"/>
    <w:rsid w:val="00551538"/>
    <w:rsid w:val="00553A0F"/>
    <w:rsid w:val="0055574B"/>
    <w:rsid w:val="0055718B"/>
    <w:rsid w:val="00557963"/>
    <w:rsid w:val="00557B61"/>
    <w:rsid w:val="0056306D"/>
    <w:rsid w:val="005639BE"/>
    <w:rsid w:val="00563C1C"/>
    <w:rsid w:val="00564061"/>
    <w:rsid w:val="00564CF8"/>
    <w:rsid w:val="00565791"/>
    <w:rsid w:val="005743C6"/>
    <w:rsid w:val="00577797"/>
    <w:rsid w:val="0058252E"/>
    <w:rsid w:val="00582909"/>
    <w:rsid w:val="00582A73"/>
    <w:rsid w:val="00583F6B"/>
    <w:rsid w:val="00585AAF"/>
    <w:rsid w:val="005958C5"/>
    <w:rsid w:val="00596B95"/>
    <w:rsid w:val="00597CF1"/>
    <w:rsid w:val="005A228C"/>
    <w:rsid w:val="005A2DE2"/>
    <w:rsid w:val="005A3B80"/>
    <w:rsid w:val="005A595E"/>
    <w:rsid w:val="005A6C6A"/>
    <w:rsid w:val="005A7219"/>
    <w:rsid w:val="005B0D16"/>
    <w:rsid w:val="005B3AE7"/>
    <w:rsid w:val="005B3EBC"/>
    <w:rsid w:val="005B3F97"/>
    <w:rsid w:val="005B645D"/>
    <w:rsid w:val="005B6CAE"/>
    <w:rsid w:val="005C04EC"/>
    <w:rsid w:val="005C128A"/>
    <w:rsid w:val="005C2D98"/>
    <w:rsid w:val="005C50A1"/>
    <w:rsid w:val="005C6A43"/>
    <w:rsid w:val="005C6D57"/>
    <w:rsid w:val="005C6E37"/>
    <w:rsid w:val="005D03E5"/>
    <w:rsid w:val="005D38DA"/>
    <w:rsid w:val="005D49E5"/>
    <w:rsid w:val="005D4BBC"/>
    <w:rsid w:val="005D66A8"/>
    <w:rsid w:val="005E2831"/>
    <w:rsid w:val="005E2933"/>
    <w:rsid w:val="005E6364"/>
    <w:rsid w:val="005E723E"/>
    <w:rsid w:val="005F012C"/>
    <w:rsid w:val="005F1157"/>
    <w:rsid w:val="005F17A4"/>
    <w:rsid w:val="005F27B7"/>
    <w:rsid w:val="005F3200"/>
    <w:rsid w:val="005F3287"/>
    <w:rsid w:val="005F3C13"/>
    <w:rsid w:val="005F7884"/>
    <w:rsid w:val="006017E8"/>
    <w:rsid w:val="00606221"/>
    <w:rsid w:val="00607BA0"/>
    <w:rsid w:val="00610160"/>
    <w:rsid w:val="006104F6"/>
    <w:rsid w:val="00612C4A"/>
    <w:rsid w:val="0061356D"/>
    <w:rsid w:val="006141E0"/>
    <w:rsid w:val="006247D1"/>
    <w:rsid w:val="00624BDB"/>
    <w:rsid w:val="006254C7"/>
    <w:rsid w:val="0062578E"/>
    <w:rsid w:val="006259C9"/>
    <w:rsid w:val="006275BB"/>
    <w:rsid w:val="006275F1"/>
    <w:rsid w:val="00627A99"/>
    <w:rsid w:val="00630284"/>
    <w:rsid w:val="006319F4"/>
    <w:rsid w:val="00631E3F"/>
    <w:rsid w:val="00633A74"/>
    <w:rsid w:val="00634DF2"/>
    <w:rsid w:val="00640C60"/>
    <w:rsid w:val="00642310"/>
    <w:rsid w:val="00642E8C"/>
    <w:rsid w:val="00644369"/>
    <w:rsid w:val="0064443E"/>
    <w:rsid w:val="00645B31"/>
    <w:rsid w:val="006474A2"/>
    <w:rsid w:val="006504F3"/>
    <w:rsid w:val="00652FD8"/>
    <w:rsid w:val="00653ACC"/>
    <w:rsid w:val="00655EA7"/>
    <w:rsid w:val="00656165"/>
    <w:rsid w:val="0066067A"/>
    <w:rsid w:val="00660D8D"/>
    <w:rsid w:val="00663A24"/>
    <w:rsid w:val="00664BB2"/>
    <w:rsid w:val="006663BF"/>
    <w:rsid w:val="0066644E"/>
    <w:rsid w:val="00667011"/>
    <w:rsid w:val="00674255"/>
    <w:rsid w:val="00675EDA"/>
    <w:rsid w:val="00676878"/>
    <w:rsid w:val="00676E10"/>
    <w:rsid w:val="00677A9A"/>
    <w:rsid w:val="006825B8"/>
    <w:rsid w:val="0068408F"/>
    <w:rsid w:val="00684698"/>
    <w:rsid w:val="006846BB"/>
    <w:rsid w:val="00687271"/>
    <w:rsid w:val="00687B23"/>
    <w:rsid w:val="00687BC8"/>
    <w:rsid w:val="0069049F"/>
    <w:rsid w:val="00691B33"/>
    <w:rsid w:val="0069202B"/>
    <w:rsid w:val="00695789"/>
    <w:rsid w:val="00696480"/>
    <w:rsid w:val="0069785C"/>
    <w:rsid w:val="00697D12"/>
    <w:rsid w:val="006A290D"/>
    <w:rsid w:val="006A5037"/>
    <w:rsid w:val="006A52C3"/>
    <w:rsid w:val="006A536D"/>
    <w:rsid w:val="006A5A28"/>
    <w:rsid w:val="006A6670"/>
    <w:rsid w:val="006A6FB3"/>
    <w:rsid w:val="006A7C45"/>
    <w:rsid w:val="006B14D8"/>
    <w:rsid w:val="006B40DC"/>
    <w:rsid w:val="006B4742"/>
    <w:rsid w:val="006B567A"/>
    <w:rsid w:val="006C1D6B"/>
    <w:rsid w:val="006C2556"/>
    <w:rsid w:val="006C2BCA"/>
    <w:rsid w:val="006C3AB4"/>
    <w:rsid w:val="006C48D8"/>
    <w:rsid w:val="006D0DF3"/>
    <w:rsid w:val="006D204C"/>
    <w:rsid w:val="006D213C"/>
    <w:rsid w:val="006D225B"/>
    <w:rsid w:val="006D2B47"/>
    <w:rsid w:val="006D5849"/>
    <w:rsid w:val="006D7D23"/>
    <w:rsid w:val="006E21A1"/>
    <w:rsid w:val="006E36DB"/>
    <w:rsid w:val="006E3E5E"/>
    <w:rsid w:val="006E3EAB"/>
    <w:rsid w:val="006E4306"/>
    <w:rsid w:val="006E49F7"/>
    <w:rsid w:val="006E5A11"/>
    <w:rsid w:val="006E7630"/>
    <w:rsid w:val="006F1252"/>
    <w:rsid w:val="006F3001"/>
    <w:rsid w:val="006F48C9"/>
    <w:rsid w:val="006F4D77"/>
    <w:rsid w:val="006F4F60"/>
    <w:rsid w:val="006F7FCD"/>
    <w:rsid w:val="00707286"/>
    <w:rsid w:val="0071061E"/>
    <w:rsid w:val="007144EB"/>
    <w:rsid w:val="00715CBF"/>
    <w:rsid w:val="00720EB7"/>
    <w:rsid w:val="007254A2"/>
    <w:rsid w:val="00731E0C"/>
    <w:rsid w:val="0073202A"/>
    <w:rsid w:val="007346DD"/>
    <w:rsid w:val="0073558D"/>
    <w:rsid w:val="00740398"/>
    <w:rsid w:val="00740BDC"/>
    <w:rsid w:val="00741B94"/>
    <w:rsid w:val="00743743"/>
    <w:rsid w:val="00744F06"/>
    <w:rsid w:val="00745E4C"/>
    <w:rsid w:val="00746363"/>
    <w:rsid w:val="007465A7"/>
    <w:rsid w:val="00746A99"/>
    <w:rsid w:val="00747409"/>
    <w:rsid w:val="00750844"/>
    <w:rsid w:val="0075183C"/>
    <w:rsid w:val="00754038"/>
    <w:rsid w:val="007556B1"/>
    <w:rsid w:val="0075604D"/>
    <w:rsid w:val="007608BB"/>
    <w:rsid w:val="00763A62"/>
    <w:rsid w:val="00767171"/>
    <w:rsid w:val="0076758F"/>
    <w:rsid w:val="00767B0F"/>
    <w:rsid w:val="007701A5"/>
    <w:rsid w:val="007729D2"/>
    <w:rsid w:val="00774739"/>
    <w:rsid w:val="0077493E"/>
    <w:rsid w:val="00777100"/>
    <w:rsid w:val="00777C4A"/>
    <w:rsid w:val="00780847"/>
    <w:rsid w:val="0078432B"/>
    <w:rsid w:val="0078707B"/>
    <w:rsid w:val="00791356"/>
    <w:rsid w:val="00791589"/>
    <w:rsid w:val="00791864"/>
    <w:rsid w:val="00795F23"/>
    <w:rsid w:val="007A0141"/>
    <w:rsid w:val="007A3654"/>
    <w:rsid w:val="007A417B"/>
    <w:rsid w:val="007A51F6"/>
    <w:rsid w:val="007B1300"/>
    <w:rsid w:val="007B2C90"/>
    <w:rsid w:val="007B2DB4"/>
    <w:rsid w:val="007B3D94"/>
    <w:rsid w:val="007B557A"/>
    <w:rsid w:val="007B65B7"/>
    <w:rsid w:val="007C1C58"/>
    <w:rsid w:val="007C3072"/>
    <w:rsid w:val="007C4978"/>
    <w:rsid w:val="007C51DF"/>
    <w:rsid w:val="007C5AF1"/>
    <w:rsid w:val="007C7695"/>
    <w:rsid w:val="007D1C98"/>
    <w:rsid w:val="007D2CF1"/>
    <w:rsid w:val="007D3BEE"/>
    <w:rsid w:val="007D5220"/>
    <w:rsid w:val="007D52F0"/>
    <w:rsid w:val="007D541F"/>
    <w:rsid w:val="007D7E39"/>
    <w:rsid w:val="007E06D2"/>
    <w:rsid w:val="007E1745"/>
    <w:rsid w:val="007E25DB"/>
    <w:rsid w:val="007E2691"/>
    <w:rsid w:val="007E450D"/>
    <w:rsid w:val="007E5F24"/>
    <w:rsid w:val="007E6298"/>
    <w:rsid w:val="007E69D4"/>
    <w:rsid w:val="007E6CE1"/>
    <w:rsid w:val="007F0DFF"/>
    <w:rsid w:val="007F0EBB"/>
    <w:rsid w:val="007F1646"/>
    <w:rsid w:val="007F1654"/>
    <w:rsid w:val="007F1AE0"/>
    <w:rsid w:val="007F3EB5"/>
    <w:rsid w:val="008027DB"/>
    <w:rsid w:val="00803414"/>
    <w:rsid w:val="008064B5"/>
    <w:rsid w:val="00812CDD"/>
    <w:rsid w:val="0081332A"/>
    <w:rsid w:val="00815E86"/>
    <w:rsid w:val="00816096"/>
    <w:rsid w:val="00817932"/>
    <w:rsid w:val="0082475F"/>
    <w:rsid w:val="00827D2C"/>
    <w:rsid w:val="00832978"/>
    <w:rsid w:val="00832EAF"/>
    <w:rsid w:val="008333F1"/>
    <w:rsid w:val="00836931"/>
    <w:rsid w:val="00836A1F"/>
    <w:rsid w:val="0083739E"/>
    <w:rsid w:val="00843CBC"/>
    <w:rsid w:val="00844214"/>
    <w:rsid w:val="00845BAD"/>
    <w:rsid w:val="00846E9B"/>
    <w:rsid w:val="00854BD5"/>
    <w:rsid w:val="0085716C"/>
    <w:rsid w:val="008577C3"/>
    <w:rsid w:val="00857FB1"/>
    <w:rsid w:val="00862514"/>
    <w:rsid w:val="008651B1"/>
    <w:rsid w:val="008667F0"/>
    <w:rsid w:val="008676CE"/>
    <w:rsid w:val="00871499"/>
    <w:rsid w:val="00871837"/>
    <w:rsid w:val="00873893"/>
    <w:rsid w:val="008746C2"/>
    <w:rsid w:val="00875215"/>
    <w:rsid w:val="00875FE4"/>
    <w:rsid w:val="00877AE9"/>
    <w:rsid w:val="00877B48"/>
    <w:rsid w:val="00883024"/>
    <w:rsid w:val="00883AF2"/>
    <w:rsid w:val="00884825"/>
    <w:rsid w:val="00884D0D"/>
    <w:rsid w:val="00885932"/>
    <w:rsid w:val="00891526"/>
    <w:rsid w:val="0089632C"/>
    <w:rsid w:val="00896715"/>
    <w:rsid w:val="00896A3B"/>
    <w:rsid w:val="008A0705"/>
    <w:rsid w:val="008A0FD7"/>
    <w:rsid w:val="008A219F"/>
    <w:rsid w:val="008A24DF"/>
    <w:rsid w:val="008B1D4B"/>
    <w:rsid w:val="008B31E2"/>
    <w:rsid w:val="008B3787"/>
    <w:rsid w:val="008B72E1"/>
    <w:rsid w:val="008B7DA8"/>
    <w:rsid w:val="008C0E5F"/>
    <w:rsid w:val="008C36F7"/>
    <w:rsid w:val="008C4B4D"/>
    <w:rsid w:val="008D1EEC"/>
    <w:rsid w:val="008D2996"/>
    <w:rsid w:val="008D3FFF"/>
    <w:rsid w:val="008D6837"/>
    <w:rsid w:val="008D7777"/>
    <w:rsid w:val="008E039F"/>
    <w:rsid w:val="008E154B"/>
    <w:rsid w:val="008E19C7"/>
    <w:rsid w:val="008E3A77"/>
    <w:rsid w:val="008E552F"/>
    <w:rsid w:val="008E66BF"/>
    <w:rsid w:val="008E6BBA"/>
    <w:rsid w:val="008E7072"/>
    <w:rsid w:val="008F1427"/>
    <w:rsid w:val="008F2D0B"/>
    <w:rsid w:val="008F5BCD"/>
    <w:rsid w:val="008F641F"/>
    <w:rsid w:val="008F6DC5"/>
    <w:rsid w:val="008F7EF3"/>
    <w:rsid w:val="00902029"/>
    <w:rsid w:val="0090312E"/>
    <w:rsid w:val="0090521D"/>
    <w:rsid w:val="00907419"/>
    <w:rsid w:val="009107B9"/>
    <w:rsid w:val="00911876"/>
    <w:rsid w:val="00914269"/>
    <w:rsid w:val="00920008"/>
    <w:rsid w:val="00920375"/>
    <w:rsid w:val="00922CEF"/>
    <w:rsid w:val="009247FF"/>
    <w:rsid w:val="00925325"/>
    <w:rsid w:val="00926FC3"/>
    <w:rsid w:val="00931AFF"/>
    <w:rsid w:val="009323A6"/>
    <w:rsid w:val="00932583"/>
    <w:rsid w:val="00932758"/>
    <w:rsid w:val="00932982"/>
    <w:rsid w:val="009334B2"/>
    <w:rsid w:val="009338CE"/>
    <w:rsid w:val="00934A5A"/>
    <w:rsid w:val="00934F1D"/>
    <w:rsid w:val="00935580"/>
    <w:rsid w:val="0093787F"/>
    <w:rsid w:val="00942164"/>
    <w:rsid w:val="009426C7"/>
    <w:rsid w:val="0094278E"/>
    <w:rsid w:val="009436DD"/>
    <w:rsid w:val="00944535"/>
    <w:rsid w:val="00944D1B"/>
    <w:rsid w:val="009457B3"/>
    <w:rsid w:val="00946677"/>
    <w:rsid w:val="00947A46"/>
    <w:rsid w:val="009500D3"/>
    <w:rsid w:val="009619EF"/>
    <w:rsid w:val="00961A7E"/>
    <w:rsid w:val="00962BAA"/>
    <w:rsid w:val="00962E9B"/>
    <w:rsid w:val="00964451"/>
    <w:rsid w:val="009715E7"/>
    <w:rsid w:val="00972CF6"/>
    <w:rsid w:val="009730ED"/>
    <w:rsid w:val="0097419B"/>
    <w:rsid w:val="00982799"/>
    <w:rsid w:val="00983160"/>
    <w:rsid w:val="00984699"/>
    <w:rsid w:val="00987E58"/>
    <w:rsid w:val="009907BD"/>
    <w:rsid w:val="009915A3"/>
    <w:rsid w:val="00992B2E"/>
    <w:rsid w:val="00994185"/>
    <w:rsid w:val="0099444A"/>
    <w:rsid w:val="00994A04"/>
    <w:rsid w:val="009959D6"/>
    <w:rsid w:val="00997713"/>
    <w:rsid w:val="009A0D16"/>
    <w:rsid w:val="009A2879"/>
    <w:rsid w:val="009A2D53"/>
    <w:rsid w:val="009A628D"/>
    <w:rsid w:val="009A6467"/>
    <w:rsid w:val="009B0F65"/>
    <w:rsid w:val="009B20C1"/>
    <w:rsid w:val="009B258B"/>
    <w:rsid w:val="009B337F"/>
    <w:rsid w:val="009B3C2B"/>
    <w:rsid w:val="009B3D83"/>
    <w:rsid w:val="009B436C"/>
    <w:rsid w:val="009B67A8"/>
    <w:rsid w:val="009B7AE4"/>
    <w:rsid w:val="009C0FA5"/>
    <w:rsid w:val="009C1922"/>
    <w:rsid w:val="009C312E"/>
    <w:rsid w:val="009C363B"/>
    <w:rsid w:val="009C524D"/>
    <w:rsid w:val="009C52B4"/>
    <w:rsid w:val="009C5FF5"/>
    <w:rsid w:val="009D2684"/>
    <w:rsid w:val="009D3C6E"/>
    <w:rsid w:val="009D4631"/>
    <w:rsid w:val="009D47E9"/>
    <w:rsid w:val="009D6CA1"/>
    <w:rsid w:val="009E1289"/>
    <w:rsid w:val="009E521B"/>
    <w:rsid w:val="009E522F"/>
    <w:rsid w:val="009E5B54"/>
    <w:rsid w:val="009E779F"/>
    <w:rsid w:val="009F0980"/>
    <w:rsid w:val="009F385F"/>
    <w:rsid w:val="009F3C08"/>
    <w:rsid w:val="009F3F7E"/>
    <w:rsid w:val="009F5DE5"/>
    <w:rsid w:val="00A008AF"/>
    <w:rsid w:val="00A014D1"/>
    <w:rsid w:val="00A04372"/>
    <w:rsid w:val="00A05AA7"/>
    <w:rsid w:val="00A05CF7"/>
    <w:rsid w:val="00A061FF"/>
    <w:rsid w:val="00A06318"/>
    <w:rsid w:val="00A06767"/>
    <w:rsid w:val="00A12080"/>
    <w:rsid w:val="00A12710"/>
    <w:rsid w:val="00A141B3"/>
    <w:rsid w:val="00A154AE"/>
    <w:rsid w:val="00A17646"/>
    <w:rsid w:val="00A17981"/>
    <w:rsid w:val="00A20476"/>
    <w:rsid w:val="00A205B8"/>
    <w:rsid w:val="00A243AB"/>
    <w:rsid w:val="00A25014"/>
    <w:rsid w:val="00A2763D"/>
    <w:rsid w:val="00A31222"/>
    <w:rsid w:val="00A36876"/>
    <w:rsid w:val="00A43A74"/>
    <w:rsid w:val="00A44180"/>
    <w:rsid w:val="00A4435B"/>
    <w:rsid w:val="00A44C4D"/>
    <w:rsid w:val="00A457ED"/>
    <w:rsid w:val="00A45DB6"/>
    <w:rsid w:val="00A478AC"/>
    <w:rsid w:val="00A51A3A"/>
    <w:rsid w:val="00A5533F"/>
    <w:rsid w:val="00A56551"/>
    <w:rsid w:val="00A567A7"/>
    <w:rsid w:val="00A5714E"/>
    <w:rsid w:val="00A60304"/>
    <w:rsid w:val="00A6073E"/>
    <w:rsid w:val="00A62B13"/>
    <w:rsid w:val="00A63475"/>
    <w:rsid w:val="00A70916"/>
    <w:rsid w:val="00A70A41"/>
    <w:rsid w:val="00A763B0"/>
    <w:rsid w:val="00A77563"/>
    <w:rsid w:val="00A800F6"/>
    <w:rsid w:val="00A80DFD"/>
    <w:rsid w:val="00A8136F"/>
    <w:rsid w:val="00A8310E"/>
    <w:rsid w:val="00A834C8"/>
    <w:rsid w:val="00A850E2"/>
    <w:rsid w:val="00A915A5"/>
    <w:rsid w:val="00A91E5C"/>
    <w:rsid w:val="00A93345"/>
    <w:rsid w:val="00A950BA"/>
    <w:rsid w:val="00A9612C"/>
    <w:rsid w:val="00AA05C1"/>
    <w:rsid w:val="00AA0753"/>
    <w:rsid w:val="00AA2AA0"/>
    <w:rsid w:val="00AA2BE7"/>
    <w:rsid w:val="00AA65EA"/>
    <w:rsid w:val="00AB10F1"/>
    <w:rsid w:val="00AB1E85"/>
    <w:rsid w:val="00AB22A2"/>
    <w:rsid w:val="00AB3735"/>
    <w:rsid w:val="00AB3C6E"/>
    <w:rsid w:val="00AB46D9"/>
    <w:rsid w:val="00AB473C"/>
    <w:rsid w:val="00AC38EC"/>
    <w:rsid w:val="00AC3CA3"/>
    <w:rsid w:val="00AC4323"/>
    <w:rsid w:val="00AC5F4C"/>
    <w:rsid w:val="00AD009B"/>
    <w:rsid w:val="00AD1BCB"/>
    <w:rsid w:val="00AD2A15"/>
    <w:rsid w:val="00AD5CA3"/>
    <w:rsid w:val="00AD64DF"/>
    <w:rsid w:val="00AE04DA"/>
    <w:rsid w:val="00AE1DE1"/>
    <w:rsid w:val="00AE278E"/>
    <w:rsid w:val="00AE4183"/>
    <w:rsid w:val="00AE6CE5"/>
    <w:rsid w:val="00AE7226"/>
    <w:rsid w:val="00AE78F8"/>
    <w:rsid w:val="00AF072F"/>
    <w:rsid w:val="00AF0A0F"/>
    <w:rsid w:val="00AF167F"/>
    <w:rsid w:val="00AF218C"/>
    <w:rsid w:val="00AF279F"/>
    <w:rsid w:val="00AF30E8"/>
    <w:rsid w:val="00AF56A8"/>
    <w:rsid w:val="00AF5F80"/>
    <w:rsid w:val="00AF6252"/>
    <w:rsid w:val="00AF7A80"/>
    <w:rsid w:val="00B04CE8"/>
    <w:rsid w:val="00B10D4F"/>
    <w:rsid w:val="00B118AA"/>
    <w:rsid w:val="00B1292A"/>
    <w:rsid w:val="00B129BB"/>
    <w:rsid w:val="00B16544"/>
    <w:rsid w:val="00B17196"/>
    <w:rsid w:val="00B21125"/>
    <w:rsid w:val="00B22DC7"/>
    <w:rsid w:val="00B27C77"/>
    <w:rsid w:val="00B30642"/>
    <w:rsid w:val="00B312E2"/>
    <w:rsid w:val="00B32827"/>
    <w:rsid w:val="00B35449"/>
    <w:rsid w:val="00B365FA"/>
    <w:rsid w:val="00B36A53"/>
    <w:rsid w:val="00B3782C"/>
    <w:rsid w:val="00B40008"/>
    <w:rsid w:val="00B40CB1"/>
    <w:rsid w:val="00B4101F"/>
    <w:rsid w:val="00B43CAE"/>
    <w:rsid w:val="00B45941"/>
    <w:rsid w:val="00B45EDE"/>
    <w:rsid w:val="00B52175"/>
    <w:rsid w:val="00B52665"/>
    <w:rsid w:val="00B550B0"/>
    <w:rsid w:val="00B57D36"/>
    <w:rsid w:val="00B634A8"/>
    <w:rsid w:val="00B66F8B"/>
    <w:rsid w:val="00B7260B"/>
    <w:rsid w:val="00B75153"/>
    <w:rsid w:val="00B75D5A"/>
    <w:rsid w:val="00B772BA"/>
    <w:rsid w:val="00B80099"/>
    <w:rsid w:val="00B83E4B"/>
    <w:rsid w:val="00B846D1"/>
    <w:rsid w:val="00B850DA"/>
    <w:rsid w:val="00B85AD7"/>
    <w:rsid w:val="00B87F61"/>
    <w:rsid w:val="00B90B2D"/>
    <w:rsid w:val="00B93280"/>
    <w:rsid w:val="00B94BAA"/>
    <w:rsid w:val="00B96954"/>
    <w:rsid w:val="00BA4F41"/>
    <w:rsid w:val="00BA6C25"/>
    <w:rsid w:val="00BA7E1A"/>
    <w:rsid w:val="00BB0FD1"/>
    <w:rsid w:val="00BB2EA1"/>
    <w:rsid w:val="00BC0FB9"/>
    <w:rsid w:val="00BC4C18"/>
    <w:rsid w:val="00BC60D8"/>
    <w:rsid w:val="00BC6506"/>
    <w:rsid w:val="00BC6EB1"/>
    <w:rsid w:val="00BC7BBF"/>
    <w:rsid w:val="00BD1A46"/>
    <w:rsid w:val="00BD1C29"/>
    <w:rsid w:val="00BD2E65"/>
    <w:rsid w:val="00BD38AF"/>
    <w:rsid w:val="00BD44B9"/>
    <w:rsid w:val="00BD7439"/>
    <w:rsid w:val="00BE086B"/>
    <w:rsid w:val="00BE5DF9"/>
    <w:rsid w:val="00BE6E28"/>
    <w:rsid w:val="00BF2571"/>
    <w:rsid w:val="00BF4BF7"/>
    <w:rsid w:val="00BF7315"/>
    <w:rsid w:val="00BF7ED0"/>
    <w:rsid w:val="00BF7F4D"/>
    <w:rsid w:val="00C01751"/>
    <w:rsid w:val="00C023AA"/>
    <w:rsid w:val="00C02943"/>
    <w:rsid w:val="00C07069"/>
    <w:rsid w:val="00C07078"/>
    <w:rsid w:val="00C23E66"/>
    <w:rsid w:val="00C23F6A"/>
    <w:rsid w:val="00C24D2F"/>
    <w:rsid w:val="00C259BD"/>
    <w:rsid w:val="00C33095"/>
    <w:rsid w:val="00C35EE4"/>
    <w:rsid w:val="00C36386"/>
    <w:rsid w:val="00C364A3"/>
    <w:rsid w:val="00C36A86"/>
    <w:rsid w:val="00C36E34"/>
    <w:rsid w:val="00C431C3"/>
    <w:rsid w:val="00C4482E"/>
    <w:rsid w:val="00C44EDA"/>
    <w:rsid w:val="00C45A53"/>
    <w:rsid w:val="00C466EE"/>
    <w:rsid w:val="00C46AE0"/>
    <w:rsid w:val="00C51CE9"/>
    <w:rsid w:val="00C52658"/>
    <w:rsid w:val="00C533C6"/>
    <w:rsid w:val="00C551B4"/>
    <w:rsid w:val="00C557D9"/>
    <w:rsid w:val="00C56AE1"/>
    <w:rsid w:val="00C56DD0"/>
    <w:rsid w:val="00C572AC"/>
    <w:rsid w:val="00C63295"/>
    <w:rsid w:val="00C636D3"/>
    <w:rsid w:val="00C652BC"/>
    <w:rsid w:val="00C67815"/>
    <w:rsid w:val="00C70261"/>
    <w:rsid w:val="00C730E6"/>
    <w:rsid w:val="00C76FBA"/>
    <w:rsid w:val="00C80BA7"/>
    <w:rsid w:val="00C825A9"/>
    <w:rsid w:val="00C83C17"/>
    <w:rsid w:val="00C90A4C"/>
    <w:rsid w:val="00C94984"/>
    <w:rsid w:val="00C95B37"/>
    <w:rsid w:val="00CA0533"/>
    <w:rsid w:val="00CA2478"/>
    <w:rsid w:val="00CA6563"/>
    <w:rsid w:val="00CB0AF5"/>
    <w:rsid w:val="00CB3415"/>
    <w:rsid w:val="00CC2E3D"/>
    <w:rsid w:val="00CC3925"/>
    <w:rsid w:val="00CC3CCB"/>
    <w:rsid w:val="00CC41B5"/>
    <w:rsid w:val="00CC5897"/>
    <w:rsid w:val="00CC621A"/>
    <w:rsid w:val="00CC72B6"/>
    <w:rsid w:val="00CD0F71"/>
    <w:rsid w:val="00CD164D"/>
    <w:rsid w:val="00CD299E"/>
    <w:rsid w:val="00CE02F3"/>
    <w:rsid w:val="00CE1932"/>
    <w:rsid w:val="00CE2276"/>
    <w:rsid w:val="00CE2A98"/>
    <w:rsid w:val="00CE323A"/>
    <w:rsid w:val="00CE3938"/>
    <w:rsid w:val="00CE632A"/>
    <w:rsid w:val="00CE6724"/>
    <w:rsid w:val="00CE7552"/>
    <w:rsid w:val="00CE76FE"/>
    <w:rsid w:val="00CF2169"/>
    <w:rsid w:val="00CF3F5D"/>
    <w:rsid w:val="00CF70F1"/>
    <w:rsid w:val="00CF765A"/>
    <w:rsid w:val="00D019A7"/>
    <w:rsid w:val="00D07601"/>
    <w:rsid w:val="00D100C6"/>
    <w:rsid w:val="00D116C8"/>
    <w:rsid w:val="00D12443"/>
    <w:rsid w:val="00D135CF"/>
    <w:rsid w:val="00D13F42"/>
    <w:rsid w:val="00D144D4"/>
    <w:rsid w:val="00D14A42"/>
    <w:rsid w:val="00D15E31"/>
    <w:rsid w:val="00D1615B"/>
    <w:rsid w:val="00D2014A"/>
    <w:rsid w:val="00D20C9C"/>
    <w:rsid w:val="00D20DB2"/>
    <w:rsid w:val="00D2125A"/>
    <w:rsid w:val="00D21697"/>
    <w:rsid w:val="00D22021"/>
    <w:rsid w:val="00D222FD"/>
    <w:rsid w:val="00D30C29"/>
    <w:rsid w:val="00D30DF7"/>
    <w:rsid w:val="00D327B7"/>
    <w:rsid w:val="00D33168"/>
    <w:rsid w:val="00D33419"/>
    <w:rsid w:val="00D34DF8"/>
    <w:rsid w:val="00D454A6"/>
    <w:rsid w:val="00D45628"/>
    <w:rsid w:val="00D46CF6"/>
    <w:rsid w:val="00D47399"/>
    <w:rsid w:val="00D47743"/>
    <w:rsid w:val="00D47DDE"/>
    <w:rsid w:val="00D508F7"/>
    <w:rsid w:val="00D52CD1"/>
    <w:rsid w:val="00D53399"/>
    <w:rsid w:val="00D536F8"/>
    <w:rsid w:val="00D54571"/>
    <w:rsid w:val="00D5495F"/>
    <w:rsid w:val="00D57AAF"/>
    <w:rsid w:val="00D67C68"/>
    <w:rsid w:val="00D70272"/>
    <w:rsid w:val="00D71174"/>
    <w:rsid w:val="00D75BAD"/>
    <w:rsid w:val="00D7664A"/>
    <w:rsid w:val="00D80D2A"/>
    <w:rsid w:val="00D81FF8"/>
    <w:rsid w:val="00D828F7"/>
    <w:rsid w:val="00D82CA5"/>
    <w:rsid w:val="00D846C7"/>
    <w:rsid w:val="00D864BE"/>
    <w:rsid w:val="00D92DE7"/>
    <w:rsid w:val="00D92FF0"/>
    <w:rsid w:val="00D9395F"/>
    <w:rsid w:val="00D9647F"/>
    <w:rsid w:val="00D97D34"/>
    <w:rsid w:val="00DA02D1"/>
    <w:rsid w:val="00DA435C"/>
    <w:rsid w:val="00DB087A"/>
    <w:rsid w:val="00DB29FD"/>
    <w:rsid w:val="00DB2BCA"/>
    <w:rsid w:val="00DB35CE"/>
    <w:rsid w:val="00DB3F23"/>
    <w:rsid w:val="00DB55AD"/>
    <w:rsid w:val="00DB6FD1"/>
    <w:rsid w:val="00DC0279"/>
    <w:rsid w:val="00DC137B"/>
    <w:rsid w:val="00DC3F28"/>
    <w:rsid w:val="00DC50A1"/>
    <w:rsid w:val="00DC7350"/>
    <w:rsid w:val="00DD1387"/>
    <w:rsid w:val="00DD44DC"/>
    <w:rsid w:val="00DD5FF3"/>
    <w:rsid w:val="00DE0DB8"/>
    <w:rsid w:val="00DE27E7"/>
    <w:rsid w:val="00DE2A2E"/>
    <w:rsid w:val="00DE46E7"/>
    <w:rsid w:val="00DE6F31"/>
    <w:rsid w:val="00DF0F9B"/>
    <w:rsid w:val="00DF2018"/>
    <w:rsid w:val="00DF21D7"/>
    <w:rsid w:val="00DF269A"/>
    <w:rsid w:val="00DF34CB"/>
    <w:rsid w:val="00DF48A9"/>
    <w:rsid w:val="00DF4A3F"/>
    <w:rsid w:val="00DF4B6D"/>
    <w:rsid w:val="00DF652E"/>
    <w:rsid w:val="00DF664C"/>
    <w:rsid w:val="00DF7363"/>
    <w:rsid w:val="00DF75A2"/>
    <w:rsid w:val="00DF7F11"/>
    <w:rsid w:val="00E01D6E"/>
    <w:rsid w:val="00E04FD9"/>
    <w:rsid w:val="00E07796"/>
    <w:rsid w:val="00E078DF"/>
    <w:rsid w:val="00E106D6"/>
    <w:rsid w:val="00E128B1"/>
    <w:rsid w:val="00E140BB"/>
    <w:rsid w:val="00E203C8"/>
    <w:rsid w:val="00E24525"/>
    <w:rsid w:val="00E2608D"/>
    <w:rsid w:val="00E27863"/>
    <w:rsid w:val="00E27A1C"/>
    <w:rsid w:val="00E30DDD"/>
    <w:rsid w:val="00E32889"/>
    <w:rsid w:val="00E454CC"/>
    <w:rsid w:val="00E45C0F"/>
    <w:rsid w:val="00E4675C"/>
    <w:rsid w:val="00E51839"/>
    <w:rsid w:val="00E53B2D"/>
    <w:rsid w:val="00E56EBB"/>
    <w:rsid w:val="00E63888"/>
    <w:rsid w:val="00E657C4"/>
    <w:rsid w:val="00E66A61"/>
    <w:rsid w:val="00E66C7A"/>
    <w:rsid w:val="00E71585"/>
    <w:rsid w:val="00E7288E"/>
    <w:rsid w:val="00E770FC"/>
    <w:rsid w:val="00E77DED"/>
    <w:rsid w:val="00E80DAA"/>
    <w:rsid w:val="00E8355D"/>
    <w:rsid w:val="00E83F4F"/>
    <w:rsid w:val="00E85063"/>
    <w:rsid w:val="00E869A0"/>
    <w:rsid w:val="00E86C69"/>
    <w:rsid w:val="00E9006C"/>
    <w:rsid w:val="00E907B3"/>
    <w:rsid w:val="00E91127"/>
    <w:rsid w:val="00E91D70"/>
    <w:rsid w:val="00E9245D"/>
    <w:rsid w:val="00E940FD"/>
    <w:rsid w:val="00E94DC5"/>
    <w:rsid w:val="00E95603"/>
    <w:rsid w:val="00E96E29"/>
    <w:rsid w:val="00E970B7"/>
    <w:rsid w:val="00EA0560"/>
    <w:rsid w:val="00EA23F1"/>
    <w:rsid w:val="00EA390C"/>
    <w:rsid w:val="00EA556D"/>
    <w:rsid w:val="00EB1CD8"/>
    <w:rsid w:val="00EB2E4E"/>
    <w:rsid w:val="00EB4A76"/>
    <w:rsid w:val="00EC1283"/>
    <w:rsid w:val="00EC2EF2"/>
    <w:rsid w:val="00EC3723"/>
    <w:rsid w:val="00EC5848"/>
    <w:rsid w:val="00ED0CF5"/>
    <w:rsid w:val="00ED15BC"/>
    <w:rsid w:val="00ED5923"/>
    <w:rsid w:val="00ED7823"/>
    <w:rsid w:val="00EE1D9F"/>
    <w:rsid w:val="00EE3A96"/>
    <w:rsid w:val="00EE5E5C"/>
    <w:rsid w:val="00EE7EAA"/>
    <w:rsid w:val="00EF14F6"/>
    <w:rsid w:val="00EF234B"/>
    <w:rsid w:val="00EF60EE"/>
    <w:rsid w:val="00EF6DC0"/>
    <w:rsid w:val="00EF75DF"/>
    <w:rsid w:val="00F006FB"/>
    <w:rsid w:val="00F02788"/>
    <w:rsid w:val="00F07F6D"/>
    <w:rsid w:val="00F12F85"/>
    <w:rsid w:val="00F13007"/>
    <w:rsid w:val="00F14269"/>
    <w:rsid w:val="00F14BAA"/>
    <w:rsid w:val="00F2372F"/>
    <w:rsid w:val="00F25151"/>
    <w:rsid w:val="00F26BFB"/>
    <w:rsid w:val="00F26DDC"/>
    <w:rsid w:val="00F30F0A"/>
    <w:rsid w:val="00F33B35"/>
    <w:rsid w:val="00F33DA4"/>
    <w:rsid w:val="00F34B55"/>
    <w:rsid w:val="00F36D1F"/>
    <w:rsid w:val="00F40139"/>
    <w:rsid w:val="00F41304"/>
    <w:rsid w:val="00F41B34"/>
    <w:rsid w:val="00F421B2"/>
    <w:rsid w:val="00F42B75"/>
    <w:rsid w:val="00F4356F"/>
    <w:rsid w:val="00F43F31"/>
    <w:rsid w:val="00F45CB1"/>
    <w:rsid w:val="00F460D4"/>
    <w:rsid w:val="00F505FE"/>
    <w:rsid w:val="00F5083A"/>
    <w:rsid w:val="00F509C5"/>
    <w:rsid w:val="00F534AF"/>
    <w:rsid w:val="00F536A9"/>
    <w:rsid w:val="00F5555C"/>
    <w:rsid w:val="00F61BA8"/>
    <w:rsid w:val="00F630F0"/>
    <w:rsid w:val="00F64569"/>
    <w:rsid w:val="00F703D6"/>
    <w:rsid w:val="00F73D88"/>
    <w:rsid w:val="00F76699"/>
    <w:rsid w:val="00F85DFF"/>
    <w:rsid w:val="00F86EDB"/>
    <w:rsid w:val="00F8713F"/>
    <w:rsid w:val="00F87621"/>
    <w:rsid w:val="00F87FFE"/>
    <w:rsid w:val="00F90C42"/>
    <w:rsid w:val="00F91A55"/>
    <w:rsid w:val="00F9342C"/>
    <w:rsid w:val="00F96216"/>
    <w:rsid w:val="00F96BFF"/>
    <w:rsid w:val="00F96EE3"/>
    <w:rsid w:val="00F9798F"/>
    <w:rsid w:val="00FA2752"/>
    <w:rsid w:val="00FA53A4"/>
    <w:rsid w:val="00FA6BB2"/>
    <w:rsid w:val="00FB057E"/>
    <w:rsid w:val="00FB08D4"/>
    <w:rsid w:val="00FB0CD5"/>
    <w:rsid w:val="00FB254A"/>
    <w:rsid w:val="00FB3F29"/>
    <w:rsid w:val="00FB53C7"/>
    <w:rsid w:val="00FB5E60"/>
    <w:rsid w:val="00FB73B3"/>
    <w:rsid w:val="00FB7482"/>
    <w:rsid w:val="00FC1A2D"/>
    <w:rsid w:val="00FC2397"/>
    <w:rsid w:val="00FC6389"/>
    <w:rsid w:val="00FC6F7A"/>
    <w:rsid w:val="00FC7240"/>
    <w:rsid w:val="00FC76B1"/>
    <w:rsid w:val="00FD0529"/>
    <w:rsid w:val="00FD487F"/>
    <w:rsid w:val="00FD6282"/>
    <w:rsid w:val="00FD6788"/>
    <w:rsid w:val="00FD7CCC"/>
    <w:rsid w:val="00FE0E96"/>
    <w:rsid w:val="00FE35A9"/>
    <w:rsid w:val="00FE3BEC"/>
    <w:rsid w:val="00FE41E4"/>
    <w:rsid w:val="00FE6A0D"/>
    <w:rsid w:val="00FE7776"/>
    <w:rsid w:val="00FF2F92"/>
    <w:rsid w:val="00FF3C6B"/>
    <w:rsid w:val="00FF55C1"/>
    <w:rsid w:val="00FF7065"/>
    <w:rsid w:val="00FF7C1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184B73"/>
  <w15:chartTrackingRefBased/>
  <w15:docId w15:val="{040FD873-94B7-426B-AD68-E78AC10ED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AF5"/>
    <w:pPr>
      <w:widowControl w:val="0"/>
      <w:autoSpaceDE w:val="0"/>
      <w:autoSpaceDN w:val="0"/>
      <w:spacing w:after="0" w:line="240" w:lineRule="auto"/>
    </w:pPr>
    <w:rPr>
      <w:rFonts w:ascii="Times New Roman" w:eastAsia="Times New Roman" w:hAnsi="Times New Roman" w:cs="Microsoft Sans Serif"/>
      <w:kern w:val="0"/>
      <w:sz w:val="20"/>
      <w:lang w:val="en-US"/>
      <w14:ligatures w14:val="none"/>
    </w:rPr>
  </w:style>
  <w:style w:type="paragraph" w:styleId="Ttulo1">
    <w:name w:val="heading 1"/>
    <w:basedOn w:val="Normal"/>
    <w:next w:val="Normal"/>
    <w:link w:val="Ttulo1Char"/>
    <w:uiPriority w:val="9"/>
    <w:qFormat/>
    <w:rsid w:val="00CB0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autoRedefine/>
    <w:uiPriority w:val="9"/>
    <w:unhideWhenUsed/>
    <w:qFormat/>
    <w:rsid w:val="00DD5FF3"/>
    <w:pPr>
      <w:keepNext/>
      <w:keepLines/>
      <w:spacing w:before="240"/>
      <w:outlineLvl w:val="1"/>
    </w:pPr>
    <w:rPr>
      <w:rFonts w:asciiTheme="majorHAnsi" w:eastAsiaTheme="majorEastAsia" w:hAnsiTheme="majorHAnsi" w:cstheme="majorBidi"/>
      <w:color w:val="0F4761" w:themeColor="accent1" w:themeShade="BF"/>
      <w:sz w:val="24"/>
      <w:szCs w:val="24"/>
    </w:rPr>
  </w:style>
  <w:style w:type="paragraph" w:styleId="Ttulo3">
    <w:name w:val="heading 3"/>
    <w:basedOn w:val="Normal"/>
    <w:next w:val="Normal"/>
    <w:link w:val="Ttulo3Char"/>
    <w:uiPriority w:val="9"/>
    <w:unhideWhenUsed/>
    <w:qFormat/>
    <w:rsid w:val="00CB0A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B0A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B0A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B0AF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B0AF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B0AF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B0AF5"/>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B0AF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D5FF3"/>
    <w:rPr>
      <w:rFonts w:asciiTheme="majorHAnsi" w:eastAsiaTheme="majorEastAsia" w:hAnsiTheme="majorHAnsi" w:cstheme="majorBidi"/>
      <w:color w:val="0F4761" w:themeColor="accent1" w:themeShade="BF"/>
      <w:kern w:val="0"/>
      <w:sz w:val="24"/>
      <w:szCs w:val="24"/>
      <w:lang w:val="en-US"/>
      <w14:ligatures w14:val="none"/>
    </w:rPr>
  </w:style>
  <w:style w:type="character" w:customStyle="1" w:styleId="Ttulo3Char">
    <w:name w:val="Título 3 Char"/>
    <w:basedOn w:val="Fontepargpadro"/>
    <w:link w:val="Ttulo3"/>
    <w:uiPriority w:val="9"/>
    <w:rsid w:val="00CB0AF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B0AF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B0AF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B0AF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B0AF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B0AF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B0AF5"/>
    <w:rPr>
      <w:rFonts w:eastAsiaTheme="majorEastAsia" w:cstheme="majorBidi"/>
      <w:color w:val="272727" w:themeColor="text1" w:themeTint="D8"/>
    </w:rPr>
  </w:style>
  <w:style w:type="paragraph" w:styleId="Ttulo">
    <w:name w:val="Title"/>
    <w:basedOn w:val="Normal"/>
    <w:next w:val="Normal"/>
    <w:link w:val="TtuloChar"/>
    <w:uiPriority w:val="10"/>
    <w:qFormat/>
    <w:rsid w:val="00CB0AF5"/>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B0A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B0AF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B0AF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B0AF5"/>
    <w:pPr>
      <w:spacing w:before="160"/>
      <w:jc w:val="center"/>
    </w:pPr>
    <w:rPr>
      <w:i/>
      <w:iCs/>
      <w:color w:val="404040" w:themeColor="text1" w:themeTint="BF"/>
    </w:rPr>
  </w:style>
  <w:style w:type="character" w:customStyle="1" w:styleId="CitaoChar">
    <w:name w:val="Citação Char"/>
    <w:basedOn w:val="Fontepargpadro"/>
    <w:link w:val="Citao"/>
    <w:uiPriority w:val="29"/>
    <w:rsid w:val="00CB0AF5"/>
    <w:rPr>
      <w:i/>
      <w:iCs/>
      <w:color w:val="404040" w:themeColor="text1" w:themeTint="BF"/>
    </w:rPr>
  </w:style>
  <w:style w:type="paragraph" w:styleId="PargrafodaLista">
    <w:name w:val="List Paragraph"/>
    <w:basedOn w:val="Normal"/>
    <w:uiPriority w:val="1"/>
    <w:qFormat/>
    <w:rsid w:val="00CB0AF5"/>
    <w:pPr>
      <w:ind w:left="720"/>
      <w:contextualSpacing/>
    </w:pPr>
  </w:style>
  <w:style w:type="character" w:styleId="nfaseIntensa">
    <w:name w:val="Intense Emphasis"/>
    <w:basedOn w:val="Fontepargpadro"/>
    <w:uiPriority w:val="21"/>
    <w:qFormat/>
    <w:rsid w:val="00CB0AF5"/>
    <w:rPr>
      <w:i/>
      <w:iCs/>
      <w:color w:val="0F4761" w:themeColor="accent1" w:themeShade="BF"/>
    </w:rPr>
  </w:style>
  <w:style w:type="paragraph" w:styleId="CitaoIntensa">
    <w:name w:val="Intense Quote"/>
    <w:basedOn w:val="Normal"/>
    <w:next w:val="Normal"/>
    <w:link w:val="CitaoIntensaChar"/>
    <w:uiPriority w:val="30"/>
    <w:qFormat/>
    <w:rsid w:val="00CB0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B0AF5"/>
    <w:rPr>
      <w:i/>
      <w:iCs/>
      <w:color w:val="0F4761" w:themeColor="accent1" w:themeShade="BF"/>
    </w:rPr>
  </w:style>
  <w:style w:type="character" w:styleId="RefernciaIntensa">
    <w:name w:val="Intense Reference"/>
    <w:basedOn w:val="Fontepargpadro"/>
    <w:uiPriority w:val="32"/>
    <w:qFormat/>
    <w:rsid w:val="00CB0AF5"/>
    <w:rPr>
      <w:b/>
      <w:bCs/>
      <w:smallCaps/>
      <w:color w:val="0F4761" w:themeColor="accent1" w:themeShade="BF"/>
      <w:spacing w:val="5"/>
    </w:rPr>
  </w:style>
  <w:style w:type="paragraph" w:styleId="Corpodetexto">
    <w:name w:val="Body Text"/>
    <w:basedOn w:val="Normal"/>
    <w:link w:val="CorpodetextoChar"/>
    <w:uiPriority w:val="1"/>
    <w:qFormat/>
    <w:rsid w:val="00CB0AF5"/>
    <w:pPr>
      <w:spacing w:before="148"/>
      <w:ind w:left="269"/>
    </w:pPr>
    <w:rPr>
      <w:szCs w:val="20"/>
    </w:rPr>
  </w:style>
  <w:style w:type="character" w:customStyle="1" w:styleId="CorpodetextoChar">
    <w:name w:val="Corpo de texto Char"/>
    <w:basedOn w:val="Fontepargpadro"/>
    <w:link w:val="Corpodetexto"/>
    <w:uiPriority w:val="1"/>
    <w:rsid w:val="00CB0AF5"/>
    <w:rPr>
      <w:rFonts w:ascii="Microsoft Sans Serif" w:eastAsia="Microsoft Sans Serif" w:hAnsi="Microsoft Sans Serif" w:cs="Microsoft Sans Serif"/>
      <w:kern w:val="0"/>
      <w:sz w:val="20"/>
      <w:szCs w:val="20"/>
      <w:lang w:val="en-US"/>
      <w14:ligatures w14:val="none"/>
    </w:rPr>
  </w:style>
  <w:style w:type="paragraph" w:customStyle="1" w:styleId="text-base">
    <w:name w:val="text-base"/>
    <w:basedOn w:val="Normal"/>
    <w:rsid w:val="00827D2C"/>
    <w:pPr>
      <w:widowControl/>
      <w:autoSpaceDE/>
      <w:autoSpaceDN/>
      <w:spacing w:before="100" w:beforeAutospacing="1" w:after="100" w:afterAutospacing="1"/>
    </w:pPr>
    <w:rPr>
      <w:rFonts w:cs="Times New Roman"/>
      <w:szCs w:val="24"/>
      <w:lang w:val="pt-BR" w:eastAsia="pt-BR"/>
    </w:rPr>
  </w:style>
  <w:style w:type="table" w:styleId="Tabelacomgrade">
    <w:name w:val="Table Grid"/>
    <w:basedOn w:val="Tabelanormal"/>
    <w:uiPriority w:val="59"/>
    <w:rsid w:val="00984699"/>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Pr-formataoHTMLChar"/>
    <w:uiPriority w:val="99"/>
    <w:unhideWhenUsed/>
    <w:rsid w:val="008859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Cs w:val="20"/>
      <w:lang w:val="pt-BR" w:eastAsia="pt-BR"/>
    </w:rPr>
  </w:style>
  <w:style w:type="character" w:customStyle="1" w:styleId="Pr-formataoHTMLChar">
    <w:name w:val="Pré-formatação HTML Char"/>
    <w:basedOn w:val="Fontepargpadro"/>
    <w:link w:val="Pr-formataoHTML"/>
    <w:uiPriority w:val="99"/>
    <w:rsid w:val="00885932"/>
    <w:rPr>
      <w:rFonts w:ascii="Courier New" w:eastAsia="Times New Roman" w:hAnsi="Courier New" w:cs="Courier New"/>
      <w:kern w:val="0"/>
      <w:sz w:val="20"/>
      <w:szCs w:val="20"/>
      <w:lang w:eastAsia="pt-BR"/>
      <w14:ligatures w14:val="none"/>
    </w:rPr>
  </w:style>
  <w:style w:type="character" w:styleId="nfase">
    <w:name w:val="Emphasis"/>
    <w:basedOn w:val="Fontepargpadro"/>
    <w:uiPriority w:val="20"/>
    <w:qFormat/>
    <w:rsid w:val="00920375"/>
    <w:rPr>
      <w:i/>
      <w:iCs/>
    </w:rPr>
  </w:style>
  <w:style w:type="paragraph" w:customStyle="1" w:styleId="ng-star-inserted">
    <w:name w:val="ng-star-inserted"/>
    <w:basedOn w:val="Normal"/>
    <w:rsid w:val="00F86EDB"/>
    <w:pPr>
      <w:widowControl/>
      <w:autoSpaceDE/>
      <w:autoSpaceDN/>
      <w:spacing w:before="100" w:beforeAutospacing="1" w:after="100" w:afterAutospacing="1"/>
    </w:pPr>
    <w:rPr>
      <w:rFonts w:cs="Times New Roman"/>
      <w:sz w:val="24"/>
      <w:szCs w:val="24"/>
      <w:lang w:val="pt-BR" w:eastAsia="pt-BR"/>
    </w:rPr>
  </w:style>
  <w:style w:type="character" w:customStyle="1" w:styleId="ng-star-inserted1">
    <w:name w:val="ng-star-inserted1"/>
    <w:basedOn w:val="Fontepargpadro"/>
    <w:rsid w:val="00F86EDB"/>
  </w:style>
  <w:style w:type="paragraph" w:customStyle="1" w:styleId="TableParagraph">
    <w:name w:val="Table Paragraph"/>
    <w:basedOn w:val="Normal"/>
    <w:uiPriority w:val="1"/>
    <w:qFormat/>
    <w:rsid w:val="00B16544"/>
    <w:pPr>
      <w:spacing w:before="104"/>
      <w:ind w:left="194"/>
    </w:pPr>
  </w:style>
  <w:style w:type="character" w:styleId="Forte">
    <w:name w:val="Strong"/>
    <w:basedOn w:val="Fontepargpadro"/>
    <w:uiPriority w:val="22"/>
    <w:qFormat/>
    <w:rsid w:val="00B75153"/>
    <w:rPr>
      <w:b/>
      <w:bCs/>
    </w:rPr>
  </w:style>
  <w:style w:type="character" w:customStyle="1" w:styleId="mclose">
    <w:name w:val="mclose"/>
    <w:basedOn w:val="Fontepargpadro"/>
    <w:rsid w:val="00C01751"/>
  </w:style>
  <w:style w:type="character" w:styleId="TextodoEspaoReservado">
    <w:name w:val="Placeholder Text"/>
    <w:basedOn w:val="Fontepargpadro"/>
    <w:uiPriority w:val="99"/>
    <w:semiHidden/>
    <w:rsid w:val="00337995"/>
    <w:rPr>
      <w:color w:val="666666"/>
    </w:rPr>
  </w:style>
  <w:style w:type="paragraph" w:styleId="Bibliografia">
    <w:name w:val="Bibliography"/>
    <w:basedOn w:val="Normal"/>
    <w:next w:val="Normal"/>
    <w:uiPriority w:val="37"/>
    <w:unhideWhenUsed/>
    <w:rsid w:val="00747409"/>
    <w:pPr>
      <w:ind w:left="720" w:hanging="720"/>
    </w:pPr>
  </w:style>
  <w:style w:type="table" w:customStyle="1" w:styleId="TableNormal1">
    <w:name w:val="Table Normal1"/>
    <w:uiPriority w:val="2"/>
    <w:semiHidden/>
    <w:unhideWhenUsed/>
    <w:qFormat/>
    <w:rsid w:val="0074740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Hyperlink">
    <w:name w:val="Hyperlink"/>
    <w:basedOn w:val="Fontepargpadro"/>
    <w:uiPriority w:val="99"/>
    <w:unhideWhenUsed/>
    <w:rsid w:val="00747409"/>
    <w:rPr>
      <w:color w:val="467886" w:themeColor="hyperlink"/>
      <w:u w:val="single"/>
    </w:rPr>
  </w:style>
  <w:style w:type="character" w:styleId="MenoPendente">
    <w:name w:val="Unresolved Mention"/>
    <w:basedOn w:val="Fontepargpadro"/>
    <w:uiPriority w:val="99"/>
    <w:semiHidden/>
    <w:unhideWhenUsed/>
    <w:rsid w:val="00747409"/>
    <w:rPr>
      <w:color w:val="605E5C"/>
      <w:shd w:val="clear" w:color="auto" w:fill="E1DFDD"/>
    </w:rPr>
  </w:style>
  <w:style w:type="character" w:customStyle="1" w:styleId="inline-code">
    <w:name w:val="inline-code"/>
    <w:basedOn w:val="Fontepargpadro"/>
    <w:rsid w:val="00747409"/>
  </w:style>
  <w:style w:type="character" w:customStyle="1" w:styleId="VerbatimChar">
    <w:name w:val="Verbatim Char"/>
    <w:rsid w:val="00747409"/>
    <w:rPr>
      <w:rFonts w:ascii="Consolas" w:hAnsi="Consolas"/>
      <w:sz w:val="22"/>
    </w:rPr>
  </w:style>
  <w:style w:type="paragraph" w:customStyle="1" w:styleId="my-2">
    <w:name w:val="my-2"/>
    <w:basedOn w:val="Normal"/>
    <w:rsid w:val="00747409"/>
    <w:pPr>
      <w:widowControl/>
      <w:autoSpaceDE/>
      <w:autoSpaceDN/>
      <w:spacing w:before="100" w:beforeAutospacing="1" w:after="100" w:afterAutospacing="1"/>
    </w:pPr>
    <w:rPr>
      <w:rFonts w:cs="Times New Roman"/>
      <w:sz w:val="24"/>
      <w:szCs w:val="24"/>
      <w:lang w:val="pt-BR" w:eastAsia="pt-BR"/>
    </w:rPr>
  </w:style>
  <w:style w:type="character" w:styleId="HiperlinkVisitado">
    <w:name w:val="FollowedHyperlink"/>
    <w:basedOn w:val="Fontepargpadro"/>
    <w:uiPriority w:val="99"/>
    <w:semiHidden/>
    <w:unhideWhenUsed/>
    <w:rsid w:val="00747409"/>
    <w:rPr>
      <w:color w:val="96607D" w:themeColor="followedHyperlink"/>
      <w:u w:val="single"/>
    </w:rPr>
  </w:style>
  <w:style w:type="character" w:customStyle="1" w:styleId="mord">
    <w:name w:val="mord"/>
    <w:basedOn w:val="Fontepargpadro"/>
    <w:rsid w:val="00747409"/>
  </w:style>
  <w:style w:type="character" w:customStyle="1" w:styleId="mrel">
    <w:name w:val="mrel"/>
    <w:basedOn w:val="Fontepargpadro"/>
    <w:rsid w:val="00747409"/>
  </w:style>
  <w:style w:type="character" w:customStyle="1" w:styleId="mbin">
    <w:name w:val="mbin"/>
    <w:basedOn w:val="Fontepargpadro"/>
    <w:rsid w:val="00747409"/>
  </w:style>
  <w:style w:type="character" w:customStyle="1" w:styleId="mopen">
    <w:name w:val="mopen"/>
    <w:basedOn w:val="Fontepargpadro"/>
    <w:rsid w:val="00747409"/>
  </w:style>
  <w:style w:type="character" w:customStyle="1" w:styleId="delimsizing">
    <w:name w:val="delimsizing"/>
    <w:basedOn w:val="Fontepargpadro"/>
    <w:rsid w:val="00747409"/>
  </w:style>
  <w:style w:type="character" w:styleId="CdigoHTML">
    <w:name w:val="HTML Code"/>
    <w:basedOn w:val="Fontepargpadro"/>
    <w:uiPriority w:val="99"/>
    <w:semiHidden/>
    <w:unhideWhenUsed/>
    <w:rsid w:val="00747409"/>
    <w:rPr>
      <w:rFonts w:ascii="Courier New" w:eastAsia="Times New Roman" w:hAnsi="Courier New" w:cs="Courier New"/>
      <w:sz w:val="20"/>
      <w:szCs w:val="20"/>
    </w:rPr>
  </w:style>
  <w:style w:type="character" w:styleId="Refdecomentrio">
    <w:name w:val="annotation reference"/>
    <w:basedOn w:val="Fontepargpadro"/>
    <w:uiPriority w:val="99"/>
    <w:semiHidden/>
    <w:unhideWhenUsed/>
    <w:rsid w:val="00747409"/>
    <w:rPr>
      <w:sz w:val="16"/>
      <w:szCs w:val="16"/>
    </w:rPr>
  </w:style>
  <w:style w:type="paragraph" w:styleId="Textodecomentrio">
    <w:name w:val="annotation text"/>
    <w:basedOn w:val="Normal"/>
    <w:link w:val="TextodecomentrioChar"/>
    <w:uiPriority w:val="99"/>
    <w:semiHidden/>
    <w:unhideWhenUsed/>
    <w:rsid w:val="00747409"/>
    <w:rPr>
      <w:szCs w:val="20"/>
    </w:rPr>
  </w:style>
  <w:style w:type="character" w:customStyle="1" w:styleId="TextodecomentrioChar">
    <w:name w:val="Texto de comentário Char"/>
    <w:basedOn w:val="Fontepargpadro"/>
    <w:link w:val="Textodecomentrio"/>
    <w:uiPriority w:val="99"/>
    <w:semiHidden/>
    <w:rsid w:val="00747409"/>
    <w:rPr>
      <w:rFonts w:ascii="Microsoft Sans Serif" w:eastAsia="Microsoft Sans Serif" w:hAnsi="Microsoft Sans Serif" w:cs="Microsoft Sans Serif"/>
      <w:kern w:val="0"/>
      <w:sz w:val="20"/>
      <w:szCs w:val="20"/>
      <w:lang w:val="en-US"/>
      <w14:ligatures w14:val="none"/>
    </w:rPr>
  </w:style>
  <w:style w:type="paragraph" w:styleId="Assuntodocomentrio">
    <w:name w:val="annotation subject"/>
    <w:basedOn w:val="Textodecomentrio"/>
    <w:next w:val="Textodecomentrio"/>
    <w:link w:val="AssuntodocomentrioChar"/>
    <w:uiPriority w:val="99"/>
    <w:semiHidden/>
    <w:unhideWhenUsed/>
    <w:rsid w:val="00747409"/>
    <w:rPr>
      <w:b/>
      <w:bCs/>
    </w:rPr>
  </w:style>
  <w:style w:type="character" w:customStyle="1" w:styleId="AssuntodocomentrioChar">
    <w:name w:val="Assunto do comentário Char"/>
    <w:basedOn w:val="TextodecomentrioChar"/>
    <w:link w:val="Assuntodocomentrio"/>
    <w:uiPriority w:val="99"/>
    <w:semiHidden/>
    <w:rsid w:val="00747409"/>
    <w:rPr>
      <w:rFonts w:ascii="Microsoft Sans Serif" w:eastAsia="Microsoft Sans Serif" w:hAnsi="Microsoft Sans Serif" w:cs="Microsoft Sans Serif"/>
      <w:b/>
      <w:bCs/>
      <w:kern w:val="0"/>
      <w:sz w:val="20"/>
      <w:szCs w:val="20"/>
      <w:lang w:val="en-US"/>
      <w14:ligatures w14:val="none"/>
    </w:rPr>
  </w:style>
  <w:style w:type="paragraph" w:styleId="Reviso">
    <w:name w:val="Revision"/>
    <w:hidden/>
    <w:uiPriority w:val="99"/>
    <w:semiHidden/>
    <w:rsid w:val="00747409"/>
    <w:pPr>
      <w:spacing w:after="0" w:line="240" w:lineRule="auto"/>
    </w:pPr>
    <w:rPr>
      <w:rFonts w:ascii="Microsoft Sans Serif" w:eastAsia="Microsoft Sans Serif" w:hAnsi="Microsoft Sans Serif" w:cs="Microsoft Sans Serif"/>
      <w:kern w:val="0"/>
      <w:lang w:val="en-US"/>
      <w14:ligatures w14:val="none"/>
    </w:rPr>
  </w:style>
  <w:style w:type="character" w:customStyle="1" w:styleId="font-sans">
    <w:name w:val="font-sans"/>
    <w:basedOn w:val="Fontepargpadro"/>
    <w:rsid w:val="00747409"/>
  </w:style>
  <w:style w:type="paragraph" w:styleId="NormalWeb">
    <w:name w:val="Normal (Web)"/>
    <w:basedOn w:val="Normal"/>
    <w:uiPriority w:val="99"/>
    <w:unhideWhenUsed/>
    <w:rsid w:val="00747409"/>
    <w:pPr>
      <w:widowControl/>
      <w:autoSpaceDE/>
      <w:autoSpaceDN/>
      <w:spacing w:before="100" w:beforeAutospacing="1" w:after="100" w:afterAutospacing="1"/>
    </w:pPr>
    <w:rPr>
      <w:rFonts w:cs="Times New Roman"/>
      <w:sz w:val="24"/>
      <w:szCs w:val="24"/>
      <w:lang w:val="pt-BR" w:eastAsia="pt-BR"/>
    </w:rPr>
  </w:style>
  <w:style w:type="character" w:customStyle="1" w:styleId="katex-mathml">
    <w:name w:val="katex-mathml"/>
    <w:basedOn w:val="Fontepargpadro"/>
    <w:rsid w:val="00747409"/>
  </w:style>
  <w:style w:type="character" w:customStyle="1" w:styleId="mop">
    <w:name w:val="mop"/>
    <w:basedOn w:val="Fontepargpadro"/>
    <w:rsid w:val="00747409"/>
  </w:style>
  <w:style w:type="character" w:customStyle="1" w:styleId="mpunct">
    <w:name w:val="mpunct"/>
    <w:basedOn w:val="Fontepargpadro"/>
    <w:rsid w:val="00747409"/>
  </w:style>
  <w:style w:type="character" w:customStyle="1" w:styleId="hljs-number">
    <w:name w:val="hljs-number"/>
    <w:basedOn w:val="Fontepargpadro"/>
    <w:rsid w:val="00747409"/>
  </w:style>
  <w:style w:type="character" w:customStyle="1" w:styleId="minner">
    <w:name w:val="minner"/>
    <w:basedOn w:val="Fontepargpadro"/>
    <w:rsid w:val="00747409"/>
  </w:style>
  <w:style w:type="paragraph" w:styleId="Textodenotaderodap">
    <w:name w:val="footnote text"/>
    <w:basedOn w:val="Normal"/>
    <w:link w:val="TextodenotaderodapChar"/>
    <w:uiPriority w:val="99"/>
    <w:semiHidden/>
    <w:unhideWhenUsed/>
    <w:rsid w:val="00747409"/>
    <w:rPr>
      <w:szCs w:val="20"/>
    </w:rPr>
  </w:style>
  <w:style w:type="character" w:customStyle="1" w:styleId="TextodenotaderodapChar">
    <w:name w:val="Texto de nota de rodapé Char"/>
    <w:basedOn w:val="Fontepargpadro"/>
    <w:link w:val="Textodenotaderodap"/>
    <w:uiPriority w:val="99"/>
    <w:semiHidden/>
    <w:rsid w:val="00747409"/>
    <w:rPr>
      <w:rFonts w:ascii="Microsoft Sans Serif" w:eastAsia="Microsoft Sans Serif" w:hAnsi="Microsoft Sans Serif" w:cs="Microsoft Sans Serif"/>
      <w:kern w:val="0"/>
      <w:sz w:val="20"/>
      <w:szCs w:val="20"/>
      <w:lang w:val="en-US"/>
      <w14:ligatures w14:val="none"/>
    </w:rPr>
  </w:style>
  <w:style w:type="character" w:styleId="Refdenotaderodap">
    <w:name w:val="footnote reference"/>
    <w:basedOn w:val="Fontepargpadro"/>
    <w:uiPriority w:val="99"/>
    <w:unhideWhenUsed/>
    <w:rsid w:val="00747409"/>
    <w:rPr>
      <w:vertAlign w:val="superscript"/>
    </w:rPr>
  </w:style>
  <w:style w:type="paragraph" w:customStyle="1" w:styleId="FirstParagraph">
    <w:name w:val="First Paragraph"/>
    <w:basedOn w:val="Corpodetexto"/>
    <w:next w:val="Corpodetexto"/>
    <w:qFormat/>
    <w:rsid w:val="00747409"/>
    <w:pPr>
      <w:widowControl/>
      <w:autoSpaceDE/>
      <w:autoSpaceDN/>
      <w:spacing w:before="180" w:after="180"/>
      <w:ind w:left="0"/>
    </w:pPr>
    <w:rPr>
      <w:rFonts w:asciiTheme="minorHAnsi" w:eastAsiaTheme="minorHAnsi" w:hAnsiTheme="minorHAnsi" w:cstheme="minorBidi"/>
      <w:sz w:val="24"/>
      <w:szCs w:val="24"/>
    </w:rPr>
  </w:style>
  <w:style w:type="paragraph" w:customStyle="1" w:styleId="Compact">
    <w:name w:val="Compact"/>
    <w:basedOn w:val="Corpodetexto"/>
    <w:qFormat/>
    <w:rsid w:val="00747409"/>
    <w:pPr>
      <w:widowControl/>
      <w:autoSpaceDE/>
      <w:autoSpaceDN/>
      <w:spacing w:before="36" w:after="36"/>
      <w:ind w:left="0"/>
    </w:pPr>
    <w:rPr>
      <w:rFonts w:asciiTheme="minorHAnsi" w:eastAsiaTheme="minorHAnsi" w:hAnsiTheme="minorHAnsi" w:cstheme="minorBidi"/>
      <w:sz w:val="24"/>
      <w:szCs w:val="24"/>
    </w:rPr>
  </w:style>
  <w:style w:type="table" w:customStyle="1" w:styleId="Table">
    <w:name w:val="Table"/>
    <w:semiHidden/>
    <w:unhideWhenUsed/>
    <w:qFormat/>
    <w:rsid w:val="00747409"/>
    <w:pPr>
      <w:spacing w:after="200" w:line="240" w:lineRule="auto"/>
    </w:pPr>
    <w:rPr>
      <w:kern w:val="0"/>
      <w:sz w:val="24"/>
      <w:szCs w:val="24"/>
      <w:lang w:val="en-GB" w:eastAsia="pt-BR"/>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Cabealho">
    <w:name w:val="header"/>
    <w:basedOn w:val="Normal"/>
    <w:link w:val="CabealhoChar"/>
    <w:uiPriority w:val="99"/>
    <w:unhideWhenUsed/>
    <w:rsid w:val="00747409"/>
    <w:pPr>
      <w:tabs>
        <w:tab w:val="center" w:pos="4513"/>
        <w:tab w:val="right" w:pos="9026"/>
      </w:tabs>
    </w:pPr>
  </w:style>
  <w:style w:type="character" w:customStyle="1" w:styleId="CabealhoChar">
    <w:name w:val="Cabeçalho Char"/>
    <w:basedOn w:val="Fontepargpadro"/>
    <w:link w:val="Cabealho"/>
    <w:uiPriority w:val="99"/>
    <w:rsid w:val="00747409"/>
    <w:rPr>
      <w:rFonts w:ascii="Microsoft Sans Serif" w:eastAsia="Microsoft Sans Serif" w:hAnsi="Microsoft Sans Serif" w:cs="Microsoft Sans Serif"/>
      <w:kern w:val="0"/>
      <w:lang w:val="en-US"/>
      <w14:ligatures w14:val="none"/>
    </w:rPr>
  </w:style>
  <w:style w:type="paragraph" w:styleId="Rodap">
    <w:name w:val="footer"/>
    <w:basedOn w:val="Normal"/>
    <w:link w:val="RodapChar"/>
    <w:uiPriority w:val="99"/>
    <w:unhideWhenUsed/>
    <w:rsid w:val="00747409"/>
    <w:pPr>
      <w:tabs>
        <w:tab w:val="center" w:pos="4513"/>
        <w:tab w:val="right" w:pos="9026"/>
      </w:tabs>
    </w:pPr>
  </w:style>
  <w:style w:type="character" w:customStyle="1" w:styleId="RodapChar">
    <w:name w:val="Rodapé Char"/>
    <w:basedOn w:val="Fontepargpadro"/>
    <w:link w:val="Rodap"/>
    <w:uiPriority w:val="99"/>
    <w:rsid w:val="00747409"/>
    <w:rPr>
      <w:rFonts w:ascii="Microsoft Sans Serif" w:eastAsia="Microsoft Sans Serif" w:hAnsi="Microsoft Sans Serif" w:cs="Microsoft Sans Serif"/>
      <w:kern w:val="0"/>
      <w:lang w:val="en-US"/>
      <w14:ligatures w14:val="none"/>
    </w:rPr>
  </w:style>
  <w:style w:type="paragraph" w:styleId="Data">
    <w:name w:val="Date"/>
    <w:basedOn w:val="Normal"/>
    <w:next w:val="Normal"/>
    <w:link w:val="DataChar"/>
    <w:uiPriority w:val="99"/>
    <w:semiHidden/>
    <w:unhideWhenUsed/>
    <w:rsid w:val="00747409"/>
  </w:style>
  <w:style w:type="character" w:customStyle="1" w:styleId="DataChar">
    <w:name w:val="Data Char"/>
    <w:basedOn w:val="Fontepargpadro"/>
    <w:link w:val="Data"/>
    <w:uiPriority w:val="99"/>
    <w:semiHidden/>
    <w:rsid w:val="00747409"/>
    <w:rPr>
      <w:rFonts w:ascii="Microsoft Sans Serif" w:eastAsia="Microsoft Sans Serif" w:hAnsi="Microsoft Sans Serif" w:cs="Microsoft Sans Serif"/>
      <w:kern w:val="0"/>
      <w:lang w:val="en-US"/>
      <w14:ligatures w14:val="none"/>
    </w:rPr>
  </w:style>
  <w:style w:type="character" w:customStyle="1" w:styleId="vlist-s">
    <w:name w:val="vlist-s"/>
    <w:basedOn w:val="Fontepargpadro"/>
    <w:rsid w:val="00A763B0"/>
  </w:style>
  <w:style w:type="character" w:customStyle="1" w:styleId="mtight">
    <w:name w:val="mtight"/>
    <w:basedOn w:val="Fontepargpadro"/>
    <w:rsid w:val="00A763B0"/>
  </w:style>
  <w:style w:type="character" w:styleId="Refdenotadefim">
    <w:name w:val="endnote reference"/>
    <w:basedOn w:val="Fontepargpadro"/>
    <w:uiPriority w:val="99"/>
    <w:semiHidden/>
    <w:unhideWhenUsed/>
    <w:rsid w:val="00E91D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8EC9D1-1111-4575-B338-4241B06F7C92}">
  <we:reference id="f5112914-51aa-49ee-8046-d9cf4a21d5a3" version="2.129.3.0" store="EXCatalog" storeType="EXCatalog"/>
  <we:alternateReferences>
    <we:reference id="WA200001361" version="2.129.3.0" store="pt-BR" storeType="OMEX"/>
  </we:alternateReferences>
  <we:properties>
    <we:property name="paperpal-document-id" value="&quot;a005697d-c8bd-44b8-ba01-cadaf22b18e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79500-E105-496E-AF85-90C83040E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1988</TotalTime>
  <Pages>34</Pages>
  <Words>36429</Words>
  <Characters>196720</Characters>
  <Application>Microsoft Office Word</Application>
  <DocSecurity>0</DocSecurity>
  <Lines>1639</Lines>
  <Paragraphs>465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Ricardo;Bo.Chen@wbs.ac.uk</dc:creator>
  <cp:keywords/>
  <dc:description/>
  <cp:lastModifiedBy>Ricardo</cp:lastModifiedBy>
  <cp:revision>349</cp:revision>
  <cp:lastPrinted>2026-01-30T23:52:00Z</cp:lastPrinted>
  <dcterms:created xsi:type="dcterms:W3CDTF">2025-12-26T01:18:00Z</dcterms:created>
  <dcterms:modified xsi:type="dcterms:W3CDTF">2026-04-07T14:34:00Z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2025-11-09T01:00:15Z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d6862db0-944f-47f4-a174-2d34f9364f41</vt:lpwstr>
  </property>
  <property fmtid="{D5CDD505-2E9C-101B-9397-08002B2CF9AE}" pid="7" name="MSIP_Label_defa4170-0d19-0005-0004-bc88714345d2_ActionId">
    <vt:lpwstr>7dd169a7-5d7e-420a-98b3-098e9d03181b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GrammarlyDocumentId">
    <vt:lpwstr>b262c72d-dc49-4591-bcc9-f5ca9447f75f</vt:lpwstr>
  </property>
  <property fmtid="{D5CDD505-2E9C-101B-9397-08002B2CF9AE}" pid="11" name="ZOTERO_PREF_1">
    <vt:lpwstr>&lt;data data-version="3" zotero-version="7.0.32"&gt;&lt;session id="baO5HxER"/&gt;&lt;style id="http://www.zotero.org/styles/elsevier-harvard" hasBibliography="1" bibliographyStyleHasBeenSet="1"/&gt;&lt;prefs&gt;&lt;pref name="fieldType" value="Field"/&gt;&lt;pref name="automaticJournal</vt:lpwstr>
  </property>
  <property fmtid="{D5CDD505-2E9C-101B-9397-08002B2CF9AE}" pid="12" name="ZOTERO_PREF_2">
    <vt:lpwstr>Abbreviations" value="true"/&gt;&lt;/prefs&gt;&lt;/data&gt;</vt:lpwstr>
  </property>
</Properties>
</file>