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71D9" w14:textId="77777777" w:rsidR="00065309" w:rsidRPr="00A70916" w:rsidRDefault="00D828F7" w:rsidP="00B21125">
      <w:pPr>
        <w:pStyle w:val="Corpodetexto"/>
        <w:ind w:left="-142" w:right="14"/>
        <w:jc w:val="center"/>
        <w:rPr>
          <w:rFonts w:ascii="Times New Roman" w:eastAsiaTheme="majorEastAsia" w:hAnsi="Times New Roman" w:cs="Times New Roman"/>
          <w:b/>
          <w:bCs/>
          <w:color w:val="000000" w:themeColor="text1"/>
          <w:spacing w:val="-2"/>
          <w:sz w:val="32"/>
          <w:szCs w:val="32"/>
        </w:rPr>
      </w:pPr>
      <w:r w:rsidRPr="00D828F7">
        <w:rPr>
          <w:rFonts w:ascii="Times New Roman" w:eastAsiaTheme="majorEastAsia" w:hAnsi="Times New Roman" w:cs="Times New Roman"/>
          <w:b/>
          <w:bCs/>
          <w:color w:val="000000" w:themeColor="text1"/>
          <w:spacing w:val="-2"/>
          <w:sz w:val="32"/>
          <w:szCs w:val="32"/>
        </w:rPr>
        <w:t xml:space="preserve">Economic </w:t>
      </w:r>
      <w:r>
        <w:rPr>
          <w:rFonts w:ascii="Times New Roman" w:eastAsiaTheme="majorEastAsia" w:hAnsi="Times New Roman" w:cs="Times New Roman"/>
          <w:b/>
          <w:bCs/>
          <w:color w:val="000000" w:themeColor="text1"/>
          <w:spacing w:val="-2"/>
          <w:sz w:val="32"/>
          <w:szCs w:val="32"/>
        </w:rPr>
        <w:t>E</w:t>
      </w:r>
      <w:r w:rsidRPr="00D828F7">
        <w:rPr>
          <w:rFonts w:ascii="Times New Roman" w:eastAsiaTheme="majorEastAsia" w:hAnsi="Times New Roman" w:cs="Times New Roman"/>
          <w:b/>
          <w:bCs/>
          <w:color w:val="000000" w:themeColor="text1"/>
          <w:spacing w:val="-2"/>
          <w:sz w:val="32"/>
          <w:szCs w:val="32"/>
        </w:rPr>
        <w:t xml:space="preserve">valuation of </w:t>
      </w:r>
      <w:r>
        <w:rPr>
          <w:rFonts w:ascii="Times New Roman" w:eastAsiaTheme="majorEastAsia" w:hAnsi="Times New Roman" w:cs="Times New Roman"/>
          <w:b/>
          <w:bCs/>
          <w:color w:val="000000" w:themeColor="text1"/>
          <w:spacing w:val="-2"/>
          <w:sz w:val="32"/>
          <w:szCs w:val="32"/>
        </w:rPr>
        <w:t>H</w:t>
      </w:r>
      <w:r w:rsidRPr="00D828F7">
        <w:rPr>
          <w:rFonts w:ascii="Times New Roman" w:eastAsiaTheme="majorEastAsia" w:hAnsi="Times New Roman" w:cs="Times New Roman"/>
          <w:b/>
          <w:bCs/>
          <w:color w:val="000000" w:themeColor="text1"/>
          <w:spacing w:val="-2"/>
          <w:sz w:val="32"/>
          <w:szCs w:val="32"/>
        </w:rPr>
        <w:t xml:space="preserve">ybrid AI and </w:t>
      </w:r>
      <w:r>
        <w:rPr>
          <w:rFonts w:ascii="Times New Roman" w:eastAsiaTheme="majorEastAsia" w:hAnsi="Times New Roman" w:cs="Times New Roman"/>
          <w:b/>
          <w:bCs/>
          <w:color w:val="000000" w:themeColor="text1"/>
          <w:spacing w:val="-2"/>
          <w:sz w:val="32"/>
          <w:szCs w:val="32"/>
        </w:rPr>
        <w:t>C</w:t>
      </w:r>
      <w:r w:rsidRPr="00D828F7">
        <w:rPr>
          <w:rFonts w:ascii="Times New Roman" w:eastAsiaTheme="majorEastAsia" w:hAnsi="Times New Roman" w:cs="Times New Roman"/>
          <w:b/>
          <w:bCs/>
          <w:color w:val="000000" w:themeColor="text1"/>
          <w:spacing w:val="-2"/>
          <w:sz w:val="32"/>
          <w:szCs w:val="32"/>
        </w:rPr>
        <w:t xml:space="preserve">lassical </w:t>
      </w:r>
      <w:r>
        <w:rPr>
          <w:rFonts w:ascii="Times New Roman" w:eastAsiaTheme="majorEastAsia" w:hAnsi="Times New Roman" w:cs="Times New Roman"/>
          <w:b/>
          <w:bCs/>
          <w:color w:val="000000" w:themeColor="text1"/>
          <w:spacing w:val="-2"/>
          <w:sz w:val="32"/>
          <w:szCs w:val="32"/>
        </w:rPr>
        <w:t>I</w:t>
      </w:r>
      <w:r w:rsidRPr="00D828F7">
        <w:rPr>
          <w:rFonts w:ascii="Times New Roman" w:eastAsiaTheme="majorEastAsia" w:hAnsi="Times New Roman" w:cs="Times New Roman"/>
          <w:b/>
          <w:bCs/>
          <w:color w:val="000000" w:themeColor="text1"/>
          <w:spacing w:val="-2"/>
          <w:sz w:val="32"/>
          <w:szCs w:val="32"/>
        </w:rPr>
        <w:t xml:space="preserve">nventory </w:t>
      </w:r>
      <w:r>
        <w:rPr>
          <w:rFonts w:ascii="Times New Roman" w:eastAsiaTheme="majorEastAsia" w:hAnsi="Times New Roman" w:cs="Times New Roman"/>
          <w:b/>
          <w:bCs/>
          <w:color w:val="000000" w:themeColor="text1"/>
          <w:spacing w:val="-2"/>
          <w:sz w:val="32"/>
          <w:szCs w:val="32"/>
        </w:rPr>
        <w:t>P</w:t>
      </w:r>
      <w:r w:rsidRPr="00D828F7">
        <w:rPr>
          <w:rFonts w:ascii="Times New Roman" w:eastAsiaTheme="majorEastAsia" w:hAnsi="Times New Roman" w:cs="Times New Roman"/>
          <w:b/>
          <w:bCs/>
          <w:color w:val="000000" w:themeColor="text1"/>
          <w:spacing w:val="-2"/>
          <w:sz w:val="32"/>
          <w:szCs w:val="32"/>
        </w:rPr>
        <w:t xml:space="preserve">olicies </w:t>
      </w:r>
      <w:r w:rsidR="00B21125">
        <w:rPr>
          <w:rFonts w:ascii="Times New Roman" w:eastAsiaTheme="majorEastAsia" w:hAnsi="Times New Roman" w:cs="Times New Roman"/>
          <w:b/>
          <w:bCs/>
          <w:color w:val="000000" w:themeColor="text1"/>
          <w:spacing w:val="-2"/>
          <w:sz w:val="32"/>
          <w:szCs w:val="32"/>
        </w:rPr>
        <w:t>i</w:t>
      </w:r>
      <w:r w:rsidRPr="00D828F7">
        <w:rPr>
          <w:rFonts w:ascii="Times New Roman" w:eastAsiaTheme="majorEastAsia" w:hAnsi="Times New Roman" w:cs="Times New Roman"/>
          <w:b/>
          <w:bCs/>
          <w:color w:val="000000" w:themeColor="text1"/>
          <w:spacing w:val="-2"/>
          <w:sz w:val="32"/>
          <w:szCs w:val="32"/>
        </w:rPr>
        <w:t xml:space="preserve">n a </w:t>
      </w:r>
      <w:r>
        <w:rPr>
          <w:rFonts w:ascii="Times New Roman" w:eastAsiaTheme="majorEastAsia" w:hAnsi="Times New Roman" w:cs="Times New Roman"/>
          <w:b/>
          <w:bCs/>
          <w:color w:val="000000" w:themeColor="text1"/>
          <w:spacing w:val="-2"/>
          <w:sz w:val="32"/>
          <w:szCs w:val="32"/>
        </w:rPr>
        <w:t>H</w:t>
      </w:r>
      <w:r w:rsidRPr="00D828F7">
        <w:rPr>
          <w:rFonts w:ascii="Times New Roman" w:eastAsiaTheme="majorEastAsia" w:hAnsi="Times New Roman" w:cs="Times New Roman"/>
          <w:b/>
          <w:bCs/>
          <w:color w:val="000000" w:themeColor="text1"/>
          <w:spacing w:val="-2"/>
          <w:sz w:val="32"/>
          <w:szCs w:val="32"/>
        </w:rPr>
        <w:t xml:space="preserve">ealthcare </w:t>
      </w:r>
      <w:r>
        <w:rPr>
          <w:rFonts w:ascii="Times New Roman" w:eastAsiaTheme="majorEastAsia" w:hAnsi="Times New Roman" w:cs="Times New Roman"/>
          <w:b/>
          <w:bCs/>
          <w:color w:val="000000" w:themeColor="text1"/>
          <w:spacing w:val="-2"/>
          <w:sz w:val="32"/>
          <w:szCs w:val="32"/>
        </w:rPr>
        <w:t>S</w:t>
      </w:r>
      <w:r w:rsidRPr="00D828F7">
        <w:rPr>
          <w:rFonts w:ascii="Times New Roman" w:eastAsiaTheme="majorEastAsia" w:hAnsi="Times New Roman" w:cs="Times New Roman"/>
          <w:b/>
          <w:bCs/>
          <w:color w:val="000000" w:themeColor="text1"/>
          <w:spacing w:val="-2"/>
          <w:sz w:val="32"/>
          <w:szCs w:val="32"/>
        </w:rPr>
        <w:t xml:space="preserve">upply </w:t>
      </w:r>
      <w:r>
        <w:rPr>
          <w:rFonts w:ascii="Times New Roman" w:eastAsiaTheme="majorEastAsia" w:hAnsi="Times New Roman" w:cs="Times New Roman"/>
          <w:b/>
          <w:bCs/>
          <w:color w:val="000000" w:themeColor="text1"/>
          <w:spacing w:val="-2"/>
          <w:sz w:val="32"/>
          <w:szCs w:val="32"/>
        </w:rPr>
        <w:t>C</w:t>
      </w:r>
      <w:r w:rsidRPr="00D828F7">
        <w:rPr>
          <w:rFonts w:ascii="Times New Roman" w:eastAsiaTheme="majorEastAsia" w:hAnsi="Times New Roman" w:cs="Times New Roman"/>
          <w:b/>
          <w:bCs/>
          <w:color w:val="000000" w:themeColor="text1"/>
          <w:spacing w:val="-2"/>
          <w:sz w:val="32"/>
          <w:szCs w:val="32"/>
        </w:rPr>
        <w:t>hain</w:t>
      </w:r>
    </w:p>
    <w:p w14:paraId="5DFF654D" w14:textId="77777777" w:rsidR="00065309" w:rsidRPr="00A70916" w:rsidRDefault="00065309" w:rsidP="00065309">
      <w:pPr>
        <w:pStyle w:val="Corpodetexto"/>
        <w:ind w:left="-142" w:right="14"/>
        <w:jc w:val="both"/>
        <w:rPr>
          <w:rFonts w:ascii="Times New Roman" w:eastAsiaTheme="majorEastAsia" w:hAnsi="Times New Roman" w:cs="Times New Roman"/>
          <w:b/>
          <w:bCs/>
          <w:color w:val="000000" w:themeColor="text1"/>
          <w:spacing w:val="-2"/>
          <w:sz w:val="22"/>
          <w:szCs w:val="22"/>
        </w:rPr>
      </w:pPr>
    </w:p>
    <w:p w14:paraId="29DE2227" w14:textId="77777777" w:rsidR="006C2556" w:rsidRPr="007A0141" w:rsidRDefault="006C2556" w:rsidP="006C2556">
      <w:pPr>
        <w:pStyle w:val="Corpodetexto"/>
        <w:ind w:left="708" w:right="14"/>
        <w:jc w:val="both"/>
        <w:rPr>
          <w:rFonts w:ascii="Times New Roman" w:eastAsiaTheme="majorEastAsia" w:hAnsi="Times New Roman" w:cs="Times New Roman"/>
          <w:color w:val="000000" w:themeColor="text1"/>
          <w:spacing w:val="-2"/>
          <w:sz w:val="22"/>
          <w:szCs w:val="22"/>
          <w:lang w:val="pt-BR"/>
        </w:rPr>
      </w:pPr>
      <w:r w:rsidRPr="007A0141">
        <w:rPr>
          <w:rFonts w:ascii="Times New Roman" w:eastAsiaTheme="majorEastAsia" w:hAnsi="Times New Roman" w:cs="Times New Roman"/>
          <w:color w:val="000000" w:themeColor="text1"/>
          <w:spacing w:val="-2"/>
          <w:sz w:val="22"/>
          <w:szCs w:val="22"/>
          <w:lang w:val="pt-BR"/>
        </w:rPr>
        <w:t>Ricardo Coutinho Mello</w:t>
      </w:r>
      <w:r w:rsidRPr="00E91D70">
        <w:rPr>
          <w:rStyle w:val="Refdenotaderodap"/>
        </w:rPr>
        <w:footnoteReference w:id="1"/>
      </w:r>
      <w:r w:rsidRPr="007A0141">
        <w:rPr>
          <w:rFonts w:ascii="Times New Roman" w:eastAsiaTheme="majorEastAsia" w:hAnsi="Times New Roman" w:cs="Times New Roman"/>
          <w:color w:val="000000" w:themeColor="text1"/>
          <w:spacing w:val="-2"/>
          <w:sz w:val="22"/>
          <w:szCs w:val="22"/>
          <w:lang w:val="pt-BR"/>
        </w:rPr>
        <w:t xml:space="preserve"> </w:t>
      </w:r>
      <w:r w:rsidRPr="007A0141">
        <w:rPr>
          <w:rFonts w:ascii="Times New Roman" w:eastAsiaTheme="majorEastAsia" w:hAnsi="Times New Roman" w:cs="Times New Roman"/>
          <w:color w:val="000000" w:themeColor="text1"/>
          <w:spacing w:val="-2"/>
          <w:sz w:val="22"/>
          <w:szCs w:val="22"/>
          <w:lang w:val="pt-BR"/>
        </w:rPr>
        <w:tab/>
      </w:r>
      <w:r w:rsidRPr="007A0141">
        <w:rPr>
          <w:rFonts w:ascii="Times New Roman" w:eastAsiaTheme="majorEastAsia" w:hAnsi="Times New Roman" w:cs="Times New Roman"/>
          <w:color w:val="000000" w:themeColor="text1"/>
          <w:spacing w:val="-2"/>
          <w:sz w:val="22"/>
          <w:szCs w:val="22"/>
          <w:lang w:val="pt-BR"/>
        </w:rPr>
        <w:tab/>
        <w:t>Bo Chen</w:t>
      </w:r>
      <w:r w:rsidRPr="00E91D70">
        <w:rPr>
          <w:rStyle w:val="Refdenotaderodap"/>
        </w:rPr>
        <w:footnoteReference w:id="2"/>
      </w:r>
      <w:r w:rsidRPr="007A0141">
        <w:rPr>
          <w:rFonts w:ascii="Times New Roman" w:eastAsiaTheme="majorEastAsia" w:hAnsi="Times New Roman" w:cs="Times New Roman"/>
          <w:color w:val="000000" w:themeColor="text1"/>
          <w:spacing w:val="-2"/>
          <w:sz w:val="22"/>
          <w:szCs w:val="22"/>
          <w:lang w:val="pt-BR"/>
        </w:rPr>
        <w:t xml:space="preserve"> </w:t>
      </w:r>
      <w:r w:rsidRPr="007A0141">
        <w:rPr>
          <w:rFonts w:ascii="Times New Roman" w:eastAsiaTheme="majorEastAsia" w:hAnsi="Times New Roman" w:cs="Times New Roman"/>
          <w:color w:val="000000" w:themeColor="text1"/>
          <w:spacing w:val="-2"/>
          <w:sz w:val="22"/>
          <w:szCs w:val="22"/>
          <w:lang w:val="pt-BR"/>
        </w:rPr>
        <w:tab/>
      </w:r>
      <w:r w:rsidRPr="007A0141">
        <w:rPr>
          <w:rFonts w:ascii="Times New Roman" w:eastAsiaTheme="majorEastAsia" w:hAnsi="Times New Roman" w:cs="Times New Roman"/>
          <w:color w:val="000000" w:themeColor="text1"/>
          <w:spacing w:val="-2"/>
          <w:sz w:val="22"/>
          <w:szCs w:val="22"/>
          <w:lang w:val="pt-BR"/>
        </w:rPr>
        <w:tab/>
        <w:t>Felipe Schuler Fernandes</w:t>
      </w:r>
      <w:r w:rsidRPr="00E91D70">
        <w:rPr>
          <w:rStyle w:val="Refdenotaderodap"/>
        </w:rPr>
        <w:footnoteReference w:id="3"/>
      </w:r>
      <w:r w:rsidRPr="007A0141">
        <w:rPr>
          <w:rFonts w:ascii="Times New Roman" w:eastAsiaTheme="majorEastAsia" w:hAnsi="Times New Roman" w:cs="Times New Roman"/>
          <w:color w:val="000000" w:themeColor="text1"/>
          <w:spacing w:val="-2"/>
          <w:sz w:val="22"/>
          <w:szCs w:val="22"/>
          <w:lang w:val="pt-BR"/>
        </w:rPr>
        <w:t xml:space="preserve"> </w:t>
      </w:r>
    </w:p>
    <w:p w14:paraId="49D0EA37" w14:textId="77777777" w:rsidR="006C2556" w:rsidRDefault="006C2556" w:rsidP="006C2556">
      <w:pPr>
        <w:pStyle w:val="Corpodetexto"/>
        <w:ind w:left="708" w:right="14"/>
        <w:jc w:val="both"/>
        <w:rPr>
          <w:rFonts w:ascii="Times New Roman" w:eastAsiaTheme="majorEastAsia" w:hAnsi="Times New Roman" w:cs="Times New Roman"/>
          <w:b/>
          <w:bCs/>
          <w:color w:val="000000" w:themeColor="text1"/>
          <w:spacing w:val="-2"/>
          <w:sz w:val="22"/>
          <w:szCs w:val="22"/>
          <w:lang w:val="pt-BR"/>
        </w:rPr>
      </w:pPr>
      <w:r>
        <w:rPr>
          <w:rFonts w:ascii="Times New Roman" w:eastAsiaTheme="majorEastAsia" w:hAnsi="Times New Roman" w:cs="Times New Roman"/>
          <w:color w:val="000000" w:themeColor="text1"/>
          <w:spacing w:val="-2"/>
          <w:sz w:val="22"/>
          <w:szCs w:val="22"/>
          <w:lang w:val="pt-BR"/>
        </w:rPr>
        <w:t>Daniela Barreiro Claro</w:t>
      </w:r>
      <w:r w:rsidRPr="00E91D70">
        <w:rPr>
          <w:rStyle w:val="Refdenotaderodap"/>
        </w:rPr>
        <w:footnoteReference w:id="4"/>
      </w:r>
      <w:r>
        <w:rPr>
          <w:rFonts w:ascii="Times New Roman" w:eastAsiaTheme="majorEastAsia" w:hAnsi="Times New Roman" w:cs="Times New Roman"/>
          <w:color w:val="000000" w:themeColor="text1"/>
          <w:spacing w:val="-2"/>
          <w:sz w:val="22"/>
          <w:szCs w:val="22"/>
          <w:lang w:val="pt-BR"/>
        </w:rPr>
        <w:tab/>
      </w:r>
      <w:r>
        <w:rPr>
          <w:rFonts w:ascii="Times New Roman" w:eastAsiaTheme="majorEastAsia" w:hAnsi="Times New Roman" w:cs="Times New Roman"/>
          <w:color w:val="000000" w:themeColor="text1"/>
          <w:spacing w:val="-2"/>
          <w:sz w:val="22"/>
          <w:szCs w:val="22"/>
          <w:lang w:val="pt-BR"/>
        </w:rPr>
        <w:tab/>
        <w:t>Antônio Sérgio Araújo Fernandes</w:t>
      </w:r>
      <w:r w:rsidRPr="00E91D70">
        <w:rPr>
          <w:rStyle w:val="Refdenotaderodap"/>
        </w:rPr>
        <w:footnoteReference w:id="5"/>
      </w:r>
      <w:r>
        <w:rPr>
          <w:rFonts w:ascii="Times New Roman" w:eastAsiaTheme="majorEastAsia" w:hAnsi="Times New Roman" w:cs="Times New Roman"/>
          <w:color w:val="000000" w:themeColor="text1"/>
          <w:spacing w:val="-2"/>
          <w:sz w:val="22"/>
          <w:szCs w:val="22"/>
          <w:lang w:val="pt-BR"/>
        </w:rPr>
        <w:t xml:space="preserve"> </w:t>
      </w:r>
      <w:r>
        <w:rPr>
          <w:rFonts w:ascii="Times New Roman" w:eastAsiaTheme="majorEastAsia" w:hAnsi="Times New Roman" w:cs="Times New Roman"/>
          <w:color w:val="000000" w:themeColor="text1"/>
          <w:spacing w:val="-2"/>
          <w:sz w:val="22"/>
          <w:szCs w:val="22"/>
          <w:lang w:val="pt-BR"/>
        </w:rPr>
        <w:tab/>
        <w:t>Rodrigo Ladeira</w:t>
      </w:r>
      <w:r w:rsidRPr="00E91D70">
        <w:rPr>
          <w:rStyle w:val="Refdenotaderodap"/>
        </w:rPr>
        <w:footnoteReference w:id="6"/>
      </w:r>
    </w:p>
    <w:p w14:paraId="6EB614B9" w14:textId="77777777" w:rsidR="00EC2EF2" w:rsidRDefault="00CB0AF5" w:rsidP="00EC2EF2">
      <w:pPr>
        <w:pStyle w:val="Ttulo1"/>
        <w:ind w:left="360" w:hanging="360"/>
      </w:pPr>
      <w:r>
        <w:t xml:space="preserve">Abstract </w:t>
      </w:r>
    </w:p>
    <w:p w14:paraId="5A45E7C1" w14:textId="77777777" w:rsidR="00CB0AF5" w:rsidRPr="00EC2EF2" w:rsidRDefault="00CB0AF5" w:rsidP="00EC2EF2">
      <w:pPr>
        <w:pStyle w:val="text-base"/>
        <w:jc w:val="both"/>
        <w:rPr>
          <w:lang w:val="en-US"/>
        </w:rPr>
      </w:pPr>
      <w:r>
        <w:t>This study benchmarks a hybrid AI inventory architecture (forecasting via LSTM+RF combined with Double Q-learning) against classical baselines under four stress-tested demand regimes (Stable, High Volatility, Supply Disruption, Seasonal Surge) and two decision horizons (90/180 days). We run paired Monte Carlo replications with common random numbers, compare policies via Wilcoxon signed-rank tests with Holm correction, and report uncertainty via bootstrap confidence intervals (B = 1,000 resamples). Results indicate a regime-dependent pattern: the hybrid AI policy reduces total cost under Stable demand, is broadly comparable to tuned classical controls under High Volatility, and exhibits catastrophic service collapse under Supply Disruption when trained and evaluated without safety constraints (near-zero fill rates and sharply increased total costs). These findings support a managerial message that emphasizes risk management: hybrid AI can reduce costs in nominal regimes within the evaluated design, but healthcare deployments call for guardrails (e.g., service-level floors or safe fallback rules) to prevent unacceptable outcomes under disruption. The study is exploratory and has limited statistical power (≈45%) for medium effects; it primarily detects large regime-level differences.</w:t>
      </w:r>
    </w:p>
    <w:p w14:paraId="46D8BC57" w14:textId="77777777" w:rsidR="00CB0AF5" w:rsidRPr="002875A0" w:rsidRDefault="00CB0AF5" w:rsidP="002875A0">
      <w:pPr>
        <w:pStyle w:val="Ttulo1"/>
        <w:numPr>
          <w:ilvl w:val="0"/>
          <w:numId w:val="32"/>
        </w:numPr>
      </w:pPr>
      <w:r w:rsidRPr="002875A0">
        <w:t>Introduction</w:t>
      </w:r>
    </w:p>
    <w:p w14:paraId="03BE3EA9" w14:textId="77777777" w:rsidR="00D019A7" w:rsidRPr="00D019A7" w:rsidRDefault="00D019A7" w:rsidP="00D019A7">
      <w:pPr>
        <w:pStyle w:val="text-base"/>
        <w:jc w:val="both"/>
        <w:rPr>
          <w:color w:val="000000" w:themeColor="text1"/>
          <w:lang w:val="en-US"/>
        </w:rPr>
      </w:pPr>
      <w:r w:rsidRPr="00FD0529">
        <w:rPr>
          <w:lang w:val="en-US"/>
        </w:rPr>
        <w:t xml:space="preserve">Inventory control under uncertain demand and supply disruption challenges low-data, resource-constrained networks, including public healthcare systems and humanitarian </w:t>
      </w:r>
      <w:r w:rsidR="007F1AE0">
        <w:rPr>
          <w:lang w:val="en-US"/>
        </w:rPr>
        <w:fldChar w:fldCharType="begin"/>
      </w:r>
      <w:r w:rsidR="007F1AE0">
        <w:rPr>
          <w:lang w:val="en-US"/>
        </w:rPr>
        <w:instrText xml:space="preserve"> ADDIN ZOTERO_ITEM CSL_CITATION {"citationID":"RX5a53Pc","properties":{"formattedCitation":"(Fan et al., 2024; Khan et al., 2024)","plainCitation":"(Fan et al., 2024; Khan et al., 2024)","noteIndex":0},"citationItems":[{"id":3275,"uris":["http://zotero.org/users/12903205/items/2WEUK6NZ"],"itemData":{"id":3275,"type":"article","abstract":"The rapid advancement of artificial intelligence (AI) techniques has opened up new opportunities to revolutionize various fields, including operations research (OR). This survey paper explores the integration of AI within the OR process (AI4OR) to enhance its effectiveness and efficiency across multiple stages, such as parameter generation, model formulation, and model optimization. By providing a comprehensive overview of the state-of-the-art and examining the potential of AI to transform OR, this paper aims to inspire further research and innovation in the development of AI-enhanced OR methods and tools. The synergy between AI and OR is poised to drive significant advancements and novel solutions in a multitude of domains, ultimately leading to more effective and efficient decision-making.","DOI":"10.48550/ARXIV.2401.03244","license":"arXiv.org perpetual, non-exclusive license","note":"version: 2","publisher":"arXiv","source":"DOI.org (Datacite)","title":"Artificial Intelligence for Operations Research: Revolutionizing the Operations Research Process","title-short":"Artificial Intelligence for Operations Research","URL":"https://arxiv.org/abs/2401.03244","author":[{"family":"Fan","given":"Zhenan"},{"family":"Ghaddar","given":"Bissan"},{"family":"Wang","given":"Xinglu"},{"family":"Xing","given":"Linzi"},{"family":"Zhang","given":"Yong"},{"family":"Zhou","given":"Zirui"}],"accessed":{"date-parts":[["2025",9,14]]},"issued":{"date-parts":[["2024"]]}},"label":"page"},{"id":3435,"uris":["http://zotero.org/users/12903205/items/2HR4DM76"],"itemData":{"id":3435,"type":"article-journal","container-title":"Journal of Computer Science and Technology Studies","DOI":"10.32996/jcsts.2024.6.5.8","ISSN":"2709-104X","issue":"5","page":"85–93","title":"AI in Healthcare Supply Chain Management: Enhancing Efficiency and Reducing Costs with Predictive Analytics","volume":"6","author":[{"family":"Khan","given":"Fardin Sabahat"},{"family":"Masum","given":"Abdullah Al"},{"family":"Adam","given":"Jamaldeen"},{"family":"Karim","given":"Md Rashidul"},{"family":"Afrin","given":"Sadia"}],"issued":{"date-parts":[["2024",11,18]]}},"label":"page"}],"schema":"https://github.com/citation-style-language/schema/raw/master/csl-citation.json"} </w:instrText>
      </w:r>
      <w:r w:rsidR="007F1AE0">
        <w:rPr>
          <w:lang w:val="en-US"/>
        </w:rPr>
        <w:fldChar w:fldCharType="separate"/>
      </w:r>
      <w:r w:rsidR="007F1AE0" w:rsidRPr="007F1AE0">
        <w:rPr>
          <w:lang w:val="en-US"/>
        </w:rPr>
        <w:t>(Fan et al., 2024; Khan et al., 2024)</w:t>
      </w:r>
      <w:r w:rsidR="007F1AE0">
        <w:rPr>
          <w:lang w:val="en-US"/>
        </w:rPr>
        <w:fldChar w:fldCharType="end"/>
      </w:r>
      <w:r w:rsidRPr="00FD0529">
        <w:rPr>
          <w:lang w:val="en-US"/>
        </w:rPr>
        <w:t xml:space="preserve">. Managers face a cost–service trade-off because higher safety stock reduces lost sales but increases holding and ordering costs </w:t>
      </w:r>
      <w:r w:rsidR="007F1AE0">
        <w:rPr>
          <w:lang w:val="en-US"/>
        </w:rPr>
        <w:fldChar w:fldCharType="begin"/>
      </w:r>
      <w:r w:rsidR="007F1AE0">
        <w:rPr>
          <w:lang w:val="en-US"/>
        </w:rPr>
        <w:instrText xml:space="preserve"> ADDIN ZOTERO_ITEM CSL_CITATION {"citationID":"bRQ5mgLi","properties":{"formattedCitation":"(Stranieri et al., 2024; Ye et al., 2022)","plainCitation":"(Stranieri et al., 2024; Ye et al., 2022)","noteIndex":0},"citationItems":[{"id":3483,"uris":["http://zotero.org/users/12903205/items/EGMTTSVU"],"itemData":{"id":3483,"type":"article-journal","container-title":"International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label":"page"},{"id":3507,"uris":["http://zotero.org/users/12903205/items/R3859PQS"],"itemData":{"id":3507,"type":"article-journal","container-title":"European Journal of Operational Research","DOI":"10.1016/j.ejor.2022.02.033","ISSN":"03772217","issue":"1","journalAbbreviation":"European Journal of Operational Research","language":"en","page":"255-272","source":"DOI.org (Crossref)","title":"An empirical Bayes approach to incorporating demand intermittency and irregularity into inventory control","volume":"303","author":[{"family":"Ye","given":"Yuan"},{"family":"Lu","given":"Yonggang"},{"family":"Robinson","given":"Powell"},{"family":"Narayanan","given":"Arunachalam"}],"issued":{"date-parts":[["2022",11]]}},"label":"page"}],"schema":"https://github.com/citation-style-language/schema/raw/master/csl-citation.json"} </w:instrText>
      </w:r>
      <w:r w:rsidR="007F1AE0">
        <w:rPr>
          <w:lang w:val="en-US"/>
        </w:rPr>
        <w:fldChar w:fldCharType="separate"/>
      </w:r>
      <w:r w:rsidR="007F1AE0" w:rsidRPr="007F1AE0">
        <w:rPr>
          <w:lang w:val="en-US"/>
        </w:rPr>
        <w:t>(Stranieri et al., 2024; Ye et al., 2022)</w:t>
      </w:r>
      <w:r w:rsidR="007F1AE0">
        <w:rPr>
          <w:lang w:val="en-US"/>
        </w:rPr>
        <w:fldChar w:fldCharType="end"/>
      </w:r>
      <w:r w:rsidRPr="00FD0529">
        <w:rPr>
          <w:lang w:val="en-US"/>
        </w:rPr>
        <w:t>. Small historical panels (12–24 months) limit forecast quality and complicate parameter tuning. Classical base-stock and reactive controls remain analytically grounded, yet practitioners lack empirical evidence on when learning-based controllers justify their training and governance burden</w:t>
      </w:r>
      <w:r w:rsidR="00891526">
        <w:rPr>
          <w:lang w:val="en-US"/>
        </w:rPr>
        <w:t xml:space="preserve"> </w:t>
      </w:r>
      <w:r w:rsidR="00891526">
        <w:rPr>
          <w:lang w:val="en-US"/>
        </w:rPr>
        <w:fldChar w:fldCharType="begin"/>
      </w:r>
      <w:r w:rsidR="00891526">
        <w:rPr>
          <w:lang w:val="en-US"/>
        </w:rPr>
        <w:instrText xml:space="preserve"> ADDIN ZOTERO_ITEM CSL_CITATION {"citationID":"nLFhDMlY","properties":{"formattedCitation":"(Batsis and Samothrakis, 2024)","plainCitation":"(Batsis and Samothrakis, 2024)","noteIndex":0},"citationItems":[{"id":3539,"uris":["http://zotero.org/users/12903205/items/Q45RT23U"],"itemData":{"id":3539,"type":"article-journal","container-title":"Expert Systems with Applications","DOI":"10.1016/j.eswa.2024.123541","ISSN":"09574174","journalAbbreviation":"Expert Systems with Applications","language":"en","page":"123541","source":"DOI.org (Crossref)","title":"Contextual reinforcement learning for supply chain management","volume":"249","author":[{"family":"Batsis","given":"Alex"},{"family":"Samothrakis","given":"Spyridon"}],"issued":{"date-parts":[["2024",9]]}}}],"schema":"https://github.com/citation-style-language/schema/raw/master/csl-citation.json"} </w:instrText>
      </w:r>
      <w:r w:rsidR="00891526">
        <w:rPr>
          <w:lang w:val="en-US"/>
        </w:rPr>
        <w:fldChar w:fldCharType="separate"/>
      </w:r>
      <w:r w:rsidR="00891526" w:rsidRPr="00557B61">
        <w:rPr>
          <w:lang w:val="en-US"/>
        </w:rPr>
        <w:t>(Batsis and Samothrakis, 2024)</w:t>
      </w:r>
      <w:r w:rsidR="00891526">
        <w:rPr>
          <w:lang w:val="en-US"/>
        </w:rPr>
        <w:fldChar w:fldCharType="end"/>
      </w:r>
      <w:r w:rsidRPr="00FD0529">
        <w:rPr>
          <w:lang w:val="en-US"/>
        </w:rPr>
        <w:t>. This study treats the evaluation as exploratory; it maps performance regimes and failure modes rather than offering deployment claims.</w:t>
      </w:r>
    </w:p>
    <w:p w14:paraId="34767FD5" w14:textId="77777777" w:rsidR="00D019A7" w:rsidRPr="00D019A7" w:rsidRDefault="00D019A7" w:rsidP="00D019A7">
      <w:pPr>
        <w:pStyle w:val="text-base"/>
        <w:jc w:val="both"/>
        <w:rPr>
          <w:color w:val="000000" w:themeColor="text1"/>
          <w:lang w:val="en-US"/>
        </w:rPr>
      </w:pPr>
      <w:r w:rsidRPr="00634DF2">
        <w:rPr>
          <w:lang w:val="en-US"/>
        </w:rPr>
        <w:t xml:space="preserve">Brazil’s Unified Health System (SUS) provides a public supply chain example. Its decentralized supply chain operates across 5,570 municipalities and </w:t>
      </w:r>
      <w:r w:rsidR="00136957">
        <w:rPr>
          <w:lang w:val="en-US"/>
        </w:rPr>
        <w:t>meets the health need</w:t>
      </w:r>
      <w:r w:rsidRPr="00634DF2">
        <w:rPr>
          <w:lang w:val="en-US"/>
        </w:rPr>
        <w:t xml:space="preserve">s of 215 million people. In such a setting, erratic demand for medicines </w:t>
      </w:r>
      <w:r w:rsidR="00136957">
        <w:rPr>
          <w:lang w:val="en-US"/>
        </w:rPr>
        <w:t>lead</w:t>
      </w:r>
      <w:r w:rsidR="004171C0">
        <w:rPr>
          <w:lang w:val="en-US"/>
        </w:rPr>
        <w:t>s</w:t>
      </w:r>
      <w:r w:rsidR="00136957">
        <w:rPr>
          <w:lang w:val="en-US"/>
        </w:rPr>
        <w:t xml:space="preserve"> to chronic under- or overstocking</w:t>
      </w:r>
      <w:r w:rsidRPr="00634DF2">
        <w:rPr>
          <w:lang w:val="en-US"/>
        </w:rPr>
        <w:t>. To address the issue of low-data supply chains' reliance on classical inventory control, an operationalized choice between classical and AI-based inventory control is quantified through decision thresholds (DTs). We apply it to the SUS empirical test case.</w:t>
      </w:r>
    </w:p>
    <w:p w14:paraId="4112EF30" w14:textId="77777777" w:rsidR="00D019A7" w:rsidRPr="001B4971" w:rsidRDefault="00D019A7" w:rsidP="00D019A7">
      <w:pPr>
        <w:pStyle w:val="text-base"/>
        <w:jc w:val="both"/>
        <w:rPr>
          <w:color w:val="000000" w:themeColor="text1"/>
          <w:lang w:val="en-US"/>
        </w:rPr>
      </w:pPr>
      <w:r w:rsidRPr="00634DF2">
        <w:rPr>
          <w:lang w:val="en-US"/>
        </w:rPr>
        <w:lastRenderedPageBreak/>
        <w:t>Users can apply the framework in any constrained</w:t>
      </w:r>
      <w:r w:rsidR="00136957">
        <w:rPr>
          <w:lang w:val="en-US"/>
        </w:rPr>
        <w:t>-resource setting, such as a pharmaceutical distribution system, the automotive spare parts domain, and eve</w:t>
      </w:r>
      <w:r w:rsidRPr="00634DF2">
        <w:rPr>
          <w:lang w:val="en-US"/>
        </w:rPr>
        <w:t>n humanitarian logistics. It does so by isolating domain-invariant principles, such as demand volatility, order volume, and stockout cost, from context-specific adaptations, including lead-time profiles, regulatory constraints, and service-level mandates. Details on transferability are provided in Section 5.2.</w:t>
      </w:r>
    </w:p>
    <w:p w14:paraId="0E6ED1FE" w14:textId="77777777" w:rsidR="00C557D9" w:rsidRPr="00A70916" w:rsidRDefault="00961A7E" w:rsidP="00C557D9">
      <w:pPr>
        <w:pStyle w:val="text-base"/>
        <w:jc w:val="both"/>
        <w:rPr>
          <w:color w:val="000000" w:themeColor="text1"/>
          <w:lang w:val="en-US"/>
        </w:rPr>
      </w:pPr>
      <w:r w:rsidRPr="00FD0529">
        <w:rPr>
          <w:lang w:val="en-US"/>
        </w:rPr>
        <w:t xml:space="preserve">The literature frames AI for inventory and logistics </w:t>
      </w:r>
      <w:r w:rsidR="00136957">
        <w:rPr>
          <w:lang w:val="en-US"/>
        </w:rPr>
        <w:t>in terms of</w:t>
      </w:r>
      <w:r w:rsidRPr="00FD0529">
        <w:rPr>
          <w:lang w:val="en-US"/>
        </w:rPr>
        <w:t xml:space="preserve"> forecasting, replenishment control, and distribution planning layers </w:t>
      </w:r>
      <w:r w:rsidR="005E723E">
        <w:rPr>
          <w:lang w:val="en-US"/>
        </w:rPr>
        <w:fldChar w:fldCharType="begin"/>
      </w:r>
      <w:r w:rsidR="005E723E">
        <w:rPr>
          <w:lang w:val="en-US"/>
        </w:rPr>
        <w:instrText xml:space="preserve"> ADDIN ZOTERO_ITEM CSL_CITATION {"citationID":"uNYlwi4P","properties":{"formattedCitation":"(Cannas et al., 2024; Helo and Hao, 2022)","plainCitation":"(Cannas et al., 2024; Helo and Hao, 2022)","noteIndex":0},"citationItems":[{"id":3416,"uris":["http://zotero.org/users/12903205/items/53QALC7V"],"itemData":{"id":3416,"type":"article-journal","container-title":"International Journal of Production Research","DOI":"10.1080/00207543.2023.2232050","ISSN":"0020-7543, 1366-588X","issue":"9","page":"3333–3360","title":"Artificial intelligence in supply chain and operations management: a multiple case study research","volume":"62","author":[{"family":"Cannas","given":"Violetta Giada"},{"family":"Ciano","given":"Maria Pia"},{"family":"Saltalamacchia","given":"Mattia"},{"family":"Secchi","given":"Raffaele"}],"issued":{"date-parts":[["2024",5,2]]}},"label":"page"},{"id":3417,"uris":["http://zotero.org/users/12903205/items/8Z4ZERPR"],"itemData":{"id":3417,"type":"article-journal","container-title":"Production Planning &amp; Control","DOI":"10.1080/09537287.2021.1882690","ISSN":"0953-7287, 1366-5871","issue":"16","page":"1573–1590","title":"Artificial intelligence in operations management and supply chain management: an exploratory case study","volume":"33","author":[{"family":"Helo","given":"Petri"},{"family":"Hao","given":"Yuqiuge"}],"issued":{"date-parts":[["2022",12,10]]}},"label":"page"}],"schema":"https://github.com/citation-style-language/schema/raw/master/csl-citation.json"} </w:instrText>
      </w:r>
      <w:r w:rsidR="005E723E">
        <w:rPr>
          <w:lang w:val="en-US"/>
        </w:rPr>
        <w:fldChar w:fldCharType="separate"/>
      </w:r>
      <w:r w:rsidR="005E723E" w:rsidRPr="005E723E">
        <w:rPr>
          <w:lang w:val="en-US"/>
        </w:rPr>
        <w:t>(Cannas et al., 2024; Helo and Hao, 2022)</w:t>
      </w:r>
      <w:r w:rsidR="005E723E">
        <w:rPr>
          <w:lang w:val="en-US"/>
        </w:rPr>
        <w:fldChar w:fldCharType="end"/>
      </w:r>
      <w:r w:rsidRPr="00FD0529">
        <w:rPr>
          <w:lang w:val="en-US"/>
        </w:rPr>
        <w:t xml:space="preserve">. </w:t>
      </w:r>
      <w:r w:rsidR="004171C0">
        <w:rPr>
          <w:lang w:val="en-US"/>
        </w:rPr>
        <w:t>O</w:t>
      </w:r>
      <w:r w:rsidRPr="00FD0529">
        <w:rPr>
          <w:lang w:val="en-US"/>
        </w:rPr>
        <w:t xml:space="preserve">perations-management work integrates policy learning with structural inventory control or mathematical programming to handle combinatorial actions and constraints </w:t>
      </w:r>
      <w:r w:rsidR="005E723E">
        <w:rPr>
          <w:lang w:val="en-US"/>
        </w:rPr>
        <w:fldChar w:fldCharType="begin"/>
      </w:r>
      <w:r w:rsidR="005E723E">
        <w:rPr>
          <w:lang w:val="en-US"/>
        </w:rPr>
        <w:instrText xml:space="preserve"> ADDIN ZOTERO_ITEM CSL_CITATION {"citationID":"TKSoEBc7","properties":{"formattedCitation":"(Harsha et al., 2025; Temiz\\uc0\\u246{}z et al., 2025)","plainCitation":"(Harsha et al., 2025; Temizöz et al., 2025)","noteIndex":0},"citationItems":[{"id":3429,"uris":["http://zotero.org/users/12903205/items/2MYMBLJ3"],"itemData":{"id":3429,"type":"article-journal","container-title":"Manufacturing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3358,"uris":["http://zotero.org/users/12903205/items/RUWAPBI4"],"itemData":{"id":3358,"type":"article-journal","container-title":"European Journal of Operational Research","DOI":"10.1016/j.ejor.2025.01.026","ISSN":"03772217","issue":"1","journalAbbreviation":"European Journal of Operational Research","language":"en","page":"104-117","source":"DOI.org (Crossref)","title":"Deep Controlled Learning for Inventory Control","volume":"324","author":[{"family":"Temizöz","given":"Tarkan"},{"family":"Imdahl","given":"Christina"},{"family":"Dijkman","given":"Remco"},{"family":"Lamghari-Idrissi","given":"Douniel"},{"family":"Van Jaarsveld","given":"Willem"}],"issued":{"date-parts":[["2025",7]]}},"label":"page"}],"schema":"https://github.com/citation-style-language/schema/raw/master/csl-citation.json"} </w:instrText>
      </w:r>
      <w:r w:rsidR="005E723E">
        <w:rPr>
          <w:lang w:val="en-US"/>
        </w:rPr>
        <w:fldChar w:fldCharType="separate"/>
      </w:r>
      <w:r w:rsidR="005E723E" w:rsidRPr="005E723E">
        <w:rPr>
          <w:lang w:val="en-US"/>
        </w:rPr>
        <w:t>(Harsha et al., 2025; Temizöz et al., 2025)</w:t>
      </w:r>
      <w:r w:rsidR="005E723E">
        <w:rPr>
          <w:lang w:val="en-US"/>
        </w:rPr>
        <w:fldChar w:fldCharType="end"/>
      </w:r>
      <w:r w:rsidRPr="00FD0529">
        <w:rPr>
          <w:lang w:val="en-US"/>
        </w:rPr>
        <w:t xml:space="preserve">. In decentralized networks, graph-aware multi-agent RL can parameterize heuristic inventory rules instead of enumerating discrete actions </w:t>
      </w:r>
      <w:r w:rsidR="005E723E">
        <w:rPr>
          <w:lang w:val="en-US"/>
        </w:rPr>
        <w:fldChar w:fldCharType="begin"/>
      </w:r>
      <w:r w:rsidR="005E723E">
        <w:rPr>
          <w:lang w:val="en-US"/>
        </w:rPr>
        <w:instrText xml:space="preserve"> ADDIN ZOTERO_ITEM CSL_CITATION {"citationID":"djQoFMue","properties":{"custom":"(Kotecha and Chanona, 2025)","formattedCitation":"(Kotecha and Chanona, 2025)","plainCitation":"(Kotecha and Chanona, 2025)","noteIndex":0},"citationItems":[{"id":3520,"uris":["http://zotero.org/users/12903205/items/WPFSHKDR"],"itemData":{"id":3520,"type":"article-journal","container-title":"Computers &amp; Chemical Engineering","DOI":"10.1016/j.compchemeng.2025.109111","ISSN":"00981354","journalAbbreviation":"Computers &amp; Chemical Engineering","language":"en","page":"109111","source":"DOI.org (Crossref)","title":"Leveraging graph neural networks and multi-agent reinforcement learning for inventory control in supply chains","volume":"199","author":[{"family":"Kotecha","given":"Niki"},{"family":"Del Rio Chanona","given":"Antonio"}],"issued":{"date-parts":[["2025",8]]}}}],"schema":"https://github.com/citation-style-language/schema/raw/master/csl-citation.json"} </w:instrText>
      </w:r>
      <w:r w:rsidR="005E723E">
        <w:rPr>
          <w:lang w:val="en-US"/>
        </w:rPr>
        <w:fldChar w:fldCharType="separate"/>
      </w:r>
      <w:r w:rsidR="005E723E" w:rsidRPr="005E723E">
        <w:rPr>
          <w:lang w:val="en-US"/>
        </w:rPr>
        <w:t>(Kotecha and Chanona, 2025)</w:t>
      </w:r>
      <w:r w:rsidR="005E723E">
        <w:rPr>
          <w:lang w:val="en-US"/>
        </w:rPr>
        <w:fldChar w:fldCharType="end"/>
      </w:r>
      <w:r w:rsidRPr="00FD0529">
        <w:rPr>
          <w:lang w:val="en-US"/>
        </w:rPr>
        <w:t xml:space="preserve">. Baseline strength shapes reported gains; comparisons against weak heuristics can overstate AI advantages, which </w:t>
      </w:r>
      <w:r w:rsidR="008E66BF">
        <w:rPr>
          <w:lang w:val="en-US"/>
        </w:rPr>
        <w:t>support</w:t>
      </w:r>
      <w:r w:rsidRPr="00FD0529">
        <w:rPr>
          <w:lang w:val="en-US"/>
        </w:rPr>
        <w:t xml:space="preserve">s </w:t>
      </w:r>
      <w:r w:rsidR="008E66BF">
        <w:rPr>
          <w:lang w:val="en-US"/>
        </w:rPr>
        <w:t xml:space="preserve">the use of </w:t>
      </w:r>
      <w:r w:rsidRPr="00FD0529">
        <w:rPr>
          <w:lang w:val="en-US"/>
        </w:rPr>
        <w:t xml:space="preserve">tuned classical baselines under identical information constraints </w:t>
      </w:r>
      <w:r w:rsidR="005E723E">
        <w:rPr>
          <w:lang w:val="en-US"/>
        </w:rPr>
        <w:fldChar w:fldCharType="begin"/>
      </w:r>
      <w:r w:rsidR="005E723E">
        <w:rPr>
          <w:lang w:val="en-US"/>
        </w:rPr>
        <w:instrText xml:space="preserve"> ADDIN ZOTERO_ITEM CSL_CITATION {"citationID":"jnJ1Jtvr","properties":{"formattedCitation":"(Harsha et al., 2025; Stranieri et al., 2024)","plainCitation":"(Harsha et al., 2025; Stranieri et al., 2024)","noteIndex":0},"citationItems":[{"id":3429,"uris":["http://zotero.org/users/12903205/items/2MYMBLJ3"],"itemData":{"id":3429,"type":"article-journal","container-title":"Manufacturing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label":"page"}],"schema":"https://github.com/citation-style-language/schema/raw/master/csl-citation.json"} </w:instrText>
      </w:r>
      <w:r w:rsidR="005E723E">
        <w:rPr>
          <w:lang w:val="en-US"/>
        </w:rPr>
        <w:fldChar w:fldCharType="separate"/>
      </w:r>
      <w:r w:rsidR="005E723E" w:rsidRPr="005E723E">
        <w:rPr>
          <w:lang w:val="en-US"/>
        </w:rPr>
        <w:t>(Harsha et al., 2025; Stranieri et al., 2024)</w:t>
      </w:r>
      <w:r w:rsidR="005E723E">
        <w:rPr>
          <w:lang w:val="en-US"/>
        </w:rPr>
        <w:fldChar w:fldCharType="end"/>
      </w:r>
      <w:r w:rsidRPr="00FD0529">
        <w:rPr>
          <w:lang w:val="en-US"/>
        </w:rPr>
        <w:t>.</w:t>
      </w:r>
    </w:p>
    <w:p w14:paraId="4C7AB0AC" w14:textId="77777777" w:rsidR="00173FF6" w:rsidRDefault="00173FF6" w:rsidP="00C557D9">
      <w:pPr>
        <w:pStyle w:val="text-base"/>
        <w:jc w:val="both"/>
        <w:rPr>
          <w:color w:val="000000" w:themeColor="text1"/>
          <w:lang w:val="en-US"/>
        </w:rPr>
      </w:pPr>
      <w:r w:rsidRPr="004171C0">
        <w:rPr>
          <w:lang w:val="en-US"/>
        </w:rPr>
        <w:t xml:space="preserve">There is a lack of literature </w:t>
      </w:r>
      <w:r w:rsidR="00136957" w:rsidRPr="004171C0">
        <w:rPr>
          <w:lang w:val="en-US"/>
        </w:rPr>
        <w:t>comparing AI (e.g., machine learning) strategies with</w:t>
      </w:r>
      <w:r w:rsidRPr="004171C0">
        <w:rPr>
          <w:lang w:val="en-US"/>
        </w:rPr>
        <w:t xml:space="preserve"> classical Operations Research (OR) methods under the same conditions</w:t>
      </w:r>
      <w:r w:rsidRPr="00A25014">
        <w:rPr>
          <w:lang w:val="en-US"/>
        </w:rPr>
        <w:t xml:space="preserve"> </w:t>
      </w:r>
      <w:r w:rsidR="004171C0">
        <w:rPr>
          <w:lang w:val="en-US"/>
        </w:rPr>
        <w:fldChar w:fldCharType="begin"/>
      </w:r>
      <w:r w:rsidR="009D3C6E">
        <w:rPr>
          <w:lang w:val="en-US"/>
        </w:rPr>
        <w:instrText xml:space="preserve"> ADDIN ZOTERO_ITEM CSL_CITATION {"citationID":"4tGziNrf","properties":{"formattedCitation":"(Fan et al., 2024; Iftikhar et al., 2024; Maharjan and Kato, 2022)","plainCitation":"(Fan et al., 2024; Iftikhar et al., 2024; Maharjan and Kato, 2022)","noteIndex":0},"citationItems":[{"id":3275,"uris":["http://zotero.org/users/12903205/items/2WEUK6NZ"],"itemData":{"id":3275,"type":"article","abstract":"The rapid advancement of artificial intelligence (AI) techniques has opened up new opportunities to revolutionize various fields, including operations research (OR). This survey paper explores the integration of AI within the OR process (AI4OR) to enhance its effectiveness and efficiency across multiple stages, such as parameter generation, model formulation, and model optimization. By providing a comprehensive overview of the state-of-the-art and examining the potential of AI to transform OR, this paper aims to inspire further research and innovation in the development of AI-enhanced OR methods and tools. The synergy between AI and OR is poised to drive significant advancements and novel solutions in a multitude of domains, ultimately leading to more effective and efficient decision-making.","DOI":"10.48550/ARXIV.2401.03244","license":"arXiv.org perpetual, non-exclusive license","note":"version: 2","publisher":"arXiv","source":"DOI.org (Datacite)","title":"Artificial Intelligence for Operations Research: Revolutionizing the Operations Research Process","title-short":"Artificial Intelligence for Operations Research","URL":"https://arxiv.org/abs/2401.03244","author":[{"family":"Fan","given":"Zhenan"},{"family":"Ghaddar","given":"Bissan"},{"family":"Wang","given":"Xinglu"},{"family":"Xing","given":"Linzi"},{"family":"Zhang","given":"Yong"},{"family":"Zhou","given":"Zirui"}],"accessed":{"date-parts":[["2025",9,14]]},"issued":{"date-parts":[["2024"]]}},"label":"page"},{"id":3542,"uris":["http://zotero.org/users/12903205/items/NYW8LQS4"],"itemData":{"id":3542,"type":"article-journal","abstract":"Abstract\n            In recent times, the literature has seen considerable growth in research at the intersection of digital innovation, data analytics, and supply chain resilience. While the number of studies on the topic has been burgeoning, due to the absence of a comprehensive literature review, it remains unclear what aspects of the subject have already been investigated and what are the avenues for impactful future research. Integrating bibliometric analysis with a systematic review approach, this paper offers the review of 262 articles at the nexus of innovative technologies, data analytics, and supply chain resiliency. The analysis uncovers the critical research clusters, the evolution of research over time, knowledge trajectories and methodological development in the area. Our thorough analysis enriches contemporary knowledge on the subject by consolidating the dispersed literature on the significance of innovative technologies, data analytics and supply chain resilience thereby recognizing major research clusters or domains and fruitful paths for future research. The review also helps improve practitioners’ awareness of the recent research on the topic by recapping key findings of a large amount of literature in one place.","container-title":"Annals of Operations Research","DOI":"10.1007/s10479-022-04765-6","ISSN":"0254-5330, 1572-9338","issue":"2-3","journalAbbreviation":"Ann Oper Res","language":"en","page":"825-848","source":"DOI.org (Crossref)","title":"Digital Innovation, Data Analytics, and Supply Chain Resiliency: A Bibliometric-based Systematic Literature Review","title-short":"Digital Innovation, Data Analytics, and Supply Chain Resiliency","volume":"333","author":[{"family":"Iftikhar","given":"Anas"},{"family":"Ali","given":"Imran"},{"family":"Arslan","given":"Ahmad"},{"family":"Tarba","given":"Shlomo"}],"issued":{"date-parts":[["2024",2]]}},"label":"page"},{"id":3546,"uris":["http://zotero.org/users/12903205/items/65Z77BQX"],"itemData":{"id":3546,"type":"article-journal","container-title":"Transport Reviews","DOI":"10.1080/01441647.2022.2080773","ISSN":"0144-1647, 1464-5327","issue":"6","journalAbbreviation":"Transport Reviews","language":"en","page":"739-761","source":"DOI.org (Crossref)","title":"Resilient supply chain network design: a systematic literature review","title-short":"Resilient supply chain network design","volume":"42","author":[{"family":"Maharjan","given":"Rajali"},{"family":"Kato","given":"Hironori"}],"issued":{"date-parts":[["2022",11,2]]}},"label":"page"}],"schema":"https://github.com/citation-style-language/schema/raw/master/csl-citation.json"} </w:instrText>
      </w:r>
      <w:r w:rsidR="004171C0">
        <w:rPr>
          <w:lang w:val="en-US"/>
        </w:rPr>
        <w:fldChar w:fldCharType="separate"/>
      </w:r>
      <w:r w:rsidR="009D3C6E" w:rsidRPr="00BA7E1A">
        <w:rPr>
          <w:lang w:val="en-US"/>
        </w:rPr>
        <w:t>(Fan et al., 2024; Iftikhar et al., 2024; Maharjan and Kato, 2022)</w:t>
      </w:r>
      <w:r w:rsidR="004171C0">
        <w:rPr>
          <w:lang w:val="en-US"/>
        </w:rPr>
        <w:fldChar w:fldCharType="end"/>
      </w:r>
      <w:r w:rsidR="004171C0">
        <w:rPr>
          <w:lang w:val="en-US"/>
        </w:rPr>
        <w:t xml:space="preserve">. </w:t>
      </w:r>
      <w:r w:rsidRPr="00A25014">
        <w:rPr>
          <w:lang w:val="en-US"/>
        </w:rPr>
        <w:t>Researchers typically benchmark AI against basic policies (fixed reorder points and manual inventory controls), which presents a favorable comparison to its use</w:t>
      </w:r>
      <w:r w:rsidR="004171C0">
        <w:rPr>
          <w:lang w:val="en-US"/>
        </w:rPr>
        <w:t xml:space="preserve"> </w:t>
      </w:r>
      <w:r w:rsidR="004171C0">
        <w:rPr>
          <w:lang w:val="en-US"/>
        </w:rPr>
        <w:fldChar w:fldCharType="begin"/>
      </w:r>
      <w:r w:rsidR="004171C0">
        <w:rPr>
          <w:lang w:val="en-US"/>
        </w:rPr>
        <w:instrText xml:space="preserve"> ADDIN ZOTERO_ITEM CSL_CITATION {"citationID":"P47jKj3H","properties":{"formattedCitation":"(Chen et al., 2025)","plainCitation":"(Chen et al., 2025)","noteIndex":0},"citationItems":[{"id":3538,"uris":["http://zotero.org/users/12903205/items/KZKZ3RV8"],"itemData":{"id":3538,"type":"article-journal","abstract":"SYNOPSIS\n            A limited understanding of artificial intelligence (AI) behavior leads to the gap between academic research on developing inventory management models and practical applications. In this study, we employ reinforcement learning (RL)—a branch of AI that focuses on learning optimal actions through trial and error within an environment—to develop an artifact for inventory decision-making. Through a laboratory experiment involving supply chain professionals and a field experiment, our RL-based artifact demonstrates superior capability in reducing inventory costs under stable conditions, while exhibiting limitations in volatile ones. Practitioner interviews reveal both support and concerns about the artifact, offering insights into enhancing managerial adoption of RL-driven technologies. Whereas these findings are specific to the inventory application, the lessons learned can apply to other judgment and decision-making contexts. Overall, our findings underscore the potential of AI in improving management quality and provide new insights into the alignment between emerging technologies and management practices.\n            Data Availability: Data are available from the authors upon request.\n            JEL Classifications: C52; D25; M11; M41.","container-title":"Accounting Horizons","DOI":"10.2308/HORIZONS-2024-121","ISSN":"0888-7993, 1558-7975","language":"en","page":"1-18","source":"DOI.org (Crossref)","title":"Improving Inventory Management Quality with Reinforcement Learning: AI versus Human Decision-Making","title-short":"Improving Inventory Management Quality with Reinforcement Learning","author":[{"family":"Chen","given":"Yasheng"},{"family":"Xu","given":"Xin"},{"family":"Zhang","given":"Joseph H."}],"issued":{"date-parts":[["2025",11,1]]}}}],"schema":"https://github.com/citation-style-language/schema/raw/master/csl-citation.json"} </w:instrText>
      </w:r>
      <w:r w:rsidR="004171C0">
        <w:rPr>
          <w:lang w:val="en-US"/>
        </w:rPr>
        <w:fldChar w:fldCharType="separate"/>
      </w:r>
      <w:r w:rsidR="004171C0" w:rsidRPr="00BA7E1A">
        <w:rPr>
          <w:lang w:val="en-US"/>
        </w:rPr>
        <w:t>(Chen et al., 2025)</w:t>
      </w:r>
      <w:r w:rsidR="004171C0">
        <w:rPr>
          <w:lang w:val="en-US"/>
        </w:rPr>
        <w:fldChar w:fldCharType="end"/>
      </w:r>
      <w:r w:rsidRPr="00A25014">
        <w:rPr>
          <w:lang w:val="en-US"/>
        </w:rPr>
        <w:t>.</w:t>
      </w:r>
    </w:p>
    <w:p w14:paraId="0178B963" w14:textId="339ACAD0" w:rsidR="00E91D70" w:rsidRDefault="006A536D" w:rsidP="006A536D">
      <w:pPr>
        <w:pStyle w:val="text-base"/>
        <w:jc w:val="both"/>
        <w:rPr>
          <w:color w:val="000000" w:themeColor="text1"/>
          <w:lang w:val="en-US"/>
        </w:rPr>
      </w:pPr>
      <w:r w:rsidRPr="006A536D">
        <w:rPr>
          <w:color w:val="000000" w:themeColor="text1"/>
          <w:lang w:val="en-US"/>
        </w:rPr>
        <w:t xml:space="preserve">Beyond the healthcare context, the production economics literature has a long tradition of using Markov decision processes, reinforcement learning, and stochastic optimization to design inventory policies and supply chain control rules under uncertainty </w:t>
      </w:r>
      <w:r w:rsidR="00862514">
        <w:rPr>
          <w:color w:val="000000" w:themeColor="text1"/>
          <w:lang w:val="en-US"/>
        </w:rPr>
        <w:fldChar w:fldCharType="begin"/>
      </w:r>
      <w:r w:rsidR="00862514">
        <w:rPr>
          <w:color w:val="000000" w:themeColor="text1"/>
          <w:lang w:val="en-US"/>
        </w:rPr>
        <w:instrText xml:space="preserve"> ADDIN ZOTERO_ITEM CSL_CITATION {"citationID":"gni0KEjZ","properties":{"formattedCitation":"(Stranieri et al., 2024)","plainCitation":"(Stranieri et al., 2024)","noteIndex":0},"citationItems":[{"id":3483,"uris":["http://zotero.org/users/12903205/items/EGMTTSVU"],"itemData":{"id":3483,"type":"article-journal","container-title":"International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schema":"https://github.com/citation-style-language/schema/raw/master/csl-citation.json"} </w:instrText>
      </w:r>
      <w:r w:rsidR="00862514">
        <w:rPr>
          <w:color w:val="000000" w:themeColor="text1"/>
          <w:lang w:val="en-US"/>
        </w:rPr>
        <w:fldChar w:fldCharType="separate"/>
      </w:r>
      <w:r w:rsidR="00862514" w:rsidRPr="00862514">
        <w:rPr>
          <w:lang w:val="en-US"/>
        </w:rPr>
        <w:t>(Stranieri et al., 2024)</w:t>
      </w:r>
      <w:r w:rsidR="00862514">
        <w:rPr>
          <w:color w:val="000000" w:themeColor="text1"/>
          <w:lang w:val="en-US"/>
        </w:rPr>
        <w:fldChar w:fldCharType="end"/>
      </w:r>
      <w:r w:rsidR="00816096" w:rsidRPr="00CE76FE">
        <w:rPr>
          <w:color w:val="000000" w:themeColor="text1"/>
          <w:lang w:val="en-US"/>
        </w:rPr>
        <w:t>.</w:t>
      </w:r>
      <w:r w:rsidRPr="006A536D">
        <w:rPr>
          <w:color w:val="000000" w:themeColor="text1"/>
          <w:lang w:val="en-US"/>
        </w:rPr>
        <w:t xml:space="preserve"> Hybrid analytics architectures and Monte Carlo stress</w:t>
      </w:r>
      <w:r w:rsidR="00136957">
        <w:rPr>
          <w:color w:val="000000" w:themeColor="text1"/>
          <w:lang w:val="en-US"/>
        </w:rPr>
        <w:t xml:space="preserve"> testing are increasingly used to analyze</w:t>
      </w:r>
      <w:r w:rsidRPr="006A536D">
        <w:rPr>
          <w:color w:val="000000" w:themeColor="text1"/>
          <w:lang w:val="en-US"/>
        </w:rPr>
        <w:t xml:space="preserve"> cost</w:t>
      </w:r>
      <w:r w:rsidR="00932758">
        <w:rPr>
          <w:color w:val="000000" w:themeColor="text1"/>
          <w:lang w:val="en-US"/>
        </w:rPr>
        <w:t>-</w:t>
      </w:r>
      <w:r w:rsidRPr="006A536D">
        <w:rPr>
          <w:color w:val="000000" w:themeColor="text1"/>
          <w:lang w:val="en-US"/>
        </w:rPr>
        <w:t>resilience trade-offs in multi-echelon supply chains and network design</w:t>
      </w:r>
      <w:r w:rsidR="007C1C58">
        <w:rPr>
          <w:color w:val="000000" w:themeColor="text1"/>
          <w:lang w:val="en-US"/>
        </w:rPr>
        <w:t xml:space="preserve"> </w:t>
      </w:r>
      <w:r w:rsidR="007C1C58">
        <w:rPr>
          <w:color w:val="000000" w:themeColor="text1"/>
          <w:lang w:val="en-US"/>
        </w:rPr>
        <w:fldChar w:fldCharType="begin"/>
      </w:r>
      <w:r w:rsidR="007C1C58">
        <w:rPr>
          <w:color w:val="000000" w:themeColor="text1"/>
          <w:lang w:val="en-US"/>
        </w:rPr>
        <w:instrText xml:space="preserve"> ADDIN ZOTERO_ITEM CSL_CITATION {"citationID":"U6mdjsS0","properties":{"formattedCitation":"(Aldrighetti et al., 2023; Rolf et al., 2023)","plainCitation":"(Aldrighetti et al., 2023; Rolf et al., 2023)","noteIndex":0},"citationItems":[{"id":3545,"uris":["http://zotero.org/users/12903205/items/T2CK3TRS"],"itemData":{"id":3545,"type":"article-journal","container-title":"Omega","DOI":"10.1016/j.omega.2023.102841","ISSN":"03050483","journalAbbreviation":"Omega","language":"en","page":"102841","source":"DOI.org (Crossref)","title":"Efficient resilience portfolio design in the supply chain with consideration of preparedness and recovery investments","volume":"117","author":[{"family":"Aldrighetti","given":"Riccardo"},{"family":"Battini","given":"Daria"},{"family":"Ivanov","given":"Dmitry"}],"issued":{"date-parts":[["2023",6]]}},"label":"page"},{"id":3189,"uris":["http://zotero.org/users/12903205/items/T4A3KHNY"],"itemData":{"id":3189,"type":"article-journal","container-title":"International Journal of Production Research","DOI":"10.1080/00207543.2022.2140221","ISSN":"0020-7543, 1366-588X","issue":"20","journalAbbreviation":"International Journal of Production Research","language":"en","page":"7151-7179","source":"DOI.org (Crossref)","title":"A review on reinforcement learning algorithms and applications in supply chain management","volume":"61","author":[{"family":"Rolf","given":"Benjamin"},{"family":"Jackson","given":"Ilya"},{"family":"Müller","given":"Marcel"},{"family":"Lang","given":"Sebastian"},{"family":"Reggelin","given":"Tobias"},{"family":"Ivanov","given":"Dmitry"}],"issued":{"date-parts":[["2023",10,18]]}},"label":"page"}],"schema":"https://github.com/citation-style-language/schema/raw/master/csl-citation.json"} </w:instrText>
      </w:r>
      <w:r w:rsidR="007C1C58">
        <w:rPr>
          <w:color w:val="000000" w:themeColor="text1"/>
          <w:lang w:val="en-US"/>
        </w:rPr>
        <w:fldChar w:fldCharType="separate"/>
      </w:r>
      <w:r w:rsidR="007C1C58" w:rsidRPr="00557B61">
        <w:rPr>
          <w:lang w:val="en-US"/>
        </w:rPr>
        <w:t>(Aldrighetti et al., 2023; Rolf et al., 2023)</w:t>
      </w:r>
      <w:r w:rsidR="007C1C58">
        <w:rPr>
          <w:color w:val="000000" w:themeColor="text1"/>
          <w:lang w:val="en-US"/>
        </w:rPr>
        <w:fldChar w:fldCharType="end"/>
      </w:r>
      <w:r w:rsidRPr="006A536D">
        <w:rPr>
          <w:color w:val="000000" w:themeColor="text1"/>
          <w:lang w:val="en-US"/>
        </w:rPr>
        <w:t>. Our study contributes to this stream</w:t>
      </w:r>
      <w:r w:rsidR="00E91D70">
        <w:rPr>
          <w:color w:val="000000" w:themeColor="text1"/>
          <w:lang w:val="en-US"/>
        </w:rPr>
        <w:t xml:space="preserve"> </w:t>
      </w:r>
      <w:r w:rsidR="002B74AA">
        <w:rPr>
          <w:color w:val="000000" w:themeColor="text1"/>
          <w:lang w:val="en-US"/>
        </w:rPr>
        <w:t>by exploring conditions under which a hybrid AI policy may yield superior cost and</w:t>
      </w:r>
      <w:r w:rsidR="00E91D70">
        <w:rPr>
          <w:color w:val="000000" w:themeColor="text1"/>
          <w:lang w:val="en-US"/>
        </w:rPr>
        <w:t xml:space="preserve"> </w:t>
      </w:r>
      <w:r w:rsidR="00E91D70" w:rsidRPr="00E91D70">
        <w:rPr>
          <w:color w:val="000000" w:themeColor="text1"/>
          <w:lang w:val="en-US"/>
        </w:rPr>
        <w:t>resilience performance in controlled simulations</w:t>
      </w:r>
      <w:r w:rsidR="00E91D70">
        <w:rPr>
          <w:color w:val="000000" w:themeColor="text1"/>
          <w:lang w:val="en-US"/>
        </w:rPr>
        <w:t>.</w:t>
      </w:r>
    </w:p>
    <w:p w14:paraId="27A0A9BC" w14:textId="6A39A8E5" w:rsidR="009A0D16" w:rsidRPr="00A70916" w:rsidRDefault="00173FF6" w:rsidP="009A0D16">
      <w:pPr>
        <w:pStyle w:val="text-base"/>
        <w:jc w:val="both"/>
        <w:rPr>
          <w:color w:val="000000" w:themeColor="text1"/>
          <w:lang w:val="en-US"/>
        </w:rPr>
      </w:pPr>
      <w:r w:rsidRPr="00F34B55">
        <w:rPr>
          <w:lang w:val="en-US"/>
        </w:rPr>
        <w:t xml:space="preserve">In this study, we assess implications by benchmarking the hybrid AI policy against three OR baselines—static rules, dynamic policies, and analytical base-stock controls—under stress-tested demand regimes that reflect decentralized healthcare logistics. The evidence supports regime-specific performance rather than a general AI advantage. Prior work reports AI gains under disruption in some settings, but those gains depend on objective specification and constraints </w:t>
      </w:r>
      <w:r w:rsidR="00F34B55">
        <w:fldChar w:fldCharType="begin"/>
      </w:r>
      <w:r w:rsidR="00F34B55">
        <w:rPr>
          <w:lang w:val="en-US"/>
        </w:rPr>
        <w:instrText xml:space="preserve"> ADDIN ZOTERO_ITEM CSL_CITATION {"citationID":"DDmjSjsb","properties":{"formattedCitation":"(Smyth et al., 2024)","plainCitation":"(Smyth et al., 2024)","noteIndex":0},"citationItems":[{"id":3553,"uris":["http://zotero.org/users/12903205/items/TIECWFDE"],"itemData":{"id":3553,"type":"article-journal","container-title":"International Journal of Production Research","DOI":"10.1080/00207543.2024.2341415","ISSN":"0020-7543, 1366-588X","issue":"23","journalAbbreviation":"International Journal of Production Research","language":"en","page":"8537-8561","source":"DOI.org (Crossref)","title":"Artificial intelligence and prescriptive analytics for supply chain resilience: a systematic literature review and research agenda","title-short":"Artificial intelligence and prescriptive analytics for supply chain resilience","volume":"62","author":[{"family":"Smyth","given":"Conn"},{"family":"Dennehy","given":"Denis"},{"family":"Fosso Wamba","given":"Samuel"},{"family":"Scott","given":"Murray"},{"family":"Harfouche","given":"Antoine"}],"issued":{"date-parts":[["2024",12]]}}}],"schema":"https://github.com/citation-style-language/schema/raw/master/csl-citation.json"} </w:instrText>
      </w:r>
      <w:r w:rsidR="00F34B55">
        <w:fldChar w:fldCharType="separate"/>
      </w:r>
      <w:r w:rsidR="00F34B55" w:rsidRPr="00F34B55">
        <w:rPr>
          <w:lang w:val="en-US"/>
        </w:rPr>
        <w:t>(Smyth et al., 2024)</w:t>
      </w:r>
      <w:r w:rsidR="00F34B55">
        <w:fldChar w:fldCharType="end"/>
      </w:r>
      <w:r w:rsidRPr="00F34B55">
        <w:rPr>
          <w:lang w:val="en-US"/>
        </w:rPr>
        <w:t xml:space="preserve">. The analysis also motivates deployment protocols that define monitoring, service-level guardrails, and retraining triggers for contextual use </w:t>
      </w:r>
      <w:r w:rsidR="00F34B55">
        <w:rPr>
          <w:lang w:val="en-US"/>
        </w:rPr>
        <w:fldChar w:fldCharType="begin"/>
      </w:r>
      <w:r w:rsidR="00F34B55">
        <w:rPr>
          <w:lang w:val="en-US"/>
        </w:rPr>
        <w:instrText xml:space="preserve"> ADDIN ZOTERO_ITEM CSL_CITATION {"citationID":"kObqyRvC","properties":{"formattedCitation":"(Aldrighetti et al., 2023)","plainCitation":"(Aldrighetti et al., 2023)","noteIndex":0},"citationItems":[{"id":3545,"uris":["http://zotero.org/users/12903205/items/T2CK3TRS"],"itemData":{"id":3545,"type":"article-journal","container-title":"Omega","DOI":"10.1016/j.omega.2023.102841","ISSN":"03050483","journalAbbreviation":"Omega","language":"en","page":"102841","source":"DOI.org (Crossref)","title":"Efficient resilience portfolio design in the supply chain with consideration of preparedness and recovery investments","volume":"117","author":[{"family":"Aldrighetti","given":"Riccardo"},{"family":"Battini","given":"Daria"},{"family":"Ivanov","given":"Dmitry"}],"issued":{"date-parts":[["2023",6]]}}}],"schema":"https://github.com/citation-style-language/schema/raw/master/csl-citation.json"} </w:instrText>
      </w:r>
      <w:r w:rsidR="00F34B55">
        <w:rPr>
          <w:lang w:val="en-US"/>
        </w:rPr>
        <w:fldChar w:fldCharType="separate"/>
      </w:r>
      <w:r w:rsidR="00F34B55" w:rsidRPr="00F34B55">
        <w:rPr>
          <w:lang w:val="en-US"/>
        </w:rPr>
        <w:t>(Aldrighetti et al., 2023)</w:t>
      </w:r>
      <w:r w:rsidR="00F34B55">
        <w:rPr>
          <w:lang w:val="en-US"/>
        </w:rPr>
        <w:fldChar w:fldCharType="end"/>
      </w:r>
      <w:r w:rsidRPr="00F34B55">
        <w:rPr>
          <w:lang w:val="en-US"/>
        </w:rPr>
        <w:t>.</w:t>
      </w:r>
    </w:p>
    <w:p w14:paraId="599C5F25" w14:textId="77777777" w:rsidR="00D75BAD" w:rsidRPr="00A70916" w:rsidRDefault="00DD1387" w:rsidP="009A0D16">
      <w:pPr>
        <w:pStyle w:val="text-base"/>
        <w:jc w:val="both"/>
        <w:rPr>
          <w:color w:val="000000" w:themeColor="text1"/>
          <w:lang w:val="en-US"/>
        </w:rPr>
      </w:pPr>
      <w:r w:rsidRPr="00DD1387">
        <w:rPr>
          <w:color w:val="000000" w:themeColor="text1"/>
          <w:lang w:val="en-US"/>
        </w:rPr>
        <w:t>This paper addresses three related questions: (i) How does a hybrid AI policy perform relative to static, dynamic, and analytical inventory policies under both stable and disrupted demand conditions? (ii) At what demand volatility and cost levels does the hybrid AI policy provide an economic advantage over classical policies? (iii) What cost–resilience trade-offs characterize the choice between classical and AI-based inventory policies</w:t>
      </w:r>
      <w:r w:rsidR="009A0D16" w:rsidRPr="00A70916">
        <w:rPr>
          <w:color w:val="000000" w:themeColor="text1"/>
          <w:lang w:val="en-US"/>
        </w:rPr>
        <w:t>?</w:t>
      </w:r>
    </w:p>
    <w:p w14:paraId="5EFB0414" w14:textId="049C8AEE" w:rsidR="003F2BFF" w:rsidRPr="00A70916" w:rsidRDefault="003F2BFF" w:rsidP="00D75BAD">
      <w:pPr>
        <w:pStyle w:val="text-base"/>
        <w:jc w:val="both"/>
        <w:rPr>
          <w:color w:val="000000" w:themeColor="text1"/>
          <w:lang w:val="en-US"/>
        </w:rPr>
      </w:pPr>
      <w:r w:rsidRPr="00F34B55">
        <w:rPr>
          <w:lang w:val="en-US"/>
        </w:rPr>
        <w:t xml:space="preserve">We use real operational data from facilities of the SUS in Brazil, employing 100 Monte Carlo replications over 90 and 180-day decision horizons, allowing systematic comparisons of total costs, service levels, and resilience characteristics. Stress-testing scenarios assess behavior under high volatility, supply disruptions, and seasonal surges. High volatility means a 50% increase in demand variation. Disrupting supply means that 20% of orders will be interrupted, with a longer lead time of 8 to 10 weeks. Seasonal surge conditions assume demand spikes of 180% in March and April, with a percentage increase of up to 220% over the base in early or mid-November. These situations stem from events during SUS crises associated with H1N1, Zika, and </w:t>
      </w:r>
      <w:r w:rsidR="002B74AA">
        <w:rPr>
          <w:lang w:val="en-US"/>
        </w:rPr>
        <w:t>the COVID-19 pandemic</w:t>
      </w:r>
      <w:r w:rsidRPr="00F34B55">
        <w:rPr>
          <w:lang w:val="en-US"/>
        </w:rPr>
        <w:t>.</w:t>
      </w:r>
    </w:p>
    <w:p w14:paraId="5ED853D9" w14:textId="77777777" w:rsidR="003F2BFF" w:rsidRPr="00A70916" w:rsidRDefault="003F2BFF" w:rsidP="003F2BFF">
      <w:pPr>
        <w:pStyle w:val="text-base"/>
        <w:jc w:val="both"/>
        <w:rPr>
          <w:color w:val="000000" w:themeColor="text1"/>
          <w:lang w:val="en-US"/>
        </w:rPr>
      </w:pPr>
      <w:r w:rsidRPr="00FD0529">
        <w:rPr>
          <w:lang w:val="en-US"/>
        </w:rPr>
        <w:lastRenderedPageBreak/>
        <w:t>This study is exploratory and has limited statistical power (≈45% for medium effects). Given the empirical demand panel and synthetic supply-side inputs, the results support hypothesis generation and stress-testing of failure modes rather than deployment claims. Confirmatory studies with larger replication budgets (≈n ≥ 285 per condition under medium effects) and facility-specific calibration should precede operational decisions.</w:t>
      </w:r>
    </w:p>
    <w:p w14:paraId="2C158AD8" w14:textId="77777777" w:rsidR="003F2BFF" w:rsidRPr="00A70916" w:rsidRDefault="003F2BFF" w:rsidP="003F2BFF">
      <w:pPr>
        <w:pStyle w:val="text-base"/>
        <w:jc w:val="both"/>
        <w:rPr>
          <w:color w:val="000000" w:themeColor="text1"/>
          <w:lang w:val="en-US"/>
        </w:rPr>
      </w:pPr>
      <w:r w:rsidRPr="00FD0529">
        <w:rPr>
          <w:lang w:val="en-US"/>
        </w:rPr>
        <w:t xml:space="preserve">This proof-of-concept study advances healthcare operations research through (1) a replicable multi-baseline evaluation that compares Static, Dynamic, and analytical base-stock policies against a hybrid ML–RL–GA controller under paired common-random-number replications, (2) full-scenario reporting across stable and stress-tested regimes, including documentation of failure modes, and (3) an operational audit of candidate deployment gates (volatility, throughput, and shortage-penalty intensity) that flags unit mismatches and </w:t>
      </w:r>
      <w:r w:rsidR="008E66BF">
        <w:rPr>
          <w:lang w:val="en-US"/>
        </w:rPr>
        <w:t>suggests</w:t>
      </w:r>
      <w:r w:rsidRPr="00FD0529">
        <w:rPr>
          <w:lang w:val="en-US"/>
        </w:rPr>
        <w:t xml:space="preserve"> facility-specific calibration before operational use.</w:t>
      </w:r>
    </w:p>
    <w:p w14:paraId="517C403B" w14:textId="77777777" w:rsidR="003F2BFF" w:rsidRPr="002875A0" w:rsidRDefault="00CB0AF5" w:rsidP="002875A0">
      <w:pPr>
        <w:pStyle w:val="Ttulo1"/>
        <w:numPr>
          <w:ilvl w:val="0"/>
          <w:numId w:val="32"/>
        </w:numPr>
      </w:pPr>
      <w:r w:rsidRPr="002875A0">
        <w:t>Literature Review</w:t>
      </w:r>
    </w:p>
    <w:p w14:paraId="26B90761" w14:textId="507A8A70" w:rsidR="00D75BAD" w:rsidRPr="00A70916" w:rsidRDefault="0066644E" w:rsidP="00EB4A76">
      <w:pPr>
        <w:pStyle w:val="text-base"/>
        <w:jc w:val="both"/>
        <w:rPr>
          <w:color w:val="000000" w:themeColor="text1"/>
          <w:lang w:val="en-US"/>
        </w:rPr>
      </w:pPr>
      <w:r w:rsidRPr="00F34B55">
        <w:rPr>
          <w:lang w:val="en-US"/>
        </w:rPr>
        <w:t xml:space="preserve">Healthcare supply chains </w:t>
      </w:r>
      <w:r w:rsidR="002B74AA">
        <w:rPr>
          <w:lang w:val="en-US"/>
        </w:rPr>
        <w:t>aim to maintain stable service levels amid uncertain demand and constrained capacity, while decision-makers keep logistics and inventory costs within budget</w:t>
      </w:r>
      <w:r w:rsidRPr="00F34B55">
        <w:rPr>
          <w:lang w:val="en-US"/>
        </w:rPr>
        <w:t xml:space="preserve">. The literature at the intersection of operations research, production economics, and healthcare logistics examined demand forecasting, inventory control, and routing decisions, but has only recently begun to evaluate AI-based policies against contemporary stochastic inventory policies under identical conditions </w:t>
      </w:r>
      <w:r w:rsidR="00F34B55">
        <w:rPr>
          <w:lang w:val="en-US"/>
        </w:rPr>
        <w:fldChar w:fldCharType="begin"/>
      </w:r>
      <w:r w:rsidR="00F34B55">
        <w:rPr>
          <w:lang w:val="en-US"/>
        </w:rPr>
        <w:instrText xml:space="preserve"> ADDIN ZOTERO_ITEM CSL_CITATION {"citationID":"2enFmn65","properties":{"formattedCitation":"(Iftikhar et al., 2024; Maharjan and Kato, 2022)","plainCitation":"(Iftikhar et al., 2024; Maharjan and Kato, 2022)","noteIndex":0},"citationItems":[{"id":3542,"uris":["http://zotero.org/users/12903205/items/NYW8LQS4"],"itemData":{"id":3542,"type":"article-journal","abstract":"Abstract\n            In recent times, the literature has seen considerable growth in research at the intersection of digital innovation, data analytics, and supply chain resilience. While the number of studies on the topic has been burgeoning, due to the absence of a comprehensive literature review, it remains unclear what aspects of the subject have already been investigated and what are the avenues for impactful future research. Integrating bibliometric analysis with a systematic review approach, this paper offers the review of 262 articles at the nexus of innovative technologies, data analytics, and supply chain resiliency. The analysis uncovers the critical research clusters, the evolution of research over time, knowledge trajectories and methodological development in the area. Our thorough analysis enriches contemporary knowledge on the subject by consolidating the dispersed literature on the significance of innovative technologies, data analytics and supply chain resilience thereby recognizing major research clusters or domains and fruitful paths for future research. The review also helps improve practitioners’ awareness of the recent research on the topic by recapping key findings of a large amount of literature in one place.","container-title":"Annals of Operations Research","DOI":"10.1007/s10479-022-04765-6","ISSN":"0254-5330, 1572-9338","issue":"2-3","journalAbbreviation":"Ann Oper Res","language":"en","page":"825-848","source":"DOI.org (Crossref)","title":"Digital Innovation, Data Analytics, and Supply Chain Resiliency: A Bibliometric-based Systematic Literature Review","title-short":"Digital Innovation, Data Analytics, and Supply Chain Resiliency","volume":"333","author":[{"family":"Iftikhar","given":"Anas"},{"family":"Ali","given":"Imran"},{"family":"Arslan","given":"Ahmad"},{"family":"Tarba","given":"Shlomo"}],"issued":{"date-parts":[["2024",2]]}},"label":"page"},{"id":3546,"uris":["http://zotero.org/users/12903205/items/65Z77BQX"],"itemData":{"id":3546,"type":"article-journal","container-title":"Transport Reviews","DOI":"10.1080/01441647.2022.2080773","ISSN":"0144-1647, 1464-5327","issue":"6","journalAbbreviation":"Transport Reviews","language":"en","page":"739-761","source":"DOI.org (Crossref)","title":"Resilient supply chain network design: a systematic literature review","title-short":"Resilient supply chain network design","volume":"42","author":[{"family":"Maharjan","given":"Rajali"},{"family":"Kato","given":"Hironori"}],"issued":{"date-parts":[["2022",11,2]]}},"label":"page"}],"schema":"https://github.com/citation-style-language/schema/raw/master/csl-citation.json"} </w:instrText>
      </w:r>
      <w:r w:rsidR="00F34B55">
        <w:rPr>
          <w:lang w:val="en-US"/>
        </w:rPr>
        <w:fldChar w:fldCharType="separate"/>
      </w:r>
      <w:r w:rsidR="00F34B55" w:rsidRPr="00F34B55">
        <w:t>(Iftikhar et al., 2024; Maharjan and Kato, 2022)</w:t>
      </w:r>
      <w:r w:rsidR="00F34B55">
        <w:rPr>
          <w:lang w:val="en-US"/>
        </w:rPr>
        <w:fldChar w:fldCharType="end"/>
      </w:r>
      <w:r w:rsidRPr="00F34B55">
        <w:rPr>
          <w:lang w:val="en-US"/>
        </w:rPr>
        <w:t>.</w:t>
      </w:r>
    </w:p>
    <w:p w14:paraId="235CD5F4" w14:textId="77777777" w:rsidR="00DF4A3F" w:rsidRPr="00780847" w:rsidRDefault="002875A0" w:rsidP="00B40008">
      <w:pPr>
        <w:pStyle w:val="Ttulo2"/>
      </w:pPr>
      <w:r w:rsidRPr="00780847">
        <w:t xml:space="preserve">2.1 </w:t>
      </w:r>
      <w:r w:rsidR="00DF4A3F" w:rsidRPr="00780847">
        <w:t>AI Applications in Healthcare Supply Chain Management</w:t>
      </w:r>
    </w:p>
    <w:p w14:paraId="3B88B095" w14:textId="77777777" w:rsidR="008B1D4B" w:rsidRPr="00A70916" w:rsidRDefault="008B1D4B" w:rsidP="00EB4A76">
      <w:pPr>
        <w:pStyle w:val="text-base"/>
        <w:jc w:val="both"/>
        <w:rPr>
          <w:color w:val="000000" w:themeColor="text1"/>
          <w:lang w:val="en-US"/>
        </w:rPr>
      </w:pPr>
      <w:r w:rsidRPr="00E85063">
        <w:rPr>
          <w:color w:val="000000" w:themeColor="text1"/>
          <w:lang w:val="en-US"/>
        </w:rPr>
        <w:t>Applied work in healthcare supply chains often combines ML forecasting, replenishment control, and vehicle routing</w:t>
      </w:r>
      <w:r w:rsidR="00E85063" w:rsidRPr="00E85063">
        <w:rPr>
          <w:color w:val="000000" w:themeColor="text1"/>
          <w:lang w:val="en-US"/>
        </w:rPr>
        <w:t xml:space="preserve"> </w:t>
      </w:r>
      <w:r w:rsidR="00E85063">
        <w:rPr>
          <w:color w:val="EE0000"/>
          <w:lang w:val="en-US"/>
        </w:rPr>
        <w:fldChar w:fldCharType="begin"/>
      </w:r>
      <w:r w:rsidR="00E85063">
        <w:rPr>
          <w:color w:val="EE0000"/>
          <w:lang w:val="en-US"/>
        </w:rPr>
        <w:instrText xml:space="preserve"> ADDIN ZOTERO_ITEM CSL_CITATION {"citationID":"Qw7fMd0m","properties":{"formattedCitation":"(Bogyrbayeva et al., 2024; Correll et al., 2023)","plainCitation":"(Bogyrbayeva et al., 2024; Correll et al., 2023)","noteIndex":0},"citationItems":[{"id":3550,"uris":["http://zotero.org/users/12903205/items/XE4MK2GB"],"itemData":{"id":3550,"type":"article-journal","container-title":"IEEE Transactions on Intelligent Transportation Systems","DOI":"10.1109/TITS.2023.3334976","ISSN":"1524-9050, 1558-0016","issue":"6","journalAbbreviation":"IEEE Trans. Intell. Transport. Syst.","license":"https://ieeexplore.ieee.org/Xplorehelp/downloads/license-information/IEEE.html","page":"4754-4772","source":"DOI.org (Crossref)","title":"Machine Learning to Solve Vehicle Routing Problems: A Survey","title-short":"Machine Learning to Solve Vehicle Routing Problems","volume":"25","author":[{"family":"Bogyrbayeva","given":"Aigerim"},{"family":"Meraliyev","given":"Meraryslan"},{"family":"Mustakhov","given":"Taukekhan"},{"family":"Dauletbayev","given":"Bissenbay"}],"issued":{"date-parts":[["2024",6]]}},"label":"page"},{"id":3547,"uris":["http://zotero.org/users/12903205/items/4FK2QU4X"],"itemData":{"id":3547,"type":"article-journal","abstract":"Abstract\n            Problem instances of a size suitable for practical applications are not likely to be addressed during the noisy intermediate‐scale quantum (NISQ) period with (almost) pure quantum algorithms. Hybrid classical‐quantum algorithms have potential, however, to achieve good performance on much larger problem instances. One such hybrid algorithm on a problem of substantial importance: vehicle routing for supply chain logistics with multiple trucks and complex demand structure is investigated. Reinforcement learning with neural networks with embedded quantum circuits is used. In such neural networks, projecting high‐dimensional feature vectors down to smaller vectors is necessary to accommodate restrictions on the number of qubits of NISQ hardware. However, a multi‐head attention mechanism is used where, even in classical machine learning, such projections are natural and desirable. Data from the truck routing logistics of a company in the automotive sector is considered, and the methodology is applied by decomposing into small teams of trucks and results are found comparable to human truck assignment.","container-title":"Advanced Quantum Technologies","DOI":"10.1002/qute.202200183","ISSN":"2511-9044, 2511-9044","issue":"7","journalAbbreviation":"Adv Quantum Tech","language":"en","page":"2200183","source":"DOI.org (Crossref)","title":"Quantum Neural Networks for a Supply Chain Logistics Application","volume":"6","author":[{"family":"Correll","given":"Randall"},{"family":"Weinberg","given":"Sean J."},{"family":"Sanches","given":"Fabio"},{"family":"Ide","given":"Takanori"},{"family":"Suzuki","given":"Takafumi"}],"issued":{"date-parts":[["2023",7]]}},"label":"page"}],"schema":"https://github.com/citation-style-language/schema/raw/master/csl-citation.json"} </w:instrText>
      </w:r>
      <w:r w:rsidR="00E85063">
        <w:rPr>
          <w:color w:val="EE0000"/>
          <w:lang w:val="en-US"/>
        </w:rPr>
        <w:fldChar w:fldCharType="separate"/>
      </w:r>
      <w:r w:rsidR="00E85063" w:rsidRPr="00BA7E1A">
        <w:rPr>
          <w:lang w:val="en-US"/>
        </w:rPr>
        <w:t>(Bogyrbayeva et al., 2024; Correll et al., 2023)</w:t>
      </w:r>
      <w:r w:rsidR="00E85063">
        <w:rPr>
          <w:color w:val="EE0000"/>
          <w:lang w:val="en-US"/>
        </w:rPr>
        <w:fldChar w:fldCharType="end"/>
      </w:r>
      <w:r w:rsidRPr="00E85063">
        <w:rPr>
          <w:color w:val="EE0000"/>
          <w:lang w:val="en-US"/>
        </w:rPr>
        <w:t xml:space="preserve">. </w:t>
      </w:r>
      <w:r w:rsidRPr="00FD0529">
        <w:rPr>
          <w:lang w:val="en-US"/>
        </w:rPr>
        <w:t xml:space="preserve">Many evaluations benchmark learned policies against weak heuristics rather than tuned classical controls, which complicates attribution of reported gains </w:t>
      </w:r>
      <w:r w:rsidR="00862514">
        <w:rPr>
          <w:lang w:val="en-US"/>
        </w:rPr>
        <w:fldChar w:fldCharType="begin"/>
      </w:r>
      <w:r w:rsidR="00862514">
        <w:rPr>
          <w:lang w:val="en-US"/>
        </w:rPr>
        <w:instrText xml:space="preserve"> ADDIN ZOTERO_ITEM CSL_CITATION {"citationID":"StwV3ykb","properties":{"formattedCitation":"(Harsha et al., 2025; Stranieri et al., 2024)","plainCitation":"(Harsha et al., 2025; Stranieri et al., 2024)","noteIndex":0},"citationItems":[{"id":3429,"uris":["http://zotero.org/users/12903205/items/2MYMBLJ3"],"itemData":{"id":3429,"type":"article-journal","container-title":"Manufacturing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label":"page"}],"schema":"https://github.com/citation-style-language/schema/raw/master/csl-citation.json"} </w:instrText>
      </w:r>
      <w:r w:rsidR="00862514">
        <w:rPr>
          <w:lang w:val="en-US"/>
        </w:rPr>
        <w:fldChar w:fldCharType="separate"/>
      </w:r>
      <w:r w:rsidR="00862514" w:rsidRPr="00862514">
        <w:rPr>
          <w:lang w:val="en-US"/>
        </w:rPr>
        <w:t>(Harsha et al., 2025; Stranieri et al., 2024)</w:t>
      </w:r>
      <w:r w:rsidR="00862514">
        <w:rPr>
          <w:lang w:val="en-US"/>
        </w:rPr>
        <w:fldChar w:fldCharType="end"/>
      </w:r>
      <w:r w:rsidRPr="00FD0529">
        <w:rPr>
          <w:lang w:val="en-US"/>
        </w:rPr>
        <w:t xml:space="preserve">. </w:t>
      </w:r>
      <w:r w:rsidR="00382B76">
        <w:rPr>
          <w:lang w:val="en-US"/>
        </w:rPr>
        <w:t>I</w:t>
      </w:r>
      <w:r w:rsidRPr="00FD0529">
        <w:rPr>
          <w:lang w:val="en-US"/>
        </w:rPr>
        <w:t>nventory RL research integrate</w:t>
      </w:r>
      <w:r w:rsidR="00932758">
        <w:rPr>
          <w:lang w:val="en-US"/>
        </w:rPr>
        <w:t>s</w:t>
      </w:r>
      <w:r w:rsidRPr="00FD0529">
        <w:rPr>
          <w:lang w:val="en-US"/>
        </w:rPr>
        <w:t xml:space="preserve"> structural heuristics or optimization subroutines to improve stability and action feasibility </w:t>
      </w:r>
      <w:r w:rsidR="00862514">
        <w:rPr>
          <w:lang w:val="en-US"/>
        </w:rPr>
        <w:fldChar w:fldCharType="begin"/>
      </w:r>
      <w:r w:rsidR="00862514">
        <w:rPr>
          <w:lang w:val="en-US"/>
        </w:rPr>
        <w:instrText xml:space="preserve"> ADDIN ZOTERO_ITEM CSL_CITATION {"citationID":"hF5cziBP","properties":{"formattedCitation":"(Harsha et al., 2025; Temiz\\uc0\\u246{}z et al., 2025)","plainCitation":"(Harsha et al., 2025; Temizöz et al., 2025)","noteIndex":0},"citationItems":[{"id":3429,"uris":["http://zotero.org/users/12903205/items/2MYMBLJ3"],"itemData":{"id":3429,"type":"article-journal","container-title":"Manufacturing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3358,"uris":["http://zotero.org/users/12903205/items/RUWAPBI4"],"itemData":{"id":3358,"type":"article-journal","container-title":"European Journal of Operational Research","DOI":"10.1016/j.ejor.2025.01.026","ISSN":"03772217","issue":"1","journalAbbreviation":"European Journal of Operational Research","language":"en","page":"104-117","source":"DOI.org (Crossref)","title":"Deep Controlled Learning for Inventory Control","volume":"324","author":[{"family":"Temizöz","given":"Tarkan"},{"family":"Imdahl","given":"Christina"},{"family":"Dijkman","given":"Remco"},{"family":"Lamghari-Idrissi","given":"Douniel"},{"family":"Van Jaarsveld","given":"Willem"}],"issued":{"date-parts":[["2025",7]]}},"label":"page"}],"schema":"https://github.com/citation-style-language/schema/raw/master/csl-citation.json"} </w:instrText>
      </w:r>
      <w:r w:rsidR="00862514">
        <w:rPr>
          <w:lang w:val="en-US"/>
        </w:rPr>
        <w:fldChar w:fldCharType="separate"/>
      </w:r>
      <w:r w:rsidR="00862514" w:rsidRPr="00862514">
        <w:rPr>
          <w:lang w:val="en-US"/>
        </w:rPr>
        <w:t>(Harsha et al., 2025; Temizöz et al., 2025)</w:t>
      </w:r>
      <w:r w:rsidR="00862514">
        <w:rPr>
          <w:lang w:val="en-US"/>
        </w:rPr>
        <w:fldChar w:fldCharType="end"/>
      </w:r>
      <w:r w:rsidRPr="00FD0529">
        <w:rPr>
          <w:lang w:val="en-US"/>
        </w:rPr>
        <w:t xml:space="preserve">. This context </w:t>
      </w:r>
      <w:r w:rsidR="008E66BF">
        <w:rPr>
          <w:lang w:val="en-US"/>
        </w:rPr>
        <w:t>aligns with our multi-baseline design and our focus on stress testing under distributional shifts</w:t>
      </w:r>
      <w:r w:rsidRPr="00FD0529">
        <w:rPr>
          <w:lang w:val="en-US"/>
        </w:rPr>
        <w:t>.</w:t>
      </w:r>
    </w:p>
    <w:p w14:paraId="05EB0DCA" w14:textId="77777777" w:rsidR="00E66C7A" w:rsidRPr="00A70916" w:rsidRDefault="002875A0" w:rsidP="00B40008">
      <w:pPr>
        <w:pStyle w:val="Ttulo2"/>
      </w:pPr>
      <w:r>
        <w:t xml:space="preserve">2.2 </w:t>
      </w:r>
      <w:r w:rsidR="00E66C7A" w:rsidRPr="00A70916">
        <w:t>Reinforcement Learning in Inventory Management</w:t>
      </w:r>
    </w:p>
    <w:p w14:paraId="257CA0B4" w14:textId="77777777" w:rsidR="009436DD" w:rsidRDefault="00382B76" w:rsidP="00EB4A76">
      <w:pPr>
        <w:pStyle w:val="text-base"/>
        <w:jc w:val="both"/>
        <w:rPr>
          <w:color w:val="000000" w:themeColor="text1"/>
          <w:lang w:val="en-US"/>
        </w:rPr>
      </w:pPr>
      <w:r>
        <w:rPr>
          <w:lang w:val="en-US"/>
        </w:rPr>
        <w:t>W</w:t>
      </w:r>
      <w:r w:rsidR="00FC2397" w:rsidRPr="00A25014">
        <w:rPr>
          <w:lang w:val="en-US"/>
        </w:rPr>
        <w:t>ork</w:t>
      </w:r>
      <w:r w:rsidR="00932758">
        <w:rPr>
          <w:lang w:val="en-US"/>
        </w:rPr>
        <w:t>s</w:t>
      </w:r>
      <w:r w:rsidR="00FC2397" w:rsidRPr="00A25014">
        <w:rPr>
          <w:lang w:val="en-US"/>
        </w:rPr>
        <w:t xml:space="preserve"> </w:t>
      </w:r>
      <w:r w:rsidR="00FC2397" w:rsidRPr="00544949">
        <w:rPr>
          <w:lang w:val="en-US"/>
        </w:rPr>
        <w:t>reviewing RL in</w:t>
      </w:r>
      <w:r w:rsidR="00FC2397" w:rsidRPr="00A25014">
        <w:rPr>
          <w:lang w:val="en-US"/>
        </w:rPr>
        <w:t xml:space="preserve"> supply chain management highlight inventory control and resilience as key application domains </w:t>
      </w:r>
      <w:r w:rsidR="00862514">
        <w:rPr>
          <w:lang w:val="en-US"/>
        </w:rPr>
        <w:fldChar w:fldCharType="begin"/>
      </w:r>
      <w:r w:rsidR="00862514">
        <w:rPr>
          <w:lang w:val="en-US"/>
        </w:rPr>
        <w:instrText xml:space="preserve"> ADDIN ZOTERO_ITEM CSL_CITATION {"citationID":"ylFLf8TC","properties":{"formattedCitation":"(Rolf et al., 2023; Stranieri et al., 2024)","plainCitation":"(Rolf et al., 2023; Stranieri et al., 2024)","noteIndex":0},"citationItems":[{"id":3189,"uris":["http://zotero.org/users/12903205/items/T4A3KHNY"],"itemData":{"id":3189,"type":"article-journal","container-title":"International Journal of Production Research","DOI":"10.1080/00207543.2022.2140221","ISSN":"0020-7543, 1366-588X","issue":"20","journalAbbreviation":"International Journal of Production Research","language":"en","page":"7151-7179","source":"DOI.org (Crossref)","title":"A review on reinforcement learning algorithms and applications in supply chain management","volume":"61","author":[{"family":"Rolf","given":"Benjamin"},{"family":"Jackson","given":"Ilya"},{"family":"Müller","given":"Marcel"},{"family":"Lang","given":"Sebastian"},{"family":"Reggelin","given":"Tobias"},{"family":"Ivanov","given":"Dmitry"}],"issued":{"date-parts":[["2023",10,18]]}},"label":"page"},{"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label":"page"}],"schema":"https://github.com/citation-style-language/schema/raw/master/csl-citation.json"} </w:instrText>
      </w:r>
      <w:r w:rsidR="00862514">
        <w:rPr>
          <w:lang w:val="en-US"/>
        </w:rPr>
        <w:fldChar w:fldCharType="separate"/>
      </w:r>
      <w:r w:rsidR="00862514" w:rsidRPr="00862514">
        <w:rPr>
          <w:lang w:val="en-US"/>
        </w:rPr>
        <w:t>(Rolf et al., 2023; Stranieri et al., 2024)</w:t>
      </w:r>
      <w:r w:rsidR="00862514">
        <w:rPr>
          <w:lang w:val="en-US"/>
        </w:rPr>
        <w:fldChar w:fldCharType="end"/>
      </w:r>
      <w:r w:rsidR="00FC2397" w:rsidRPr="00A25014">
        <w:rPr>
          <w:lang w:val="en-US"/>
        </w:rPr>
        <w:t xml:space="preserve">. AI techniques help understand the randomness behind inventory control and logics, beyond forecasting. RL has emerged as a method for addressing non-stationary environments where traditional methods </w:t>
      </w:r>
      <w:r w:rsidR="00136957">
        <w:rPr>
          <w:lang w:val="en-US"/>
        </w:rPr>
        <w:t>degrade in performance</w:t>
      </w:r>
      <w:r w:rsidR="00FC2397" w:rsidRPr="00A25014">
        <w:rPr>
          <w:lang w:val="en-US"/>
        </w:rPr>
        <w:t xml:space="preserve"> </w:t>
      </w:r>
      <w:r w:rsidR="00862514">
        <w:rPr>
          <w:lang w:val="en-US"/>
        </w:rPr>
        <w:fldChar w:fldCharType="begin"/>
      </w:r>
      <w:r w:rsidR="00862514">
        <w:rPr>
          <w:lang w:val="en-US"/>
        </w:rPr>
        <w:instrText xml:space="preserve"> ADDIN ZOTERO_ITEM CSL_CITATION {"citationID":"uiLviG67","properties":{"formattedCitation":"(Kegenbekov and Jackson, 2021)","plainCitation":"(Kegenbekov and Jackson, 2021)","noteIndex":0},"citationItems":[{"id":3480,"uris":["http://zotero.org/users/12903205/items/NSVJDKFQ"],"itemData":{"id":3480,"type":"article-journal","abstract":"Adaptive and highly synchronized supply chains can avoid a cascading rise-and-fall inventory dynamic and mitigate ripple effects caused by operational failures. This paper aims to demonstrate how a deep reinforcement learning agent based on the proximal policy optimization algorithm can synchronize inbound and outbound flows and support business continuity operating in the stochastic and nonstationary environment if end-to-end visibility is provided. The deep reinforcement learning agent is built upon the Proximal Policy Optimization algorithm, which does not require hardcoded action space and exhaustive hyperparameter tuning. These features, complimented with a straightforward supply chain environment, give rise to a general and task unspecific approach to adaptive control in multi-echelon supply chains. The proposed approach is compared with the base-stock policy, a well-known method in classic operations research and inventory control theory. The base-stock policy is prevalent in continuous-review inventory systems. The paper concludes with the statement that the proposed solution can perform adaptive control in complex supply chains. The paper also postulates fully fledged supply chain digital twins as a necessary infrastructural condition for scalable real-world applications.","container-title":"Algorithms","DOI":"10.3390/a14080240","ISSN":"1999-4893","issue":"8","journalAbbreviation":"Algorithms","language":"en","page":"240","source":"DOI.org (Crossref)","title":"Adaptive Supply Chain: Demand–Supply Synchronization Using Deep Reinforcement Learning","title-short":"Adaptive Supply Chain","volume":"14","author":[{"family":"Kegenbekov","given":"Zhandos"},{"family":"Jackson","given":"Ilya"}],"issued":{"date-parts":[["2021",8,15]]}}}],"schema":"https://github.com/citation-style-language/schema/raw/master/csl-citation.json"} </w:instrText>
      </w:r>
      <w:r w:rsidR="00862514">
        <w:rPr>
          <w:lang w:val="en-US"/>
        </w:rPr>
        <w:fldChar w:fldCharType="separate"/>
      </w:r>
      <w:r w:rsidR="00862514" w:rsidRPr="00862514">
        <w:rPr>
          <w:lang w:val="en-US"/>
        </w:rPr>
        <w:t>(Kegenbekov and Jackson, 2021)</w:t>
      </w:r>
      <w:r w:rsidR="00862514">
        <w:rPr>
          <w:lang w:val="en-US"/>
        </w:rPr>
        <w:fldChar w:fldCharType="end"/>
      </w:r>
      <w:r w:rsidR="00FC2397" w:rsidRPr="00A25014">
        <w:rPr>
          <w:lang w:val="en-US"/>
        </w:rPr>
        <w:t>.</w:t>
      </w:r>
    </w:p>
    <w:p w14:paraId="392DD436" w14:textId="2D959DE1" w:rsidR="003D7B18" w:rsidRPr="00CE76FE" w:rsidRDefault="005B3EBC" w:rsidP="00EB4A76">
      <w:pPr>
        <w:pStyle w:val="text-base"/>
        <w:jc w:val="both"/>
        <w:rPr>
          <w:color w:val="000000" w:themeColor="text1"/>
          <w:lang w:val="en-US"/>
        </w:rPr>
      </w:pPr>
      <w:r w:rsidRPr="00F34B55">
        <w:rPr>
          <w:lang w:val="en-US"/>
        </w:rPr>
        <w:t xml:space="preserve">Earlier work on reinforcement learning for inventory control in multi-echelon supply chains has already shown that adaptive policies can outperform fixed heuristics when demand and lead times are stochastic, even outside healthcare settings </w:t>
      </w:r>
      <w:r w:rsidR="00F34B55">
        <w:rPr>
          <w:lang w:val="en-US"/>
        </w:rPr>
        <w:fldChar w:fldCharType="begin"/>
      </w:r>
      <w:r w:rsidR="00F34B55">
        <w:rPr>
          <w:lang w:val="en-US"/>
        </w:rPr>
        <w:instrText xml:space="preserve"> ADDIN ZOTERO_ITEM CSL_CITATION {"citationID":"0xnVdJf4","properties":{"formattedCitation":"(Rolf et al., 2023)","plainCitation":"(Rolf et al., 2023)","noteIndex":0},"citationItems":[{"id":3189,"uris":["http://zotero.org/users/12903205/items/T4A3KHNY"],"itemData":{"id":3189,"type":"article-journal","container-title":"International Journal of Production Research","DOI":"10.1080/00207543.2022.2140221","ISSN":"0020-7543, 1366-588X","issue":"20","journalAbbreviation":"International Journal of Production Research","language":"en","page":"7151-7179","source":"DOI.org (Crossref)","title":"A review on reinforcement learning algorithms and applications in supply chain management","volume":"61","author":[{"family":"Rolf","given":"Benjamin"},{"family":"Jackson","given":"Ilya"},{"family":"Müller","given":"Marcel"},{"family":"Lang","given":"Sebastian"},{"family":"Reggelin","given":"Tobias"},{"family":"Ivanov","given":"Dmitry"}],"issued":{"date-parts":[["2023",10,18]]}}}],"schema":"https://github.com/citation-style-language/schema/raw/master/csl-citation.json"} </w:instrText>
      </w:r>
      <w:r w:rsidR="00F34B55">
        <w:rPr>
          <w:lang w:val="en-US"/>
        </w:rPr>
        <w:fldChar w:fldCharType="separate"/>
      </w:r>
      <w:r w:rsidR="00F34B55" w:rsidRPr="00F34B55">
        <w:rPr>
          <w:lang w:val="en-US"/>
        </w:rPr>
        <w:t>(Rolf et al., 2023)</w:t>
      </w:r>
      <w:r w:rsidR="00F34B55">
        <w:rPr>
          <w:lang w:val="en-US"/>
        </w:rPr>
        <w:fldChar w:fldCharType="end"/>
      </w:r>
      <w:r w:rsidRPr="00F34B55">
        <w:rPr>
          <w:lang w:val="en-US"/>
        </w:rPr>
        <w:t xml:space="preserve">. Applications, such as Deep Policy Iteration, demonstrate that an RL agent can learn nonlinear ordering policies that outperform static heuristics in symmetric supply chain settings </w:t>
      </w:r>
      <w:r w:rsidR="00F34B55">
        <w:rPr>
          <w:lang w:val="en-US"/>
        </w:rPr>
        <w:fldChar w:fldCharType="begin"/>
      </w:r>
      <w:r w:rsidR="00F34B55">
        <w:rPr>
          <w:lang w:val="en-US"/>
        </w:rPr>
        <w:instrText xml:space="preserve"> ADDIN ZOTERO_ITEM CSL_CITATION {"citationID":"ljMob7TF","properties":{"formattedCitation":"(Harsha et al., 2025)","plainCitation":"(Harsha et al., 2025)","noteIndex":0},"citationItems":[{"id":3429,"uris":["http://zotero.org/users/12903205/items/2MYMBLJ3"],"itemData":{"id":3429,"type":"article-journal","container-title":"Manufacturing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schema":"https://github.com/citation-style-language/schema/raw/master/csl-citation.json"} </w:instrText>
      </w:r>
      <w:r w:rsidR="00F34B55">
        <w:rPr>
          <w:lang w:val="en-US"/>
        </w:rPr>
        <w:fldChar w:fldCharType="separate"/>
      </w:r>
      <w:r w:rsidR="00F34B55" w:rsidRPr="00F34B55">
        <w:rPr>
          <w:lang w:val="en-US"/>
        </w:rPr>
        <w:t>(Harsha et al., 2025)</w:t>
      </w:r>
      <w:r w:rsidR="00F34B55">
        <w:rPr>
          <w:lang w:val="en-US"/>
        </w:rPr>
        <w:fldChar w:fldCharType="end"/>
      </w:r>
      <w:r w:rsidRPr="00F34B55">
        <w:rPr>
          <w:lang w:val="en-US"/>
        </w:rPr>
        <w:t xml:space="preserve">. At the same time, GAs help in the combinatorial optimization of the vehicle routing problem, which dynamic routing through scheduling does not allow </w:t>
      </w:r>
      <w:r w:rsidR="00F34B55">
        <w:rPr>
          <w:lang w:val="en-US"/>
        </w:rPr>
        <w:fldChar w:fldCharType="begin"/>
      </w:r>
      <w:r w:rsidR="00F34B55">
        <w:rPr>
          <w:lang w:val="en-US"/>
        </w:rPr>
        <w:instrText xml:space="preserve"> ADDIN ZOTERO_ITEM CSL_CITATION {"citationID":"aATIwm9I","properties":{"formattedCitation":"(Lam et al., 2024)","plainCitation":"(Lam et al., 2024)","noteIndex":0},"citationItems":[{"id":3316,"uris":["http://zotero.org/users/12903205/items/8VJYYMID"],"itemData":{"id":3316,"type":"article-journal","abstract":"As a famous population-based metaheuristic algorithm, a genetic algorithm can be used to overcome optimization complexities. A genetic algorithm adopts probabilistic transition rules and is suitable for parallelism, which makes this algorithm attractive in many areas, including the logistics and supply chain sector. To obtain a comprehensive understanding of the development in this area, this paper presents a bibliometric analysis on the application of a genetic algorithm in logistics and supply chains using data from 1991 to 2024 from the Web of Science database. The authors found a growing trend in the number of publications and citations over the years. This paper serves as an important reference to researchers by highlighting important research areas, such as multi-objective optimization, metaheuristics, sustainability issues in logistics, and machine learning integration. This bibliometric analysis also underlines the importance of Non-Dominated Sorting Genetic Algorithm II (NSGA-II), sustainability, machine learning, and variable neighborhood search in the application of a genetic algorithm in logistics and supply chains in the near future. The integration of a genetic algorithm with machine learning is also a potential research gap to be filled to overcome the limitations of genetic algorithms, such as the long computational time, difficulties in obtaining optimal solutions, and convergence issues for application in logistics and supply chains.","container-title":"Mathematics","DOI":"10.3390/math12081199","ISSN":"2227-7390","issue":"8","journalAbbreviation":"Mathematics","language":"en","license":"https://creativecommons.org/licenses/by/4.0/","page":"1199","source":"DOI.org (Crossref)","title":"A Bibliometric Analysis of a Genetic Algorithm for Supply Chain Agility","volume":"12","author":[{"family":"Lam","given":"Weng Hoe"},{"family":"Lam","given":"Weng Siew"},{"family":"Lee","given":"Pei Fun"}],"issued":{"date-parts":[["2024",4,17]]}}}],"schema":"https://github.com/citation-style-language/schema/raw/master/csl-citation.json"} </w:instrText>
      </w:r>
      <w:r w:rsidR="00F34B55">
        <w:rPr>
          <w:lang w:val="en-US"/>
        </w:rPr>
        <w:fldChar w:fldCharType="separate"/>
      </w:r>
      <w:r w:rsidR="00F34B55" w:rsidRPr="00F34B55">
        <w:rPr>
          <w:lang w:val="en-US"/>
        </w:rPr>
        <w:t>(Lam et al., 2024)</w:t>
      </w:r>
      <w:r w:rsidR="00F34B55">
        <w:rPr>
          <w:lang w:val="en-US"/>
        </w:rPr>
        <w:fldChar w:fldCharType="end"/>
      </w:r>
      <w:r w:rsidRPr="00F34B55">
        <w:rPr>
          <w:lang w:val="en-US"/>
        </w:rPr>
        <w:t xml:space="preserve">. However, although these algorithm developments are theoretically promising, their use in the public health domain requires validation against the cost constraint and service obligation of decentralized systems </w:t>
      </w:r>
      <w:r w:rsidR="00F34B55">
        <w:rPr>
          <w:lang w:val="en-US"/>
        </w:rPr>
        <w:fldChar w:fldCharType="begin"/>
      </w:r>
      <w:r w:rsidR="00F34B55">
        <w:rPr>
          <w:lang w:val="en-US"/>
        </w:rPr>
        <w:instrText xml:space="preserve"> ADDIN ZOTERO_ITEM CSL_CITATION {"citationID":"iR31jeD4","properties":{"formattedCitation":"(Stranieri et al., 2024)","plainCitation":"(Stranieri et al., 2024)","noteIndex":0},"citationItems":[{"id":3483,"uris":["http://zotero.org/users/12903205/items/EGMTTSVU"],"itemData":{"id":3483,"type":"article-journal","container-title":"International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schema":"https://github.com/citation-style-language/schema/raw/master/csl-citation.json"} </w:instrText>
      </w:r>
      <w:r w:rsidR="00F34B55">
        <w:rPr>
          <w:lang w:val="en-US"/>
        </w:rPr>
        <w:fldChar w:fldCharType="separate"/>
      </w:r>
      <w:r w:rsidR="00F34B55" w:rsidRPr="00F34B55">
        <w:rPr>
          <w:lang w:val="en-US"/>
        </w:rPr>
        <w:t>(Stranieri et al., 2024)</w:t>
      </w:r>
      <w:r w:rsidR="00F34B55">
        <w:rPr>
          <w:lang w:val="en-US"/>
        </w:rPr>
        <w:fldChar w:fldCharType="end"/>
      </w:r>
      <w:r w:rsidRPr="00F34B55">
        <w:rPr>
          <w:lang w:val="en-US"/>
        </w:rPr>
        <w:t>.</w:t>
      </w:r>
    </w:p>
    <w:p w14:paraId="2E32E5A6" w14:textId="77777777" w:rsidR="00C730E6" w:rsidRPr="00A70916" w:rsidRDefault="002875A0" w:rsidP="00B40008">
      <w:pPr>
        <w:pStyle w:val="Ttulo2"/>
      </w:pPr>
      <w:r>
        <w:lastRenderedPageBreak/>
        <w:t xml:space="preserve">2.3 </w:t>
      </w:r>
      <w:r w:rsidR="00246EF4" w:rsidRPr="00246EF4">
        <w:t>Stochastic inventory control policies as operational baselines</w:t>
      </w:r>
    </w:p>
    <w:p w14:paraId="71A0D676" w14:textId="77777777" w:rsidR="00740398" w:rsidRPr="00A70916" w:rsidRDefault="00DF48A9" w:rsidP="002420AF">
      <w:pPr>
        <w:pStyle w:val="text-base"/>
        <w:jc w:val="both"/>
        <w:rPr>
          <w:color w:val="000000" w:themeColor="text1"/>
          <w:lang w:val="en-US"/>
        </w:rPr>
      </w:pPr>
      <w:r w:rsidRPr="00DF48A9">
        <w:rPr>
          <w:color w:val="000000" w:themeColor="text1"/>
          <w:lang w:val="en-US"/>
        </w:rPr>
        <w:t>Three traditional stochastic inventory control approaches provide the natural baselines for evaluating AI-based policies in healthcare supply chains</w:t>
      </w:r>
      <w:r w:rsidR="00740398" w:rsidRPr="00A70916">
        <w:rPr>
          <w:color w:val="000000" w:themeColor="text1"/>
          <w:lang w:val="en-US"/>
        </w:rPr>
        <w:t xml:space="preserve">. According to the literature </w:t>
      </w:r>
      <w:r w:rsidR="00862514">
        <w:rPr>
          <w:color w:val="000000" w:themeColor="text1"/>
          <w:lang w:val="en-US"/>
        </w:rPr>
        <w:fldChar w:fldCharType="begin"/>
      </w:r>
      <w:r w:rsidR="0055718B">
        <w:rPr>
          <w:color w:val="000000" w:themeColor="text1"/>
          <w:lang w:val="en-US"/>
        </w:rPr>
        <w:instrText xml:space="preserve"> ADDIN ZOTERO_ITEM CSL_CITATION {"citationID":"OKshkDaw","properties":{"formattedCitation":"(Soraya et al., 2022)","plainCitation":"(Soraya et al., 2022)","noteIndex":0},"citationItems":[{"id":3430,"uris":["http://zotero.org/users/12903205/items/AJ8R2Y2Y"],"itemData":{"id":3430,"type":"article-journal","container-title":"Jurnal Aisyah : Jurnal Ilmu Kesehatan","DOI":"10.30604/jika.v7i1.1319","ISSN":"2502-9495, 2502-4825","issue":"1","page":"373–382","title":"Drug Inventory Management Using ABC-VEN and EOQ Analysis for Improving Hospital Efficiency","volume":"7","author":[{"family":"Soraya","given":"Clara"},{"family":"Surwanti","given":"Arni"},{"family":"Pribadi","given":"Firman"}],"issued":{"date-parts":[["2022",3,11]]}}}],"schema":"https://github.com/citation-style-language/schema/raw/master/csl-citation.json"} </w:instrText>
      </w:r>
      <w:r w:rsidR="00862514">
        <w:rPr>
          <w:color w:val="000000" w:themeColor="text1"/>
          <w:lang w:val="en-US"/>
        </w:rPr>
        <w:fldChar w:fldCharType="separate"/>
      </w:r>
      <w:r w:rsidR="0055718B" w:rsidRPr="0055718B">
        <w:rPr>
          <w:lang w:val="en-US"/>
        </w:rPr>
        <w:t>(Soraya et al., 2022)</w:t>
      </w:r>
      <w:r w:rsidR="00862514">
        <w:rPr>
          <w:color w:val="000000" w:themeColor="text1"/>
          <w:lang w:val="en-US"/>
        </w:rPr>
        <w:fldChar w:fldCharType="end"/>
      </w:r>
      <w:r w:rsidR="00740398" w:rsidRPr="00A70916">
        <w:rPr>
          <w:color w:val="000000" w:themeColor="text1"/>
          <w:lang w:val="en-US"/>
        </w:rPr>
        <w:t xml:space="preserve">, static reorder policies </w:t>
      </w:r>
      <w:r w:rsidR="006F48C9">
        <w:rPr>
          <w:color w:val="000000" w:themeColor="text1"/>
          <w:lang w:val="en-US"/>
        </w:rPr>
        <w:t>employ fixed threshold levels</w:t>
      </w:r>
      <w:r w:rsidR="00740398" w:rsidRPr="00A70916">
        <w:rPr>
          <w:color w:val="000000" w:themeColor="text1"/>
          <w:lang w:val="en-US"/>
        </w:rPr>
        <w:t xml:space="preserve"> based on historical averages. While static re</w:t>
      </w:r>
      <w:r w:rsidR="0078707B" w:rsidRPr="00A70916">
        <w:rPr>
          <w:color w:val="000000" w:themeColor="text1"/>
          <w:lang w:val="en-US"/>
        </w:rPr>
        <w:t>order point policies are simple to apply, they remain the dominant standard in resource-</w:t>
      </w:r>
      <w:r w:rsidR="00740398" w:rsidRPr="00A70916">
        <w:rPr>
          <w:color w:val="000000" w:themeColor="text1"/>
          <w:lang w:val="en-US"/>
        </w:rPr>
        <w:t xml:space="preserve">constrained settings. Dynamic policies apply exponential smoothing </w:t>
      </w:r>
      <w:r w:rsidR="0078707B" w:rsidRPr="00A70916">
        <w:rPr>
          <w:color w:val="000000" w:themeColor="text1"/>
          <w:lang w:val="en-US"/>
        </w:rPr>
        <w:t>to reorder points</w:t>
      </w:r>
      <w:r w:rsidR="00136957">
        <w:rPr>
          <w:color w:val="000000" w:themeColor="text1"/>
          <w:lang w:val="en-US"/>
        </w:rPr>
        <w:t xml:space="preserve"> to adapt to demand changes</w:t>
      </w:r>
      <w:r w:rsidR="0078707B" w:rsidRPr="00A70916">
        <w:rPr>
          <w:color w:val="000000" w:themeColor="text1"/>
          <w:lang w:val="en-US"/>
        </w:rPr>
        <w:t xml:space="preserve"> while maintaining stability</w:t>
      </w:r>
      <w:r w:rsidR="00740398" w:rsidRPr="00A70916">
        <w:rPr>
          <w:color w:val="000000" w:themeColor="text1"/>
          <w:lang w:val="en-US"/>
        </w:rPr>
        <w:t xml:space="preserve">. Ultimately, analytical base-stock policies rely on the newsvendor model to calculate safety stock levels based on target service levels </w:t>
      </w:r>
      <w:r w:rsidR="0055718B">
        <w:rPr>
          <w:color w:val="000000" w:themeColor="text1"/>
          <w:lang w:val="en-US"/>
        </w:rPr>
        <w:fldChar w:fldCharType="begin"/>
      </w:r>
      <w:r w:rsidR="0055718B">
        <w:rPr>
          <w:color w:val="000000" w:themeColor="text1"/>
          <w:lang w:val="en-US"/>
        </w:rPr>
        <w:instrText xml:space="preserve"> ADDIN ZOTERO_ITEM CSL_CITATION {"citationID":"FJN2jqFs","properties":{"formattedCitation":"(Dehkhoda et al., 2025)","plainCitation":"(Dehkhoda et al., 2025)","noteIndex":0},"citationItems":[{"id":3344,"uris":["http://zotero.org/users/12903205/items/C8BEMCQS"],"itemData":{"id":3344,"type":"article-journal","container-title":"International Journal of Production Research","DOI":"10.1080/00207543.2024.2414380","ISSN":"0020-7543, 1366-588X","issue":"8","journalAbbreviation":"International Journal of Production Research","language":"en","page":"2970-2992","source":"DOI.org (Crossref)","title":"The effect of visibility on forecast and inventory management performance during the COVID-19 pandemic","volume":"63","author":[{"family":"Dehkhoda","given":"Kaveh"},{"family":"Bélanger","given":"Valérie"},{"family":"Cousineau","given":"Martin"}],"issued":{"date-parts":[["2025",4,18]]}}}],"schema":"https://github.com/citation-style-language/schema/raw/master/csl-citation.json"} </w:instrText>
      </w:r>
      <w:r w:rsidR="0055718B">
        <w:rPr>
          <w:color w:val="000000" w:themeColor="text1"/>
          <w:lang w:val="en-US"/>
        </w:rPr>
        <w:fldChar w:fldCharType="separate"/>
      </w:r>
      <w:r w:rsidR="0055718B" w:rsidRPr="0055718B">
        <w:rPr>
          <w:lang w:val="en-US"/>
        </w:rPr>
        <w:t>(Dehkhoda et al., 2025)</w:t>
      </w:r>
      <w:r w:rsidR="0055718B">
        <w:rPr>
          <w:color w:val="000000" w:themeColor="text1"/>
          <w:lang w:val="en-US"/>
        </w:rPr>
        <w:fldChar w:fldCharType="end"/>
      </w:r>
      <w:r w:rsidR="00740398" w:rsidRPr="00A70916">
        <w:rPr>
          <w:color w:val="000000" w:themeColor="text1"/>
          <w:lang w:val="en-US"/>
        </w:rPr>
        <w:t xml:space="preserve">. Since these approaches are operationally proven and widely in use, they </w:t>
      </w:r>
      <w:r w:rsidR="00557B61">
        <w:rPr>
          <w:color w:val="000000" w:themeColor="text1"/>
          <w:lang w:val="en-US"/>
        </w:rPr>
        <w:t>serve as the benchmark against which to compare technologies</w:t>
      </w:r>
      <w:r w:rsidR="00740398" w:rsidRPr="00A70916">
        <w:rPr>
          <w:color w:val="000000" w:themeColor="text1"/>
          <w:lang w:val="en-US"/>
        </w:rPr>
        <w:t>.</w:t>
      </w:r>
    </w:p>
    <w:p w14:paraId="42505FCF" w14:textId="77777777" w:rsidR="0047501B" w:rsidRPr="008746C2" w:rsidRDefault="00FC6F7A" w:rsidP="008746C2">
      <w:pPr>
        <w:pStyle w:val="text-base"/>
        <w:jc w:val="both"/>
        <w:rPr>
          <w:color w:val="000000" w:themeColor="text1"/>
          <w:lang w:val="en-US"/>
        </w:rPr>
      </w:pPr>
      <w:r>
        <w:rPr>
          <w:color w:val="000000" w:themeColor="text1"/>
          <w:lang w:val="en-US"/>
        </w:rPr>
        <w:t>I</w:t>
      </w:r>
      <w:r w:rsidRPr="008746C2">
        <w:rPr>
          <w:color w:val="000000" w:themeColor="text1"/>
          <w:lang w:val="en-US"/>
        </w:rPr>
        <w:t>nventory research also evaluates parametric policies such as (r,</w:t>
      </w:r>
      <w:r w:rsidR="00136957">
        <w:rPr>
          <w:color w:val="000000" w:themeColor="text1"/>
          <w:lang w:val="en-US"/>
        </w:rPr>
        <w:t xml:space="preserve"> </w:t>
      </w:r>
      <w:r w:rsidRPr="008746C2">
        <w:rPr>
          <w:color w:val="000000" w:themeColor="text1"/>
          <w:lang w:val="en-US"/>
        </w:rPr>
        <w:t>Q) and (s,</w:t>
      </w:r>
      <w:r w:rsidR="00136957">
        <w:rPr>
          <w:color w:val="000000" w:themeColor="text1"/>
          <w:lang w:val="en-US"/>
        </w:rPr>
        <w:t xml:space="preserve"> </w:t>
      </w:r>
      <w:r w:rsidRPr="008746C2">
        <w:rPr>
          <w:color w:val="000000" w:themeColor="text1"/>
          <w:lang w:val="en-US"/>
        </w:rPr>
        <w:t>S)</w:t>
      </w:r>
      <w:r w:rsidR="00136957">
        <w:rPr>
          <w:color w:val="000000" w:themeColor="text1"/>
          <w:lang w:val="en-US"/>
        </w:rPr>
        <w:t xml:space="preserve">, as well as intermittent-demand methods, when </w:t>
      </w:r>
      <w:r w:rsidR="00FC7240">
        <w:rPr>
          <w:color w:val="000000" w:themeColor="text1"/>
          <w:lang w:val="en-US"/>
        </w:rPr>
        <w:t xml:space="preserve">stock-keeping unit (SKU) </w:t>
      </w:r>
      <w:r w:rsidR="00136957">
        <w:rPr>
          <w:color w:val="000000" w:themeColor="text1"/>
          <w:lang w:val="en-US"/>
        </w:rPr>
        <w:t>histories are</w:t>
      </w:r>
      <w:r w:rsidRPr="008746C2">
        <w:rPr>
          <w:color w:val="000000" w:themeColor="text1"/>
          <w:lang w:val="en-US"/>
        </w:rPr>
        <w:t xml:space="preserve"> short</w:t>
      </w:r>
      <w:r w:rsidR="00932758">
        <w:rPr>
          <w:color w:val="000000" w:themeColor="text1"/>
          <w:lang w:val="en-US"/>
        </w:rPr>
        <w:t>,</w:t>
      </w:r>
      <w:r w:rsidRPr="008746C2">
        <w:rPr>
          <w:color w:val="000000" w:themeColor="text1"/>
          <w:lang w:val="en-US"/>
        </w:rPr>
        <w:t xml:space="preserve"> or demand is sparse</w:t>
      </w:r>
      <w:r>
        <w:rPr>
          <w:color w:val="000000" w:themeColor="text1"/>
          <w:lang w:val="en-US"/>
        </w:rPr>
        <w:t xml:space="preserve"> </w:t>
      </w:r>
      <w:r>
        <w:rPr>
          <w:color w:val="000000" w:themeColor="text1"/>
          <w:lang w:val="en-US"/>
        </w:rPr>
        <w:fldChar w:fldCharType="begin"/>
      </w:r>
      <w:r>
        <w:rPr>
          <w:color w:val="000000" w:themeColor="text1"/>
          <w:lang w:val="en-US"/>
        </w:rPr>
        <w:instrText xml:space="preserve"> ADDIN ZOTERO_ITEM CSL_CITATION {"citationID":"OfEBrR0s","properties":{"formattedCitation":"(Hasni et al., 2024; Perera and Sethi, 2023)","plainCitation":"(Hasni et al., 2024; Perera and Sethi, 2023)","noteIndex":0},"citationItems":[{"id":3552,"uris":["http://zotero.org/users/12903205/items/IARI8HVM"],"itemData":{"id":3552,"type":"article-journal","container-title":"International Journal of Production Research","DOI":"10.1080/00207543.2024.2306904","ISSN":"0020-7543, 1366-588X","issue":"17","journalAbbreviation":"International Journal of Production Research","language":"en","page":"6046-6063","source":"DOI.org (Crossref)","title":"A hybrid LSTM method for forecasting demands of medical items in humanitarian operations","volume":"62","author":[{"family":"Hasni","given":"Marwa"},{"family":"Babai","given":"M. Zied"},{"family":"Rostami-Tabar","given":"Bahman"}],"issued":{"date-parts":[["2024",9]]}},"label":"page"},{"id":3551,"uris":["http://zotero.org/users/12903205/items/ASICIAD4"],"itemData":{"id":3551,"type":"article-journal","abstract":"Fixed costs of ordering items or setting up a production process arise in many real‐life scenarios. In their presence, the most widely used ordering policy in the stochastic inventory literature is the\n              \n                \n                  \n                    \n                      \n                        (\n                        s\n                        ,\n                        S\n                        )\n                      \n                      $(s,S)$\n                    \n                  \n                  \n                \n              \n              policy. Optimality of\n              \n                \n                  \n                    \n                      \n                        (\n                        s\n                        ,\n                        S\n                        )\n                      \n                      $(s,S)$\n                    \n                  \n                  \n                \n              \n              policies and\n              \n                \n                  \n                    \n                      \n                        (\n                        s\n                        ,\n                        S\n                        )\n                      \n                      $(s,S)$\n                    \n                  \n                  \n                \n              \n              ‐type policies have been examined for various inventory models, including those with the inventory level being reviewed in every period or continuously, finite and infinite horizons, discounted‐cost and average‐cost criteria, backlogging and lost‐sales practices, standard and generalized demands and/or costs, deterministic and stochastic lead times, single‐product and multi‐product settings, and coordinated pricing‐inventory decisions. We comprehensively survey the vast literature accumulated over seven decades in two papers. This paper is devoted to\n              continuous‐time\n              models, and the companion paper, also published in this journal issue, reviews\n              discrete‐time\n              models. We go over model specifications, proof techniques, specific results, and limitations of the articles published in the literature. We conclude each paper by providing corresponding suggestions for extensions and directions for future research.","container-title":"Production and Operations Management","DOI":"10.1111/poms.13819","ISSN":"1059-1478, 1937-5956","issue":"1","journalAbbreviation":"Production and Operations Management","language":"en","page":"154-169","source":"DOI.org (Crossref)","title":"A survey of stochastic inventory models with fixed costs: Optimality of ( &lt;i&gt;s&lt;/i&gt; , &lt;i&gt;S&lt;/i&gt; ) and ( &lt;i&gt;s&lt;/i&gt; , &lt;i&gt;S&lt;/i&gt; )‐type policies—Continuous‐time case","title-short":"A survey of stochastic inventory models with fixed costs","volume":"32","author":[{"family":"Perera","given":"Sandun C."},{"family":"Sethi","given":"Suresh P."}],"issued":{"date-parts":[["2023",1]]}},"label":"page"}],"schema":"https://github.com/citation-style-language/schema/raw/master/csl-citation.json"} </w:instrText>
      </w:r>
      <w:r>
        <w:rPr>
          <w:color w:val="000000" w:themeColor="text1"/>
          <w:lang w:val="en-US"/>
        </w:rPr>
        <w:fldChar w:fldCharType="separate"/>
      </w:r>
      <w:r w:rsidRPr="00BA7E1A">
        <w:rPr>
          <w:lang w:val="en-US"/>
        </w:rPr>
        <w:t>(Hasni et al., 2024; Perera and Sethi, 2023)</w:t>
      </w:r>
      <w:r>
        <w:rPr>
          <w:color w:val="000000" w:themeColor="text1"/>
          <w:lang w:val="en-US"/>
        </w:rPr>
        <w:fldChar w:fldCharType="end"/>
      </w:r>
      <w:r w:rsidRPr="008746C2">
        <w:rPr>
          <w:color w:val="000000" w:themeColor="text1"/>
          <w:lang w:val="en-US"/>
        </w:rPr>
        <w:t xml:space="preserve">. Empirical studies link forecast quality to inventory outcomes </w:t>
      </w:r>
      <w:r w:rsidR="0055718B">
        <w:rPr>
          <w:lang w:val="en-US"/>
        </w:rPr>
        <w:fldChar w:fldCharType="begin"/>
      </w:r>
      <w:r w:rsidR="0055718B">
        <w:rPr>
          <w:lang w:val="en-US"/>
        </w:rPr>
        <w:instrText xml:space="preserve"> ADDIN ZOTERO_ITEM CSL_CITATION {"citationID":"yCxzbEUq","properties":{"formattedCitation":"(Theodorou et al., 2025)","plainCitation":"(Theodorou et al., 2025)","noteIndex":0},"citationItems":[{"id":3508,"uris":["http://zotero.org/users/12903205/items/A4ARMHWF"],"itemData":{"id":3508,"type":"article-journal","container-title":"European Journal of Operational Research","DOI":"10.1016/j.ejor.2024.12.033","ISSN":"03772217","issue":"2","journalAbbreviation":"European Journal of Operational Research","language":"en","page":"414-426","source":"DOI.org (Crossref)","title":"Forecast accuracy and inventory performance: Insights on their relationship from the M5 competition data","title-short":"Forecast accuracy and inventory performance","volume":"322","author":[{"family":"Theodorou","given":"Evangelos"},{"family":"Spiliotis","given":"Evangelos"},{"family":"Assimakopoulos","given":"Vassilios"}],"issued":{"date-parts":[["2025",4]]}}}],"schema":"https://github.com/citation-style-language/schema/raw/master/csl-citation.json"} </w:instrText>
      </w:r>
      <w:r w:rsidR="0055718B">
        <w:rPr>
          <w:lang w:val="en-US"/>
        </w:rPr>
        <w:fldChar w:fldCharType="separate"/>
      </w:r>
      <w:r w:rsidR="0055718B" w:rsidRPr="0055718B">
        <w:rPr>
          <w:lang w:val="en-US"/>
        </w:rPr>
        <w:t>(Theodorou et al., 2025)</w:t>
      </w:r>
      <w:r w:rsidR="0055718B">
        <w:rPr>
          <w:lang w:val="en-US"/>
        </w:rPr>
        <w:fldChar w:fldCharType="end"/>
      </w:r>
      <w:r w:rsidRPr="008746C2">
        <w:rPr>
          <w:color w:val="000000" w:themeColor="text1"/>
          <w:lang w:val="en-US"/>
        </w:rPr>
        <w:t xml:space="preserve"> and formalize </w:t>
      </w:r>
      <w:r w:rsidR="00136957">
        <w:rPr>
          <w:color w:val="000000" w:themeColor="text1"/>
          <w:lang w:val="en-US"/>
        </w:rPr>
        <w:t xml:space="preserve">the treatment of </w:t>
      </w:r>
      <w:r w:rsidRPr="008746C2">
        <w:rPr>
          <w:color w:val="000000" w:themeColor="text1"/>
          <w:lang w:val="en-US"/>
        </w:rPr>
        <w:t xml:space="preserve">intermittency and irregularity in cost-based control </w:t>
      </w:r>
      <w:r w:rsidR="0055718B">
        <w:rPr>
          <w:lang w:val="en-US"/>
        </w:rPr>
        <w:fldChar w:fldCharType="begin"/>
      </w:r>
      <w:r w:rsidR="0055718B">
        <w:rPr>
          <w:lang w:val="en-US"/>
        </w:rPr>
        <w:instrText xml:space="preserve"> ADDIN ZOTERO_ITEM CSL_CITATION {"citationID":"oHiiodqI","properties":{"formattedCitation":"(Ye et al., 2022)","plainCitation":"(Ye et al., 2022)","noteIndex":0},"citationItems":[{"id":3507,"uris":["http://zotero.org/users/12903205/items/R3859PQS"],"itemData":{"id":3507,"type":"article-journal","container-title":"European Journal of Operational Research","DOI":"10.1016/j.ejor.2022.02.033","ISSN":"03772217","issue":"1","journalAbbreviation":"European Journal of Operational Research","language":"en","page":"255-272","source":"DOI.org (Crossref)","title":"An empirical Bayes approach to incorporating demand intermittency and irregularity into inventory control","volume":"303","author":[{"family":"Ye","given":"Yuan"},{"family":"Lu","given":"Yonggang"},{"family":"Robinson","given":"Powell"},{"family":"Narayanan","given":"Arunachalam"}],"issued":{"date-parts":[["2022",11]]}}}],"schema":"https://github.com/citation-style-language/schema/raw/master/csl-citation.json"} </w:instrText>
      </w:r>
      <w:r w:rsidR="0055718B">
        <w:rPr>
          <w:lang w:val="en-US"/>
        </w:rPr>
        <w:fldChar w:fldCharType="separate"/>
      </w:r>
      <w:r w:rsidR="0055718B" w:rsidRPr="0055718B">
        <w:rPr>
          <w:lang w:val="en-US"/>
        </w:rPr>
        <w:t>(Ye et al., 2022)</w:t>
      </w:r>
      <w:r w:rsidR="0055718B">
        <w:rPr>
          <w:lang w:val="en-US"/>
        </w:rPr>
        <w:fldChar w:fldCharType="end"/>
      </w:r>
      <w:r w:rsidRPr="008746C2">
        <w:rPr>
          <w:color w:val="000000" w:themeColor="text1"/>
          <w:lang w:val="en-US"/>
        </w:rPr>
        <w:t xml:space="preserve">. Simulation-based policy search and surrogate-assisted optimization </w:t>
      </w:r>
      <w:r w:rsidR="0055718B">
        <w:rPr>
          <w:lang w:val="en-US"/>
        </w:rPr>
        <w:fldChar w:fldCharType="begin"/>
      </w:r>
      <w:r w:rsidR="0055718B">
        <w:rPr>
          <w:lang w:val="en-US"/>
        </w:rPr>
        <w:instrText xml:space="preserve"> ADDIN ZOTERO_ITEM CSL_CITATION {"citationID":"5oT00xHV","properties":{"formattedCitation":"(Liu and Nishi, 2024)","plainCitation":"(Liu and Nishi, 2024)","noteIndex":0},"citationItems":[{"id":3506,"uris":["http://zotero.org/users/12903205/items/BKQN5KLB"],"itemData":{"id":3506,"type":"article-journal","container-title":"Expert Systems with Applications","DOI":"10.1016/j.eswa.2023.122179","ISSN":"09574174","journalAbbreviation":"Expert Systems with Applications","language":"en","page":"122179","source":"DOI.org (Crossref)","title":"Surrogate-assisted evolutionary optimization for perishable inventory management in multi-echelon distribution systems","volume":"238","author":[{"family":"Liu","given":"Ziang"},{"family":"Nishi","given":"Tatsushi"}],"issued":{"date-parts":[["2024",3]]}}}],"schema":"https://github.com/citation-style-language/schema/raw/master/csl-citation.json"} </w:instrText>
      </w:r>
      <w:r w:rsidR="0055718B">
        <w:rPr>
          <w:lang w:val="en-US"/>
        </w:rPr>
        <w:fldChar w:fldCharType="separate"/>
      </w:r>
      <w:r w:rsidR="0055718B" w:rsidRPr="0055718B">
        <w:rPr>
          <w:lang w:val="en-US"/>
        </w:rPr>
        <w:t>(Liu and Nishi, 2024)</w:t>
      </w:r>
      <w:r w:rsidR="0055718B">
        <w:rPr>
          <w:lang w:val="en-US"/>
        </w:rPr>
        <w:fldChar w:fldCharType="end"/>
      </w:r>
      <w:r w:rsidR="00A567A7">
        <w:rPr>
          <w:color w:val="000000" w:themeColor="text1"/>
          <w:lang w:val="en-US"/>
        </w:rPr>
        <w:t xml:space="preserve"> </w:t>
      </w:r>
      <w:r w:rsidRPr="008746C2">
        <w:rPr>
          <w:color w:val="000000" w:themeColor="text1"/>
          <w:lang w:val="en-US"/>
        </w:rPr>
        <w:t xml:space="preserve">tune parametric policies under stochastic demand without learning a value function. These strands </w:t>
      </w:r>
      <w:r w:rsidR="008E66BF">
        <w:rPr>
          <w:color w:val="000000" w:themeColor="text1"/>
          <w:lang w:val="en-US"/>
        </w:rPr>
        <w:t>require</w:t>
      </w:r>
      <w:r w:rsidRPr="008746C2">
        <w:rPr>
          <w:color w:val="000000" w:themeColor="text1"/>
          <w:lang w:val="en-US"/>
        </w:rPr>
        <w:t xml:space="preserve"> forecast-informed baselines and forecaster ablations in low-data regimes and clarify where reinforcement learning adds incremental value.</w:t>
      </w:r>
    </w:p>
    <w:p w14:paraId="20785441" w14:textId="77777777" w:rsidR="00934A5A" w:rsidRPr="00A70916" w:rsidRDefault="002875A0" w:rsidP="00B40008">
      <w:pPr>
        <w:pStyle w:val="Ttulo2"/>
      </w:pPr>
      <w:bookmarkStart w:id="0" w:name="_Hlk214687790"/>
      <w:r>
        <w:t xml:space="preserve">2.4 </w:t>
      </w:r>
      <w:r w:rsidR="00934A5A" w:rsidRPr="00A70916">
        <w:t>Research Gaps: The Need for Multi-Baseline Comparison</w:t>
      </w:r>
    </w:p>
    <w:p w14:paraId="4345031A" w14:textId="6B4C9904" w:rsidR="00006687" w:rsidRPr="00A70916" w:rsidRDefault="00006687" w:rsidP="00EC2EF2">
      <w:pPr>
        <w:pStyle w:val="text-base"/>
        <w:spacing w:after="0" w:afterAutospacing="0"/>
        <w:jc w:val="both"/>
        <w:rPr>
          <w:color w:val="000000" w:themeColor="text1"/>
          <w:lang w:val="en-US"/>
        </w:rPr>
      </w:pPr>
      <w:r w:rsidRPr="00F34B55">
        <w:rPr>
          <w:lang w:val="en-US"/>
        </w:rPr>
        <w:t xml:space="preserve">Based on existing literature, three gaps motivate this research. There is a methodological gap in the way benchmarking is practiced. AI studies often compare their solutions with simple or even manual systems </w:t>
      </w:r>
      <w:r w:rsidR="00F34B55">
        <w:rPr>
          <w:lang w:val="en-US"/>
        </w:rPr>
        <w:fldChar w:fldCharType="begin"/>
      </w:r>
      <w:r w:rsidR="00F34B55">
        <w:rPr>
          <w:lang w:val="en-US"/>
        </w:rPr>
        <w:instrText xml:space="preserve"> ADDIN ZOTERO_ITEM CSL_CITATION {"citationID":"h4OENCCx","properties":{"formattedCitation":"(Long et al., 2023)","plainCitation":"(Long et al., 2023)","noteIndex":0},"citationItems":[{"id":3415,"uris":["http://zotero.org/users/12903205/items/UWB8Q6DG"],"itemData":{"id":3415,"type":"article-journal","container-title":"Frontiers in Public Health","DOI":"10.3389/fpubh.2023.1310016","ISSN":"2296-2565","page":"1310016","title":"Intelligent selection of healthcare supply chain mode – an applied research based on artificial intelligence","volume":"11","author":[{"family":"Long","given":"Ping"},{"family":"Lu","given":"Lin"},{"family":"Chen","given":"Qianlan"},{"family":"Chen","given":"Yifan"},{"family":"Li","given":"Chaoling"},{"family":"Luo","given":"Xiaochun"}],"issued":{"date-parts":[["2023",12,11]]}}}],"schema":"https://github.com/citation-style-language/schema/raw/master/csl-citation.json"} </w:instrText>
      </w:r>
      <w:r w:rsidR="00F34B55">
        <w:rPr>
          <w:lang w:val="en-US"/>
        </w:rPr>
        <w:fldChar w:fldCharType="separate"/>
      </w:r>
      <w:r w:rsidR="00F34B55" w:rsidRPr="00F34B55">
        <w:rPr>
          <w:lang w:val="en-US"/>
        </w:rPr>
        <w:t>(Long et al., 2023)</w:t>
      </w:r>
      <w:r w:rsidR="00F34B55">
        <w:rPr>
          <w:lang w:val="en-US"/>
        </w:rPr>
        <w:fldChar w:fldCharType="end"/>
      </w:r>
      <w:r w:rsidRPr="00F34B55">
        <w:rPr>
          <w:lang w:val="en-US"/>
        </w:rPr>
        <w:t xml:space="preserve">. They do not incorporate operational OR methods as benchmarks, which creates an artificial performance advantage </w:t>
      </w:r>
      <w:r w:rsidR="00F34B55">
        <w:rPr>
          <w:lang w:val="en-US"/>
        </w:rPr>
        <w:fldChar w:fldCharType="begin"/>
      </w:r>
      <w:r w:rsidR="00F34B55">
        <w:rPr>
          <w:lang w:val="en-US"/>
        </w:rPr>
        <w:instrText xml:space="preserve"> ADDIN ZOTERO_ITEM CSL_CITATION {"citationID":"eVkRX8mm","properties":{"formattedCitation":"(Khan et al., 2024)","plainCitation":"(Khan et al., 2024)","noteIndex":0},"citationItems":[{"id":3435,"uris":["http://zotero.org/users/12903205/items/2HR4DM76"],"itemData":{"id":3435,"type":"article-journal","container-title":"Journal of Computer Science and Technology Studies","DOI":"10.32996/jcsts.2024.6.5.8","ISSN":"2709-104X","issue":"5","page":"85–93","title":"AI in Healthcare Supply Chain Management: Enhancing Efficiency and Reducing Costs with Predictive Analytics","volume":"6","author":[{"family":"Khan","given":"Fardin Sabahat"},{"family":"Masum","given":"Abdullah Al"},{"family":"Adam","given":"Jamaldeen"},{"family":"Karim","given":"Md Rashidul"},{"family":"Afrin","given":"Sadia"}],"issued":{"date-parts":[["2024",11,18]]}}}],"schema":"https://github.com/citation-style-language/schema/raw/master/csl-citation.json"} </w:instrText>
      </w:r>
      <w:r w:rsidR="00F34B55">
        <w:rPr>
          <w:lang w:val="en-US"/>
        </w:rPr>
        <w:fldChar w:fldCharType="separate"/>
      </w:r>
      <w:r w:rsidR="00F34B55" w:rsidRPr="00F34B55">
        <w:rPr>
          <w:lang w:val="en-US"/>
        </w:rPr>
        <w:t>(Khan et al., 2024)</w:t>
      </w:r>
      <w:r w:rsidR="00F34B55">
        <w:rPr>
          <w:lang w:val="en-US"/>
        </w:rPr>
        <w:fldChar w:fldCharType="end"/>
      </w:r>
      <w:r w:rsidRPr="00F34B55">
        <w:rPr>
          <w:lang w:val="en-US"/>
        </w:rPr>
        <w:t>. A fair evaluation compares methods at comparable baseline sophistication by simultaneously assessing static, dynamic, and analytical approaches under the same conditions.</w:t>
      </w:r>
    </w:p>
    <w:p w14:paraId="4994CCD8" w14:textId="77777777" w:rsidR="00006687" w:rsidRPr="00A70916" w:rsidRDefault="00006687" w:rsidP="00EC2EF2">
      <w:pPr>
        <w:pStyle w:val="text-base"/>
        <w:spacing w:after="0" w:afterAutospacing="0"/>
        <w:jc w:val="both"/>
        <w:rPr>
          <w:color w:val="000000" w:themeColor="text1"/>
          <w:lang w:val="en-US"/>
        </w:rPr>
      </w:pPr>
      <w:r w:rsidRPr="00EC2EF2">
        <w:rPr>
          <w:color w:val="000000" w:themeColor="text1"/>
          <w:lang w:val="en-US"/>
        </w:rPr>
        <w:t xml:space="preserve">Also, the literature </w:t>
      </w:r>
      <w:r w:rsidR="00136957">
        <w:rPr>
          <w:color w:val="000000" w:themeColor="text1"/>
          <w:lang w:val="en-US"/>
        </w:rPr>
        <w:t>lacks a contextual gap: studies do not systematically explore the circumstances under which AI benefits</w:t>
      </w:r>
      <w:r w:rsidRPr="00EC2EF2">
        <w:rPr>
          <w:color w:val="000000" w:themeColor="text1"/>
          <w:lang w:val="en-US"/>
        </w:rPr>
        <w:t xml:space="preserve"> </w:t>
      </w:r>
      <w:r w:rsidR="00D454A6">
        <w:rPr>
          <w:lang w:val="en-US"/>
        </w:rPr>
        <w:fldChar w:fldCharType="begin"/>
      </w:r>
      <w:r w:rsidR="00D454A6">
        <w:rPr>
          <w:lang w:val="en-US"/>
        </w:rPr>
        <w:instrText xml:space="preserve"> ADDIN ZOTERO_ITEM CSL_CITATION {"citationID":"JpHRN0Cf","properties":{"formattedCitation":"(Cannas et al., 2024; Kumar et al., 2023)","plainCitation":"(Cannas et al., 2024; Kumar et al., 2023)","noteIndex":0},"citationItems":[{"id":3416,"uris":["http://zotero.org/users/12903205/items/53QALC7V"],"itemData":{"id":3416,"type":"article-journal","container-title":"International Journal of Production Research","DOI":"10.1080/00207543.2023.2232050","ISSN":"0020-7543, 1366-588X","issue":"9","page":"3333–3360","title":"Artificial intelligence in supply chain and operations management: a multiple case study research","volume":"62","author":[{"family":"Cannas","given":"Violetta Giada"},{"family":"Ciano","given":"Maria Pia"},{"family":"Saltalamacchia","given":"Mattia"},{"family":"Secchi","given":"Raffaele"}],"issued":{"date-parts":[["2024",5,2]]}},"label":"page"},{"id":2285,"uris":["http://zotero.org/users/12903205/items/SLEJU2EN"],"itemData":{"id":2285,"type":"article-journal","abstract":"Healthcare is one of the most critical sectors due to its importance in handling public health. With the outbreak of various diseases, more recently during Covid-19, this sector has gained further attention. The pandemic has exposed vulnerabilities in the healthcare supply chain (HSC). Recent advancements like the adoption of various advanced technologies viz. AI and Industry 4.0 in the healthcare supply chain are turning out to be game-changers. This study focuses on identifying critical success factors (CSFs) for AI adoption in HSC in the emerging economy context. Rough SWARA is used for ranking CSFs of AI adoption in HSC. Results indicate that technological (TEC) factors are the most influential factor that impacts the adoption of AI in HSC in the context of emerging economies, followed by institutional or environmental (INT), human (HUM), and organizational (ORG) dimensions.","container-title":"Computers &amp; Industrial Engineering","DOI":"10.1016/j.cie.2022.108815","ISSN":"0360-8352","journalAbbreviation":"Computers &amp; Industrial Engineering","page":"108815","source":"ScienceDirect","title":"Managing healthcare supply chain through artificial intelligence (AI): A study of critical success factors","title-short":"Managing healthcare supply chain through artificial intelligence (AI)","volume":"175","author":[{"family":"Kumar","given":"Ashwani"},{"family":"Mani","given":"Venkatesh"},{"family":"Jain","given":"Vranda"},{"family":"Gupta","given":"Himanshu"},{"family":"Venkatesh","given":"V. G."}],"issued":{"date-parts":[["2023",1,1]]}},"label":"page"}],"schema":"https://github.com/citation-style-language/schema/raw/master/csl-citation.json"} </w:instrText>
      </w:r>
      <w:r w:rsidR="00D454A6">
        <w:rPr>
          <w:lang w:val="en-US"/>
        </w:rPr>
        <w:fldChar w:fldCharType="separate"/>
      </w:r>
      <w:r w:rsidR="00D454A6" w:rsidRPr="00D454A6">
        <w:rPr>
          <w:lang w:val="en-US"/>
        </w:rPr>
        <w:t>(Cannas et al., 2024; Kumar et al., 2023)</w:t>
      </w:r>
      <w:r w:rsidR="00D454A6">
        <w:rPr>
          <w:lang w:val="en-US"/>
        </w:rPr>
        <w:fldChar w:fldCharType="end"/>
      </w:r>
      <w:r w:rsidRPr="00EC2EF2">
        <w:rPr>
          <w:color w:val="000000" w:themeColor="text1"/>
          <w:lang w:val="en-US"/>
        </w:rPr>
        <w:t xml:space="preserve">. Do AI techniques perform similarly under stable and disruptive demand conditions? Are performance profiles and crises hugely different? Existing studies do not address these questions </w:t>
      </w:r>
      <w:r w:rsidR="00136957">
        <w:rPr>
          <w:color w:val="000000" w:themeColor="text1"/>
          <w:lang w:val="en-US"/>
        </w:rPr>
        <w:t>systematicall</w:t>
      </w:r>
      <w:r w:rsidRPr="00EC2EF2">
        <w:rPr>
          <w:color w:val="000000" w:themeColor="text1"/>
          <w:lang w:val="en-US"/>
        </w:rPr>
        <w:t xml:space="preserve">y </w:t>
      </w:r>
      <w:r w:rsidR="00D454A6">
        <w:rPr>
          <w:lang w:val="en-US"/>
        </w:rPr>
        <w:fldChar w:fldCharType="begin"/>
      </w:r>
      <w:r w:rsidR="009E779F">
        <w:rPr>
          <w:lang w:val="en-US"/>
        </w:rPr>
        <w:instrText xml:space="preserve"> ADDIN ZOTERO_ITEM CSL_CITATION {"citationID":"MTPlcQfq","properties":{"formattedCitation":"(Fan et al., 2024; Iftikhar et al., 2024; Maharjan and Kato, 2022)","plainCitation":"(Fan et al., 2024; Iftikhar et al., 2024; Maharjan and Kato, 2022)","noteIndex":0},"citationItems":[{"id":3275,"uris":["http://zotero.org/users/12903205/items/2WEUK6NZ"],"itemData":{"id":3275,"type":"article","abstract":"The rapid advancement of artificial intelligence (AI) techniques has opened up new opportunities to revolutionize various fields, including operations research (OR). This survey paper explores the integration of AI within the OR process (AI4OR) to enhance its effectiveness and efficiency across multiple stages, such as parameter generation, model formulation, and model optimization. By providing a comprehensive overview of the state-of-the-art and examining the potential of AI to transform OR, this paper aims to inspire further research and innovation in the development of AI-enhanced OR methods and tools. The synergy between AI and OR is poised to drive significant advancements and novel solutions in a multitude of domains, ultimately leading to more effective and efficient decision-making.","DOI":"10.48550/ARXIV.2401.03244","license":"arXiv.org perpetual, non-exclusive license","note":"version: 2","publisher":"arXiv","source":"DOI.org (Datacite)","title":"Artificial Intelligence for Operations Research: Revolutionizing the Operations Research Process","title-short":"Artificial Intelligence for Operations Research","URL":"https://arxiv.org/abs/2401.03244","author":[{"family":"Fan","given":"Zhenan"},{"family":"Ghaddar","given":"Bissan"},{"family":"Wang","given":"Xinglu"},{"family":"Xing","given":"Linzi"},{"family":"Zhang","given":"Yong"},{"family":"Zhou","given":"Zirui"}],"accessed":{"date-parts":[["2025",9,14]]},"issued":{"date-parts":[["2024"]]}},"label":"page"},{"id":3542,"uris":["http://zotero.org/users/12903205/items/NYW8LQS4"],"itemData":{"id":3542,"type":"article-journal","abstract":"Abstract\n            In recent times, the literature has seen considerable growth in research at the intersection of digital innovation, data analytics, and supply chain resilience. While the number of studies on the topic has been burgeoning, due to the absence of a comprehensive literature review, it remains unclear what aspects of the subject have already been investigated and what are the avenues for impactful future research. Integrating bibliometric analysis with a systematic review approach, this paper offers the review of 262 articles at the nexus of innovative technologies, data analytics, and supply chain resiliency. The analysis uncovers the critical research clusters, the evolution of research over time, knowledge trajectories and methodological development in the area. Our thorough analysis enriches contemporary knowledge on the subject by consolidating the dispersed literature on the significance of innovative technologies, data analytics and supply chain resilience thereby recognizing major research clusters or domains and fruitful paths for future research. The review also helps improve practitioners’ awareness of the recent research on the topic by recapping key findings of a large amount of literature in one place.","container-title":"Annals of Operations Research","DOI":"10.1007/s10479-022-04765-6","ISSN":"0254-5330, 1572-9338","issue":"2-3","journalAbbreviation":"Ann Oper Res","language":"en","page":"825-848","source":"DOI.org (Crossref)","title":"Digital Innovation, Data Analytics, and Supply Chain Resiliency: A Bibliometric-based Systematic Literature Review","title-short":"Digital Innovation, Data Analytics, and Supply Chain Resiliency","volume":"333","author":[{"family":"Iftikhar","given":"Anas"},{"family":"Ali","given":"Imran"},{"family":"Arslan","given":"Ahmad"},{"family":"Tarba","given":"Shlomo"}],"issued":{"date-parts":[["2024",2]]}},"label":"page"},{"id":3546,"uris":["http://zotero.org/users/12903205/items/65Z77BQX"],"itemData":{"id":3546,"type":"article-journal","container-title":"Transport Reviews","DOI":"10.1080/01441647.2022.2080773","ISSN":"0144-1647, 1464-5327","issue":"6","journalAbbreviation":"Transport Reviews","language":"en","page":"739-761","source":"DOI.org (Crossref)","title":"Resilient supply chain network design: a systematic literature review","title-short":"Resilient supply chain network design","volume":"42","author":[{"family":"Maharjan","given":"Rajali"},{"family":"Kato","given":"Hironori"}],"issued":{"date-parts":[["2022",11,2]]}},"label":"page"}],"schema":"https://github.com/citation-style-language/schema/raw/master/csl-citation.json"} </w:instrText>
      </w:r>
      <w:r w:rsidR="00D454A6">
        <w:rPr>
          <w:lang w:val="en-US"/>
        </w:rPr>
        <w:fldChar w:fldCharType="separate"/>
      </w:r>
      <w:r w:rsidR="009E779F" w:rsidRPr="00D222FD">
        <w:rPr>
          <w:lang w:val="en-US"/>
        </w:rPr>
        <w:t>(Fan et al., 2024; Iftikhar et al., 2024; Maharjan and Kato, 2022)</w:t>
      </w:r>
      <w:r w:rsidR="00D454A6">
        <w:rPr>
          <w:lang w:val="en-US"/>
        </w:rPr>
        <w:fldChar w:fldCharType="end"/>
      </w:r>
      <w:r w:rsidRPr="00EC2EF2">
        <w:rPr>
          <w:color w:val="000000" w:themeColor="text1"/>
          <w:lang w:val="en-US"/>
        </w:rPr>
        <w:t>.</w:t>
      </w:r>
    </w:p>
    <w:p w14:paraId="6C83507C" w14:textId="77777777" w:rsidR="00EF234B" w:rsidRPr="00A70916" w:rsidRDefault="00EF234B" w:rsidP="00EC2EF2">
      <w:pPr>
        <w:pStyle w:val="text-base"/>
        <w:spacing w:after="0" w:afterAutospacing="0"/>
        <w:jc w:val="both"/>
        <w:rPr>
          <w:color w:val="000000" w:themeColor="text1"/>
          <w:lang w:val="en-US"/>
        </w:rPr>
      </w:pPr>
      <w:r w:rsidRPr="00FD0529">
        <w:rPr>
          <w:lang w:val="en-US"/>
        </w:rPr>
        <w:t xml:space="preserve">Third, an implementation gap limits </w:t>
      </w:r>
      <w:r w:rsidRPr="00F5555C">
        <w:rPr>
          <w:lang w:val="en-US"/>
        </w:rPr>
        <w:t>operational translation. Studies rarely report failure modes and monitoring strategies that would govern deployment decisions under healthcare service constraints</w:t>
      </w:r>
      <w:r w:rsidR="00F5555C" w:rsidRPr="00F5555C">
        <w:rPr>
          <w:lang w:val="en-US"/>
        </w:rPr>
        <w:t xml:space="preserve"> </w:t>
      </w:r>
      <w:r w:rsidR="00F5555C" w:rsidRPr="00F5555C">
        <w:rPr>
          <w:color w:val="EE0000"/>
          <w:lang w:val="en-US"/>
        </w:rPr>
        <w:fldChar w:fldCharType="begin"/>
      </w:r>
      <w:r w:rsidR="00F5555C" w:rsidRPr="00F5555C">
        <w:rPr>
          <w:color w:val="EE0000"/>
          <w:lang w:val="en-US"/>
        </w:rPr>
        <w:instrText xml:space="preserve"> ADDIN ZOTERO_ITEM CSL_CITATION {"citationID":"Khbk18xH","properties":{"formattedCitation":"(Cresswell et al., 2023; Esmaeilzadeh, 2024; Owens et al., 2025)","plainCitation":"(Cresswell et al., 2023; Esmaeilzadeh, 2024; Owens et al., 2025)","noteIndex":0},"citationItems":[{"id":3557,"uris":["http://zotero.org/users/12903205/items/KVX3NXRR"],"itemData":{"id":3557,"type":"article-journal","container-title":"Health Policy","DOI":"10.1016/j.healthpol.2023.104889","ISSN":"01688510","journalAbbreviation":"Health Policy","language":"en","page":"104889","source":"DOI.org (Crossref)","title":"The need to strengthen the evaluation of the impact of Artificial Intelligence-based decision support systems on healthcare provision","volume":"136","author":[{"family":"Cresswell","given":"Kathrin"},{"family":"Rigby","given":"Michael"},{"family":"Magrabi","given":"Farah"},{"family":"Scott","given":"Philip"},{"family":"Brender","given":"Jytte"},{"family":"Craven","given":"Catherine K."},{"family":"Wong","given":"Zoie Shui-Yee"},{"family":"Kukhareva","given":"Polina"},{"family":"Ammenwerth","given":"Elske"},{"family":"Georgiou","given":"Andrew"},{"family":"Medlock","given":"Stephanie"},{"family":"De Keizer","given":"Nicolette F."},{"family":"Nykänen","given":"Pirkko"},{"family":"Prgomet","given":"Mirela"},{"family":"Williams","given":"Robin"}],"issued":{"date-parts":[["2023",10]]}},"label":"page"},{"id":3555,"uris":["http://zotero.org/users/12903205/items/3FEPVCPG"],"itemData":{"id":3555,"type":"article-journal","container-title":"Artificial Intelligence in Medicine","DOI":"10.1016/j.artmed.2024.102861","ISSN":"09333657","journalAbbreviation":"Artificial Intelligence in Medicine","language":"en","page":"102861","source":"DOI.org (Crossref)","title":"Challenges and strategies for wide-scale artificial intelligence (AI) deployment in healthcare practices: A perspective for healthcare organizations","title-short":"Challenges and strategies for wide-scale artificial intelligence (AI) deployment in healthcare practices","volume":"151","author":[{"family":"Esmaeilzadeh","given":"Pouyan"}],"issued":{"date-parts":[["2024",5]]}},"label":"page"},{"id":3554,"uris":["http://zotero.org/users/12903205/items/4TYSMZA5"],"itemData":{"id":3554,"type":"article-journal","abstract":"Abstract\n            \n              Background\n              Despite the increasing implementation of artificial intelligence (AI) and machine learning (ML) technologies in healthcare, their long-term safety, effectiveness, and equity remain compromised by a lack of sustained oversight. This study explores the phenomenon of a “responsibility vacuum” in AI governance, wherein maintenance and monitoring tasks are poorly defined, inconsistently performed, and undervalued across healthcare systems.\n            \n            \n              Methods\n              We conducted semi-structured interviews with 21 experts involved in AI implementation in healthcare, including clinicians, clinical informaticists, computer scientists, and legal/policy professionals. Participants were recruited through purposive and snowball sampling. Interviews were transcribed, coded, and analyzed using abductive qualitative methods to identify themes related to maintenance practices, institutional incentives, and responsibility attribution.\n            \n            \n              Results\n              Participants widely recognized that AI models degrade over time due to factors such as data drift, changes in clinical practice, and poor generalizability. However, monitoring practices remain ad hoc and fragmented, with few institutions investing in structured oversight infrastructure. This “responsibility vacuum” is perpetuated by institutional incentives favoring rapid innovation and strategic ignorance of AI failures. Despite these challenges, some participants described grassroots efforts to monitor and maintain AI systems, drawing inspiration from fields such as radiology, laboratory medicine, and transportation safety.\n            \n            \n              Conclusions\n              Our findings suggest that institutional and cultural forces in healthcare deprioritize the maintenance of AI tools, creating a governance gap that may lead to patient harm and inequitable outcomes. Addressing this responsibility vacuum will require formalized accountability structures, interdisciplinary collaboration, and policy reforms that center long-term safety and equity. Without such changes, AI/ML technologies designed to improve patient health may introduce new forms of harm, ultimately eroding trust in AI and machine learning for healthcare.","container-title":"BMC Health Services Research","DOI":"10.1186/s12913-025-13388-z","ISSN":"1472-6963","issue":"1","journalAbbreviation":"BMC Health Serv Res","language":"en","page":"1217","source":"DOI.org (Crossref)","title":"Managing a “responsibility vacuum” in AI monitoring and governance in healthcare: a qualitative study","title-short":"Managing a “responsibility vacuum” in AI monitoring and governance in healthcare","volume":"25","author":[{"family":"Owens","given":"Kellie"},{"family":"Griffen","given":"Zachary"},{"family":"Damaraju","given":"Lasya"}],"issued":{"date-parts":[["2025",9,29]]}},"label":"page"}],"schema":"https://github.com/citation-style-language/schema/raw/master/csl-citation.json"} </w:instrText>
      </w:r>
      <w:r w:rsidR="00F5555C" w:rsidRPr="00F5555C">
        <w:rPr>
          <w:color w:val="EE0000"/>
          <w:lang w:val="en-US"/>
        </w:rPr>
        <w:fldChar w:fldCharType="separate"/>
      </w:r>
      <w:r w:rsidR="00F5555C" w:rsidRPr="00F5555C">
        <w:rPr>
          <w:lang w:val="en-US"/>
        </w:rPr>
        <w:t>(Cresswell et al., 2023; Esmaeilzadeh, 2024; Owens et al., 2025)</w:t>
      </w:r>
      <w:r w:rsidR="00F5555C" w:rsidRPr="00F5555C">
        <w:rPr>
          <w:color w:val="EE0000"/>
          <w:lang w:val="en-US"/>
        </w:rPr>
        <w:fldChar w:fldCharType="end"/>
      </w:r>
      <w:r w:rsidRPr="00FD0529">
        <w:rPr>
          <w:lang w:val="en-US"/>
        </w:rPr>
        <w:t>. We therefore treat candidate deployment gates (volatility, throughput, and penalty intensity) as hypotheses and audit their unit consistency against observed operational ranges.</w:t>
      </w:r>
    </w:p>
    <w:p w14:paraId="04B392F8" w14:textId="77777777" w:rsidR="008B72E1" w:rsidRPr="00F421B2" w:rsidRDefault="008B72E1" w:rsidP="00EC2EF2">
      <w:pPr>
        <w:pStyle w:val="text-base"/>
        <w:spacing w:after="0" w:afterAutospacing="0"/>
        <w:jc w:val="both"/>
        <w:rPr>
          <w:lang w:val="en-US"/>
        </w:rPr>
      </w:pPr>
      <w:r w:rsidRPr="00F421B2">
        <w:rPr>
          <w:lang w:val="en-US"/>
        </w:rPr>
        <w:t>Taken together, the</w:t>
      </w:r>
      <w:r w:rsidR="00845BAD">
        <w:rPr>
          <w:lang w:val="en-US"/>
        </w:rPr>
        <w:t xml:space="preserve"> </w:t>
      </w:r>
      <w:r w:rsidRPr="00F421B2">
        <w:rPr>
          <w:lang w:val="en-US"/>
        </w:rPr>
        <w:t>gaps motivate a multi-baseline comparison of AI and classical policies that is grounded in realistic inventory-control decisions and stress-tested under disruption.</w:t>
      </w:r>
    </w:p>
    <w:p w14:paraId="7819F98D" w14:textId="77777777" w:rsidR="004F4E8A" w:rsidRPr="00F421B2" w:rsidRDefault="00D508F7" w:rsidP="00F421B2">
      <w:pPr>
        <w:pStyle w:val="text-base"/>
        <w:spacing w:after="0" w:afterAutospacing="0"/>
        <w:jc w:val="both"/>
        <w:rPr>
          <w:lang w:val="en-US"/>
        </w:rPr>
      </w:pPr>
      <w:r>
        <w:rPr>
          <w:lang w:val="en-US"/>
        </w:rPr>
        <w:t>RL research on inventory management emphasizes constraint satisfaction by treat</w:t>
      </w:r>
      <w:r w:rsidRPr="00653ACC">
        <w:rPr>
          <w:lang w:val="en-US"/>
        </w:rPr>
        <w:t xml:space="preserve">ing replenishment as a constrained Markov decision process and training actor–critic policies with penalty, Lagrangian, or distributional constraint estimators. Examples include constrained PPO variants and exact-penalty methods that target feasible updates under cost or service constraints </w:t>
      </w:r>
      <w:r w:rsidR="00653ACC">
        <w:fldChar w:fldCharType="begin"/>
      </w:r>
      <w:r w:rsidR="00653ACC">
        <w:rPr>
          <w:lang w:val="en-US"/>
        </w:rPr>
        <w:instrText xml:space="preserve"> ADDIN ZOTERO_ITEM CSL_CITATION {"citationID":"yakIfXsn","properties":{"formattedCitation":"(Jayant and Bhatnagar, 2022; Zhang et al., 2022)","plainCitation":"(Jayant and Bhatnagar, 2022; Zhang et al., 2022)","noteIndex":0},"citationItems":[{"id":3531,"uris":["http://zotero.org/users/12903205/items/EQSIGE7R"],"itemData":{"id":3531,"type":"article","abstract":"During initial iterations of training in most Reinforcement Learning (RL) algorithms, agents perform a significant number of random exploratory steps. In the real world, this can limit the practicality of these algorithms as it can lead to potentially dangerous behavior. Hence safe exploration is a critical issue in applying RL algorithms in the real world. This problem has been recently well studied under the Constrained Markov Decision Process (CMDP) Framework, where in addition to single-stage rewards, an agent receives single-stage costs or penalties as well depending on the state transitions. The prescribed cost functions are responsible for mapping undesirable behavior at any given time-step to a scalar value. The goal then is to find a feasible policy that maximizes reward returns while constraining the cost returns to be below a prescribed threshold during training as well as deployment. We propose an On-policy Model-based Safe Deep RL algorithm in which we learn the transition dynamics of the environment in an online manner as well as find a feasible optimal policy using the Lagrangian Relaxation-based Proximal Policy Optimization. We use an ensemble of neural networks with different initializations to tackle epistemic and aleatoric uncertainty issues faced during environment model learning. We compare our approach with relevant model-free and model-based approaches in Constrained RL using the challenging Safe Reinforcement Learning benchmark - the Open AI Safety Gym. We demonstrate that our algorithm is more sample efficient and results in lower cumulative hazard violations as compared to constrained model-free approaches. Further, our approach shows better reward performance than other constrained model-based approaches in the literature.","DOI":"10.48550/ARXIV.2210.07573","license":"Creative Commons Attribution Non Commercial Share Alike 4.0 International","note":"version: 1","publisher":"arXiv","source":"DOI.org (Datacite)","title":"Model-based Safe Deep Reinforcement Learning via a Constrained Proximal Policy Optimization Algorithm","URL":"https://arxiv.org/abs/2210.07573","author":[{"family":"Jayant","given":"Ashish Kumar"},{"family":"Bhatnagar","given":"Shalabh"}],"accessed":{"date-parts":[["2026",2,5]]},"issued":{"date-parts":[["2022"]]}},"label":"page"},{"id":3522,"uris":["http://zotero.org/users/12903205/items/WLTSR2Q5"],"itemData":{"id":3522,"type":"article","abstract":"Safe reinforcement learning aims to learn the optimal policy while satisfying safety constraints, which is essential in real-world applications. However, current algorithms still struggle for efficient policy updates with hard constraint satisfaction. In this paper, we propose Penalized Proximal Policy Optimization (P3O), which solves the cumbersome constrained policy iteration via a single minimization of an equivalent unconstrained problem. Specifically, P3O utilizes a simple-yet-effective penalty function to eliminate cost constraints and removes the trust-region constraint by the clipped surrogate objective. We theoretically prove the exactness of the proposed method with a finite penalty factor and provide a worst-case analysis for approximate error when evaluated on sample trajectories. Moreover, we extend P3O to more challenging multi-constraint and multi-agent scenarios which are less studied in previous work. Extensive experiments show that P3O outperforms state-of-the-art algorithms with respect to both reward improvement and constraint satisfaction on a set of constrained locomotive tasks.","DOI":"10.48550/ARXIV.2205.11814","license":"Creative Commons Attribution 4.0 International","note":"version: 2","publisher":"arXiv","source":"DOI.org (Datacite)","title":"Penalized Proximal Policy Optimization for Safe Reinforcement Learning","URL":"https://arxiv.org/abs/2205.11814","author":[{"family":"Zhang","given":"Linrui"},{"family":"Shen","given":"Li"},{"family":"Yang","given":"Long"},{"family":"Chen","given":"Shixiang"},{"family":"Yuan","given":"Bo"},{"family":"Wang","given":"Xueqian"},{"family":"Tao","given":"Dacheng"}],"accessed":{"date-parts":[["2026",2,5]]},"issued":{"date-parts":[["2022"]]}},"label":"page"}],"schema":"https://github.com/citation-style-language/schema/raw/master/csl-citation.json"} </w:instrText>
      </w:r>
      <w:r w:rsidR="00653ACC">
        <w:fldChar w:fldCharType="separate"/>
      </w:r>
      <w:r w:rsidR="00653ACC" w:rsidRPr="00653ACC">
        <w:rPr>
          <w:lang w:val="en-US"/>
        </w:rPr>
        <w:t>(Jayant and Bhatnagar, 2022; Zhang et al., 2022)</w:t>
      </w:r>
      <w:r w:rsidR="00653ACC">
        <w:fldChar w:fldCharType="end"/>
      </w:r>
      <w:r w:rsidRPr="00653ACC">
        <w:rPr>
          <w:lang w:val="en-US"/>
        </w:rPr>
        <w:t xml:space="preserve">. Operations studies also report hybrid simulation–learning designs that combine policy learning with optimization subroutines or controlled learning for inventory settings </w:t>
      </w:r>
      <w:r w:rsidR="005B3AE7">
        <w:rPr>
          <w:lang w:val="en-US"/>
        </w:rPr>
        <w:fldChar w:fldCharType="begin"/>
      </w:r>
      <w:r w:rsidR="005B3AE7">
        <w:rPr>
          <w:lang w:val="en-US"/>
        </w:rPr>
        <w:instrText xml:space="preserve"> ADDIN ZOTERO_ITEM CSL_CITATION {"citationID":"SyRrv7gU","properties":{"formattedCitation":"(Harsha et al., 2025; Temiz\\uc0\\u246{}z et al., 2025)","plainCitation":"(Harsha et al., 2025; Temizöz et al., 2025)","noteIndex":0},"citationItems":[{"id":3429,"uris":["http://zotero.org/users/12903205/items/2MYMBLJ3"],"itemData":{"id":3429,"type":"article-journal","container-title":"Manufacturing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3358,"uris":["http://zotero.org/users/12903205/items/RUWAPBI4"],"itemData":{"id":3358,"type":"article-journal","container-title":"European Journal of Operational Research","DOI":"10.1016/j.ejor.2025.01.026","ISSN":"03772217","issue":"1","journalAbbreviation":"European Journal of Operational Research","language":"en","page":"104-117","source":"DOI.org (Crossref)","title":"Deep Controlled Learning for Inventory Control","volume":"324","author":[{"family":"Temizöz","given":"Tarkan"},{"family":"Imdahl","given":"Christina"},{"family":"Dijkman","given":"Remco"},{"family":"Lamghari-Idrissi","given":"Douniel"},{"family":"Van Jaarsveld","given":"Willem"}],"issued":{"date-parts":[["2025",7]]}},"label":"page"}],"schema":"https://github.com/citation-style-language/schema/raw/master/csl-citation.json"} </w:instrText>
      </w:r>
      <w:r w:rsidR="005B3AE7">
        <w:rPr>
          <w:lang w:val="en-US"/>
        </w:rPr>
        <w:fldChar w:fldCharType="separate"/>
      </w:r>
      <w:r w:rsidR="005B3AE7" w:rsidRPr="005B3AE7">
        <w:rPr>
          <w:lang w:val="en-US"/>
        </w:rPr>
        <w:t xml:space="preserve">(Harsha et </w:t>
      </w:r>
      <w:r w:rsidR="005B3AE7" w:rsidRPr="005B3AE7">
        <w:rPr>
          <w:lang w:val="en-US"/>
        </w:rPr>
        <w:lastRenderedPageBreak/>
        <w:t>al., 2025; Temizöz et al., 2025)</w:t>
      </w:r>
      <w:r w:rsidR="005B3AE7">
        <w:rPr>
          <w:lang w:val="en-US"/>
        </w:rPr>
        <w:fldChar w:fldCharType="end"/>
      </w:r>
      <w:r w:rsidRPr="00653ACC">
        <w:rPr>
          <w:lang w:val="en-US"/>
        </w:rPr>
        <w:t xml:space="preserve">. We treat Double Q-learning as an interpretable benchmark under limited computational budgets, and we use its disruption failures to </w:t>
      </w:r>
      <w:r w:rsidR="008E66BF">
        <w:rPr>
          <w:lang w:val="en-US"/>
        </w:rPr>
        <w:t>design constraints for</w:t>
      </w:r>
      <w:r w:rsidRPr="00653ACC">
        <w:rPr>
          <w:lang w:val="en-US"/>
        </w:rPr>
        <w:t xml:space="preserve"> safety-aware controllers.</w:t>
      </w:r>
    </w:p>
    <w:p w14:paraId="17877EAD" w14:textId="77777777" w:rsidR="00934A5A" w:rsidRPr="00A70916" w:rsidRDefault="00EF234B" w:rsidP="00EC2EF2">
      <w:pPr>
        <w:pStyle w:val="text-base"/>
        <w:spacing w:after="0" w:afterAutospacing="0"/>
        <w:jc w:val="both"/>
        <w:rPr>
          <w:color w:val="000000" w:themeColor="text1"/>
          <w:lang w:val="en-US"/>
        </w:rPr>
      </w:pPr>
      <w:r w:rsidRPr="00FD0529">
        <w:rPr>
          <w:lang w:val="en-US"/>
        </w:rPr>
        <w:t xml:space="preserve">This study addresses these gaps through a multi-baseline comparison under both stable and stress-tested demand conditions. It reports full-scenario results with paired inference and highlights when a learning-based controller fails, </w:t>
      </w:r>
      <w:r w:rsidR="00136957">
        <w:rPr>
          <w:lang w:val="en-US"/>
        </w:rPr>
        <w:t>thereby shifting the</w:t>
      </w:r>
      <w:r w:rsidRPr="00FD0529">
        <w:rPr>
          <w:lang w:val="en-US"/>
        </w:rPr>
        <w:t xml:space="preserve"> emphasis from average-case improvement to do-no-harm deployment constraints.</w:t>
      </w:r>
    </w:p>
    <w:bookmarkEnd w:id="0"/>
    <w:p w14:paraId="44136E6A" w14:textId="77777777" w:rsidR="00815E86" w:rsidRPr="002875A0" w:rsidRDefault="00815E86" w:rsidP="002875A0">
      <w:pPr>
        <w:pStyle w:val="Ttulo1"/>
        <w:numPr>
          <w:ilvl w:val="0"/>
          <w:numId w:val="32"/>
        </w:numPr>
      </w:pPr>
      <w:r w:rsidRPr="002875A0">
        <w:t>Methodology</w:t>
      </w:r>
    </w:p>
    <w:p w14:paraId="387FC1DC" w14:textId="77777777" w:rsidR="004E7BFA" w:rsidRPr="00A70916" w:rsidRDefault="004E7BFA" w:rsidP="00EB4A76">
      <w:pPr>
        <w:pStyle w:val="text-base"/>
        <w:jc w:val="both"/>
        <w:rPr>
          <w:color w:val="000000" w:themeColor="text1"/>
          <w:lang w:val="en-US"/>
        </w:rPr>
      </w:pPr>
      <w:r w:rsidRPr="00FD0529">
        <w:rPr>
          <w:lang w:val="en-US"/>
        </w:rPr>
        <w:t>Section 3 specifies a simulation-based evaluation that compares policies under identical stochastic trajectories, separates information advantages (forecast access) from control advantages (policy mapping), and supports stress testing under disruption within fixed computational budgets.</w:t>
      </w:r>
    </w:p>
    <w:p w14:paraId="183CD73C" w14:textId="77777777" w:rsidR="004E7BFA" w:rsidRPr="00A70916" w:rsidRDefault="004E7BFA" w:rsidP="00EB4A76">
      <w:pPr>
        <w:pStyle w:val="text-base"/>
        <w:jc w:val="both"/>
        <w:rPr>
          <w:color w:val="000000" w:themeColor="text1"/>
          <w:lang w:val="en-US"/>
        </w:rPr>
      </w:pPr>
      <w:r w:rsidRPr="00A25014">
        <w:rPr>
          <w:lang w:val="en-US"/>
        </w:rPr>
        <w:t>The policies share identical stochastic realizations of demand and lead times within each Monte Carlo replication via common random numbers. Policies differ in decision rules and in the information they process. Static and Dynamic update control parameters from realized demand through smoothing. Base-stock (Uncertain) and AI consume the same forecast outputs (mean and dispersion) as decision inputs. This design separates the value of forecast access (</w:t>
      </w:r>
      <w:r w:rsidR="005B645D" w:rsidRPr="00A25014">
        <w:rPr>
          <w:lang w:val="en-US"/>
        </w:rPr>
        <w:t xml:space="preserve">Uncertain </w:t>
      </w:r>
      <w:r w:rsidRPr="00A25014">
        <w:rPr>
          <w:lang w:val="en-US"/>
        </w:rPr>
        <w:t>versus Dynamic) from the value of reinforcement-learning decision mapping conditional on the same forecast inputs (AI versus Uncertain).</w:t>
      </w:r>
    </w:p>
    <w:p w14:paraId="7119E91E" w14:textId="77777777" w:rsidR="00141B87" w:rsidRDefault="00984699" w:rsidP="00EB4A76">
      <w:pPr>
        <w:pStyle w:val="text-base"/>
        <w:jc w:val="both"/>
        <w:rPr>
          <w:color w:val="000000" w:themeColor="text1"/>
          <w:lang w:val="en-US"/>
        </w:rPr>
      </w:pPr>
      <w:r w:rsidRPr="00A25014">
        <w:rPr>
          <w:lang w:val="en-US"/>
        </w:rPr>
        <w:t>The methodology addressed common data availability challenges in public health research by combining real-world demand data from observed SUS utilization with synthesized supply data, which is cross-validated by expert opinion. It means that both aspects were stress-tested in a controlled yet realistic set of sub-scenarios that simulate stressed conditions (H1N1, Zika, COVID-19) and remain computationally feasible in the limited resource environment of an academic endeavor.</w:t>
      </w:r>
    </w:p>
    <w:p w14:paraId="0A111951" w14:textId="77777777" w:rsidR="00984699" w:rsidRPr="00EF6DC0" w:rsidRDefault="00984699" w:rsidP="00EB4A76">
      <w:pPr>
        <w:pStyle w:val="text-base"/>
        <w:jc w:val="both"/>
        <w:rPr>
          <w:color w:val="000000" w:themeColor="text1"/>
          <w:lang w:val="en-US"/>
        </w:rPr>
      </w:pPr>
      <w:r w:rsidRPr="00653ACC">
        <w:rPr>
          <w:lang w:val="en-US"/>
        </w:rPr>
        <w:t xml:space="preserve">For publication-level justification, statistical analysis involves significance levels on the subject level, which are more appropriate for hospital functioning. Also, power analyses estimate the likelihood of detecting operationally significant performance differences, and stability checks based on parameter variation </w:t>
      </w:r>
      <w:r w:rsidR="00D508F7">
        <w:rPr>
          <w:lang w:val="en-US"/>
        </w:rPr>
        <w:t>are</w:t>
      </w:r>
      <w:r w:rsidRPr="00653ACC">
        <w:rPr>
          <w:lang w:val="en-US"/>
        </w:rPr>
        <w:t xml:space="preserve"> intended to ensure that the findings are not tenuously linked.</w:t>
      </w:r>
    </w:p>
    <w:p w14:paraId="4D04DDD1" w14:textId="77777777" w:rsidR="00984699" w:rsidRPr="00EF6DC0" w:rsidRDefault="002875A0" w:rsidP="00B40008">
      <w:pPr>
        <w:pStyle w:val="Ttulo2"/>
      </w:pPr>
      <w:bookmarkStart w:id="1" w:name="_Hlk217303936"/>
      <w:r>
        <w:t xml:space="preserve">3.1 </w:t>
      </w:r>
      <w:r w:rsidR="00984699" w:rsidRPr="00EF6DC0">
        <w:t>Problem Formulation</w:t>
      </w:r>
    </w:p>
    <w:p w14:paraId="4EBE66E7" w14:textId="77777777" w:rsidR="003E224D" w:rsidRPr="00A70916" w:rsidRDefault="00C56DD0" w:rsidP="00EB4A76">
      <w:pPr>
        <w:pStyle w:val="text-base"/>
        <w:jc w:val="both"/>
        <w:rPr>
          <w:color w:val="000000" w:themeColor="text1"/>
          <w:lang w:val="en-US"/>
        </w:rPr>
      </w:pPr>
      <w:r w:rsidRPr="00EF6DC0">
        <w:rPr>
          <w:color w:val="000000" w:themeColor="text1"/>
          <w:lang w:val="en-US"/>
        </w:rPr>
        <w:t>The study define</w:t>
      </w:r>
      <w:r w:rsidR="001138DF">
        <w:rPr>
          <w:color w:val="000000" w:themeColor="text1"/>
          <w:lang w:val="en-US"/>
        </w:rPr>
        <w:t>d</w:t>
      </w:r>
      <w:r w:rsidRPr="00EF6DC0">
        <w:rPr>
          <w:color w:val="000000" w:themeColor="text1"/>
          <w:lang w:val="en-US"/>
        </w:rPr>
        <w:t xml:space="preserve"> the Healthcare Supply Chain Optimization problem as a stochastic inventory </w:t>
      </w:r>
      <w:r w:rsidR="00BF7315">
        <w:rPr>
          <w:color w:val="000000" w:themeColor="text1"/>
          <w:lang w:val="en-US"/>
        </w:rPr>
        <w:t>approach</w:t>
      </w:r>
      <w:r w:rsidRPr="00EF6DC0">
        <w:rPr>
          <w:color w:val="000000" w:themeColor="text1"/>
          <w:lang w:val="en-US"/>
        </w:rPr>
        <w:t>. The objective</w:t>
      </w:r>
      <w:r w:rsidRPr="00A70916">
        <w:rPr>
          <w:color w:val="000000" w:themeColor="text1"/>
          <w:lang w:val="en-US"/>
        </w:rPr>
        <w:t xml:space="preserve"> minimizes total expected costs, including holding, ordering, and stockout costs, across </w:t>
      </w:r>
      <w:r w:rsidR="00136957">
        <w:rPr>
          <w:color w:val="000000" w:themeColor="text1"/>
          <w:lang w:val="en-US"/>
        </w:rPr>
        <w:t>facilities and time period</w:t>
      </w:r>
      <w:r w:rsidRPr="00A70916">
        <w:rPr>
          <w:color w:val="000000" w:themeColor="text1"/>
          <w:lang w:val="en-US"/>
        </w:rPr>
        <w:t xml:space="preserve">s. </w:t>
      </w:r>
      <w:r w:rsidR="000F07D9" w:rsidRPr="00AC38EC">
        <w:rPr>
          <w:color w:val="000000" w:themeColor="text1"/>
          <w:lang w:val="en-US"/>
        </w:rPr>
        <w:t xml:space="preserve">The RL reward function incorporates a structure </w:t>
      </w:r>
      <w:r w:rsidR="004C1558">
        <w:rPr>
          <w:color w:val="000000" w:themeColor="text1"/>
          <w:lang w:val="en-US"/>
        </w:rPr>
        <w:t>that balances service equity with cost efficiency (see A.1 for the</w:t>
      </w:r>
      <w:r w:rsidR="002C59BB" w:rsidRPr="002C59BB">
        <w:rPr>
          <w:lang w:val="en-US"/>
        </w:rPr>
        <w:t xml:space="preserve"> complete specification</w:t>
      </w:r>
      <w:r w:rsidR="000F07D9" w:rsidRPr="000F07D9">
        <w:rPr>
          <w:lang w:val="en-US"/>
        </w:rPr>
        <w:t>)</w:t>
      </w:r>
      <w:r w:rsidR="000F07D9">
        <w:rPr>
          <w:color w:val="000000" w:themeColor="text1"/>
          <w:lang w:val="en-US"/>
        </w:rPr>
        <w:t>.</w:t>
      </w:r>
    </w:p>
    <w:p w14:paraId="797E8CCC" w14:textId="77777777" w:rsidR="005639BE" w:rsidRPr="00F630F0" w:rsidRDefault="00000000" w:rsidP="005639BE">
      <w:pPr>
        <w:pStyle w:val="Corpodetexto"/>
        <w:spacing w:before="195" w:line="286" w:lineRule="auto"/>
        <w:ind w:left="210" w:right="17"/>
        <w:jc w:val="center"/>
        <w:rPr>
          <w:rFonts w:ascii="Times New Roman" w:eastAsia="Times New Roman" w:hAnsi="Times New Roman" w:cs="Times New Roman"/>
          <w:color w:val="000000" w:themeColor="text1"/>
          <w:sz w:val="22"/>
          <w:szCs w:val="22"/>
          <w:lang w:val="pt-BR" w:eastAsia="pt-BR"/>
        </w:rPr>
      </w:pPr>
      <w:r w:rsidRPr="00F630F0">
        <w:rPr>
          <w:rFonts w:ascii="Times New Roman" w:hAnsi="Times New Roman" w:cs="Times New Roman"/>
          <w:lang w:val="pt-BR"/>
        </w:rPr>
        <w:t>r_t = −(h·C_t)·I_{t+1} − c_o·q_t − p_s·LS_t − p_sq·(LS_t)^2 − c_r·R_t + b_s·C_t·1{LS_t = 0}.</w:t>
      </w:r>
    </w:p>
    <w:p w14:paraId="06EC68FF" w14:textId="77777777" w:rsidR="00AC38EC" w:rsidRDefault="00B45941" w:rsidP="005639BE">
      <w:pPr>
        <w:pStyle w:val="text-base"/>
        <w:jc w:val="both"/>
        <w:rPr>
          <w:color w:val="000000" w:themeColor="text1"/>
          <w:lang w:val="en-US"/>
        </w:rPr>
      </w:pPr>
      <w:r w:rsidRPr="00F34B55">
        <w:rPr>
          <w:lang w:val="en-US"/>
        </w:rPr>
        <w:t>We calibrate parameters (h = 0.003, c_o = 1.5, p_s = 25.0, p_sq = 0.05, b_s = 8.0) to reflect SUS operating priorities. C_t maps the aggregated SKU-equivalent unit to a BRL-equivalent value, weighting both holding and service terms. R_t denotes the GA-based routing-cost proxy computed when q_t &gt; 0 (R_t = 0 when q_t = 0). The binary zero-lost-sales bonus introduces a discontinuity in the learning signal and can become rarely attainable under severe disruption. When the agent seldom reaches LS_t = 0, the bonus yields sparse feedback and can tilt learning toward reducing ordering and holding costs under bounded actions, contributing to under-ordering under distributional shifts.</w:t>
      </w:r>
    </w:p>
    <w:p w14:paraId="3684ADEB" w14:textId="77777777" w:rsidR="00A17981" w:rsidRPr="005639BE" w:rsidRDefault="00A17981" w:rsidP="005639BE">
      <w:pPr>
        <w:pStyle w:val="text-base"/>
        <w:jc w:val="both"/>
        <w:rPr>
          <w:color w:val="000000" w:themeColor="text1"/>
          <w:lang w:val="en-US"/>
        </w:rPr>
      </w:pPr>
      <w:r w:rsidRPr="00A17981">
        <w:rPr>
          <w:color w:val="000000" w:themeColor="text1"/>
          <w:lang w:val="en-US"/>
        </w:rPr>
        <w:lastRenderedPageBreak/>
        <w:t xml:space="preserve">The ordering cost comprises </w:t>
      </w:r>
      <w:r w:rsidR="00136957">
        <w:rPr>
          <w:color w:val="000000" w:themeColor="text1"/>
          <w:lang w:val="en-US"/>
        </w:rPr>
        <w:t>only a per-unit variable component</w:t>
      </w:r>
      <w:r w:rsidRPr="00A17981">
        <w:rPr>
          <w:color w:val="000000" w:themeColor="text1"/>
          <w:lang w:val="en-US"/>
        </w:rPr>
        <w:t>. Let q_t denote the order quantity. The model defines ordering cost as c_o(q_t) = c_o * q_t, with no fixed setup term. The evaluation layer accumulates t</w:t>
      </w:r>
      <w:r w:rsidR="00136957">
        <w:rPr>
          <w:color w:val="000000" w:themeColor="text1"/>
          <w:lang w:val="en-US"/>
        </w:rPr>
        <w:t>he total logistics cost by summing holding, ordering, stockout, and routing costs across facilities and over</w:t>
      </w:r>
      <w:r w:rsidRPr="00A17981">
        <w:rPr>
          <w:color w:val="000000" w:themeColor="text1"/>
          <w:lang w:val="en-US"/>
        </w:rPr>
        <w:t xml:space="preserve"> time.</w:t>
      </w:r>
    </w:p>
    <w:p w14:paraId="1B10DB74" w14:textId="77777777" w:rsidR="00121EE7" w:rsidRDefault="001F5F02" w:rsidP="00EB4A76">
      <w:pPr>
        <w:pStyle w:val="text-base"/>
        <w:jc w:val="both"/>
        <w:rPr>
          <w:color w:val="000000" w:themeColor="text1"/>
          <w:lang w:val="en-US"/>
        </w:rPr>
      </w:pPr>
      <w:r w:rsidRPr="00653ACC">
        <w:rPr>
          <w:lang w:val="en-US"/>
        </w:rPr>
        <w:t>The system performed within the bounds for capacity, lead</w:t>
      </w:r>
      <w:r w:rsidR="00D508F7">
        <w:rPr>
          <w:lang w:val="en-US"/>
        </w:rPr>
        <w:t>-time variability, and service-</w:t>
      </w:r>
      <w:r w:rsidRPr="00653ACC">
        <w:rPr>
          <w:lang w:val="en-US"/>
        </w:rPr>
        <w:t xml:space="preserve">level </w:t>
      </w:r>
      <w:r w:rsidR="00D508F7">
        <w:rPr>
          <w:lang w:val="en-US"/>
        </w:rPr>
        <w:t>requirement</w:t>
      </w:r>
      <w:r w:rsidRPr="00653ACC">
        <w:rPr>
          <w:lang w:val="en-US"/>
        </w:rPr>
        <w:t xml:space="preserve">s. Designing an optimal solution </w:t>
      </w:r>
      <w:r w:rsidR="00D508F7">
        <w:rPr>
          <w:lang w:val="en-US"/>
        </w:rPr>
        <w:t>required</w:t>
      </w:r>
      <w:r w:rsidRPr="00653ACC">
        <w:rPr>
          <w:lang w:val="en-US"/>
        </w:rPr>
        <w:t xml:space="preserve"> </w:t>
      </w:r>
      <w:r w:rsidR="00D508F7">
        <w:rPr>
          <w:lang w:val="en-US"/>
        </w:rPr>
        <w:t>developing specific specifications for</w:t>
      </w:r>
      <w:r w:rsidRPr="00653ACC">
        <w:rPr>
          <w:lang w:val="en-US"/>
        </w:rPr>
        <w:t xml:space="preserve"> the public health supply chain. For example, it includes equity objectives and concern for patient equity in the case of stockouts.</w:t>
      </w:r>
    </w:p>
    <w:p w14:paraId="70BFA4C3" w14:textId="77777777" w:rsidR="0047501B" w:rsidRPr="008746C2" w:rsidRDefault="00000000" w:rsidP="008746C2">
      <w:pPr>
        <w:pStyle w:val="text-base"/>
        <w:jc w:val="both"/>
        <w:rPr>
          <w:color w:val="000000" w:themeColor="text1"/>
          <w:lang w:val="en-US"/>
        </w:rPr>
      </w:pPr>
      <w:r w:rsidRPr="008746C2">
        <w:rPr>
          <w:color w:val="000000" w:themeColor="text1"/>
          <w:lang w:val="en-US"/>
        </w:rPr>
        <w:t>While the simulator represents a multi-facility healthcare network, inventory decisions are modeled at an aggregated SKU-equivalent level. Demand distributions in the equations refer to this aggregated unit, while costs accrue network-wide across facilities and time.</w:t>
      </w:r>
    </w:p>
    <w:bookmarkEnd w:id="1"/>
    <w:p w14:paraId="0320D2D1" w14:textId="77777777" w:rsidR="00746363" w:rsidRPr="00746363" w:rsidRDefault="00746363" w:rsidP="00746363">
      <w:pPr>
        <w:rPr>
          <w:rFonts w:ascii="Times New Roman" w:eastAsia="Times New Roman" w:hAnsi="Times New Roman" w:cs="Times New Roman"/>
          <w:b/>
          <w:bCs/>
          <w:sz w:val="24"/>
          <w:szCs w:val="24"/>
          <w:lang w:eastAsia="pt-BR"/>
        </w:rPr>
      </w:pPr>
      <w:r w:rsidRPr="00746363">
        <w:rPr>
          <w:rFonts w:ascii="Times New Roman" w:eastAsia="Times New Roman" w:hAnsi="Times New Roman" w:cs="Times New Roman"/>
          <w:b/>
          <w:bCs/>
          <w:sz w:val="24"/>
          <w:szCs w:val="24"/>
          <w:lang w:eastAsia="pt-BR"/>
        </w:rPr>
        <w:t>Inventory Dynamics Under Lost Sales</w:t>
      </w:r>
    </w:p>
    <w:p w14:paraId="1D4446B6" w14:textId="77777777" w:rsidR="001044EB" w:rsidRPr="008746C2" w:rsidRDefault="00000000" w:rsidP="008746C2">
      <w:pPr>
        <w:pStyle w:val="text-base"/>
        <w:jc w:val="both"/>
        <w:rPr>
          <w:color w:val="000000" w:themeColor="text1"/>
          <w:lang w:val="en-US"/>
        </w:rPr>
      </w:pPr>
      <w:r w:rsidRPr="008746C2">
        <w:rPr>
          <w:color w:val="000000" w:themeColor="text1"/>
          <w:lang w:val="en-US"/>
        </w:rPr>
        <w:t>Notation used in Eqs. (1)–(5) and throughout Sections 3–5.</w:t>
      </w:r>
    </w:p>
    <w:tbl>
      <w:tblPr>
        <w:tblW w:w="0" w:type="auto"/>
        <w:tblLook w:val="04A0" w:firstRow="1" w:lastRow="0" w:firstColumn="1" w:lastColumn="0" w:noHBand="0" w:noVBand="1"/>
      </w:tblPr>
      <w:tblGrid>
        <w:gridCol w:w="1134"/>
        <w:gridCol w:w="5529"/>
        <w:gridCol w:w="708"/>
      </w:tblGrid>
      <w:tr w:rsidR="001044EB" w:rsidRPr="008746C2" w14:paraId="06FAF86C" w14:textId="77777777" w:rsidTr="008746C2">
        <w:tc>
          <w:tcPr>
            <w:tcW w:w="1134" w:type="dxa"/>
          </w:tcPr>
          <w:p w14:paraId="5F598318" w14:textId="77777777" w:rsidR="001044EB" w:rsidRPr="008746C2" w:rsidRDefault="00000000">
            <w:pPr>
              <w:rPr>
                <w:rFonts w:ascii="Times New Roman" w:hAnsi="Times New Roman" w:cs="Times New Roman"/>
                <w:b/>
                <w:bCs/>
              </w:rPr>
            </w:pPr>
            <w:r w:rsidRPr="008746C2">
              <w:rPr>
                <w:rFonts w:ascii="Times New Roman" w:hAnsi="Times New Roman" w:cs="Times New Roman"/>
                <w:b/>
                <w:bCs/>
              </w:rPr>
              <w:t>Symbol</w:t>
            </w:r>
          </w:p>
        </w:tc>
        <w:tc>
          <w:tcPr>
            <w:tcW w:w="5529" w:type="dxa"/>
          </w:tcPr>
          <w:p w14:paraId="08070B6F" w14:textId="77777777" w:rsidR="001044EB" w:rsidRPr="008746C2" w:rsidRDefault="00000000">
            <w:pPr>
              <w:rPr>
                <w:rFonts w:ascii="Times New Roman" w:hAnsi="Times New Roman" w:cs="Times New Roman"/>
                <w:b/>
                <w:bCs/>
              </w:rPr>
            </w:pPr>
            <w:r w:rsidRPr="008746C2">
              <w:rPr>
                <w:rFonts w:ascii="Times New Roman" w:hAnsi="Times New Roman" w:cs="Times New Roman"/>
                <w:b/>
                <w:bCs/>
              </w:rPr>
              <w:t>Definition</w:t>
            </w:r>
          </w:p>
        </w:tc>
        <w:tc>
          <w:tcPr>
            <w:tcW w:w="708" w:type="dxa"/>
          </w:tcPr>
          <w:p w14:paraId="114E6164" w14:textId="77777777" w:rsidR="001044EB" w:rsidRPr="008746C2" w:rsidRDefault="00000000">
            <w:pPr>
              <w:rPr>
                <w:rFonts w:ascii="Times New Roman" w:hAnsi="Times New Roman" w:cs="Times New Roman"/>
                <w:b/>
                <w:bCs/>
              </w:rPr>
            </w:pPr>
            <w:r w:rsidRPr="008746C2">
              <w:rPr>
                <w:rFonts w:ascii="Times New Roman" w:hAnsi="Times New Roman" w:cs="Times New Roman"/>
                <w:b/>
                <w:bCs/>
              </w:rPr>
              <w:t>Unit</w:t>
            </w:r>
          </w:p>
        </w:tc>
      </w:tr>
      <w:tr w:rsidR="008746C2" w:rsidRPr="008746C2" w14:paraId="1C98EB13" w14:textId="77777777" w:rsidTr="008746C2">
        <w:tc>
          <w:tcPr>
            <w:tcW w:w="1134" w:type="dxa"/>
          </w:tcPr>
          <w:p w14:paraId="6518F876" w14:textId="77777777" w:rsidR="008746C2" w:rsidRPr="008746C2" w:rsidRDefault="008746C2">
            <w:pPr>
              <w:rPr>
                <w:rFonts w:ascii="Times New Roman" w:hAnsi="Times New Roman" w:cs="Times New Roman"/>
              </w:rPr>
            </w:pPr>
            <w:r w:rsidRPr="008746C2">
              <w:rPr>
                <w:rFonts w:ascii="Times New Roman" w:hAnsi="Times New Roman" w:cs="Times New Roman"/>
              </w:rPr>
              <w:t>1{·}</w:t>
            </w:r>
          </w:p>
        </w:tc>
        <w:tc>
          <w:tcPr>
            <w:tcW w:w="5529" w:type="dxa"/>
          </w:tcPr>
          <w:p w14:paraId="0A00ADAC" w14:textId="77777777" w:rsidR="008746C2" w:rsidRPr="008746C2" w:rsidRDefault="008746C2">
            <w:pPr>
              <w:rPr>
                <w:rFonts w:ascii="Times New Roman" w:hAnsi="Times New Roman" w:cs="Times New Roman"/>
              </w:rPr>
            </w:pPr>
            <w:r w:rsidRPr="008746C2">
              <w:rPr>
                <w:rFonts w:ascii="Times New Roman" w:hAnsi="Times New Roman" w:cs="Times New Roman"/>
              </w:rPr>
              <w:t>indicator function</w:t>
            </w:r>
          </w:p>
        </w:tc>
        <w:tc>
          <w:tcPr>
            <w:tcW w:w="708" w:type="dxa"/>
          </w:tcPr>
          <w:p w14:paraId="57135B0D" w14:textId="77777777" w:rsidR="008746C2" w:rsidRPr="008746C2" w:rsidRDefault="008746C2">
            <w:pPr>
              <w:rPr>
                <w:rFonts w:ascii="Times New Roman" w:hAnsi="Times New Roman" w:cs="Times New Roman"/>
              </w:rPr>
            </w:pPr>
            <w:r w:rsidRPr="008746C2">
              <w:rPr>
                <w:rFonts w:ascii="Times New Roman" w:hAnsi="Times New Roman" w:cs="Times New Roman"/>
              </w:rPr>
              <w:t>—</w:t>
            </w:r>
          </w:p>
        </w:tc>
      </w:tr>
      <w:tr w:rsidR="008746C2" w:rsidRPr="008746C2" w14:paraId="0F84A4B8" w14:textId="77777777" w:rsidTr="008746C2">
        <w:tc>
          <w:tcPr>
            <w:tcW w:w="1134" w:type="dxa"/>
          </w:tcPr>
          <w:p w14:paraId="317EFA37" w14:textId="77777777" w:rsidR="008746C2" w:rsidRPr="008746C2" w:rsidRDefault="008746C2">
            <w:pPr>
              <w:rPr>
                <w:rFonts w:ascii="Times New Roman" w:hAnsi="Times New Roman" w:cs="Times New Roman"/>
              </w:rPr>
            </w:pPr>
            <w:r w:rsidRPr="008746C2">
              <w:rPr>
                <w:rFonts w:ascii="Times New Roman" w:hAnsi="Times New Roman" w:cs="Times New Roman"/>
              </w:rPr>
              <w:t>A_t</w:t>
            </w:r>
          </w:p>
        </w:tc>
        <w:tc>
          <w:tcPr>
            <w:tcW w:w="5529" w:type="dxa"/>
          </w:tcPr>
          <w:p w14:paraId="6F51E04D" w14:textId="77777777" w:rsidR="008746C2" w:rsidRPr="008746C2" w:rsidRDefault="008746C2">
            <w:pPr>
              <w:rPr>
                <w:rFonts w:ascii="Times New Roman" w:hAnsi="Times New Roman" w:cs="Times New Roman"/>
              </w:rPr>
            </w:pPr>
            <w:r w:rsidRPr="008746C2">
              <w:rPr>
                <w:rFonts w:ascii="Times New Roman" w:hAnsi="Times New Roman" w:cs="Times New Roman"/>
              </w:rPr>
              <w:t>arrivals at day t</w:t>
            </w:r>
          </w:p>
        </w:tc>
        <w:tc>
          <w:tcPr>
            <w:tcW w:w="708" w:type="dxa"/>
          </w:tcPr>
          <w:p w14:paraId="3316DF63"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623FE173" w14:textId="77777777" w:rsidTr="008746C2">
        <w:tc>
          <w:tcPr>
            <w:tcW w:w="1134" w:type="dxa"/>
          </w:tcPr>
          <w:p w14:paraId="6EAFF2D2" w14:textId="77777777" w:rsidR="008746C2" w:rsidRPr="008746C2" w:rsidRDefault="008746C2">
            <w:pPr>
              <w:rPr>
                <w:rFonts w:ascii="Times New Roman" w:hAnsi="Times New Roman" w:cs="Times New Roman"/>
              </w:rPr>
            </w:pPr>
            <w:r w:rsidRPr="008746C2">
              <w:rPr>
                <w:rFonts w:ascii="Times New Roman" w:hAnsi="Times New Roman" w:cs="Times New Roman"/>
              </w:rPr>
              <w:t>D_t</w:t>
            </w:r>
          </w:p>
        </w:tc>
        <w:tc>
          <w:tcPr>
            <w:tcW w:w="5529" w:type="dxa"/>
          </w:tcPr>
          <w:p w14:paraId="6F03432B" w14:textId="77777777" w:rsidR="008746C2" w:rsidRPr="008746C2" w:rsidRDefault="008746C2">
            <w:pPr>
              <w:rPr>
                <w:rFonts w:ascii="Times New Roman" w:hAnsi="Times New Roman" w:cs="Times New Roman"/>
              </w:rPr>
            </w:pPr>
            <w:r w:rsidRPr="008746C2">
              <w:rPr>
                <w:rFonts w:ascii="Times New Roman" w:hAnsi="Times New Roman" w:cs="Times New Roman"/>
              </w:rPr>
              <w:t>realized demand during day t (aggregated SKU-equivalent)</w:t>
            </w:r>
          </w:p>
        </w:tc>
        <w:tc>
          <w:tcPr>
            <w:tcW w:w="708" w:type="dxa"/>
          </w:tcPr>
          <w:p w14:paraId="6B34C393"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3115B077" w14:textId="77777777" w:rsidTr="008746C2">
        <w:tc>
          <w:tcPr>
            <w:tcW w:w="1134" w:type="dxa"/>
          </w:tcPr>
          <w:p w14:paraId="47B8ED24" w14:textId="77777777" w:rsidR="008746C2" w:rsidRPr="008746C2" w:rsidRDefault="008746C2">
            <w:pPr>
              <w:rPr>
                <w:rFonts w:ascii="Times New Roman" w:hAnsi="Times New Roman" w:cs="Times New Roman"/>
              </w:rPr>
            </w:pPr>
            <w:r w:rsidRPr="008746C2">
              <w:rPr>
                <w:rFonts w:ascii="Times New Roman" w:hAnsi="Times New Roman" w:cs="Times New Roman"/>
              </w:rPr>
              <w:t>I_{t+1}</w:t>
            </w:r>
          </w:p>
        </w:tc>
        <w:tc>
          <w:tcPr>
            <w:tcW w:w="5529" w:type="dxa"/>
          </w:tcPr>
          <w:p w14:paraId="1C6E5B4B" w14:textId="77777777" w:rsidR="008746C2" w:rsidRPr="008746C2" w:rsidRDefault="008746C2">
            <w:pPr>
              <w:rPr>
                <w:rFonts w:ascii="Times New Roman" w:hAnsi="Times New Roman" w:cs="Times New Roman"/>
              </w:rPr>
            </w:pPr>
            <w:r w:rsidRPr="008746C2">
              <w:rPr>
                <w:rFonts w:ascii="Times New Roman" w:hAnsi="Times New Roman" w:cs="Times New Roman"/>
              </w:rPr>
              <w:t>end-of-day on-hand after demand</w:t>
            </w:r>
          </w:p>
        </w:tc>
        <w:tc>
          <w:tcPr>
            <w:tcW w:w="708" w:type="dxa"/>
          </w:tcPr>
          <w:p w14:paraId="50B0FE39"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2DC55526" w14:textId="77777777" w:rsidTr="008746C2">
        <w:tc>
          <w:tcPr>
            <w:tcW w:w="1134" w:type="dxa"/>
          </w:tcPr>
          <w:p w14:paraId="281FA451" w14:textId="77777777" w:rsidR="008746C2" w:rsidRPr="008746C2" w:rsidRDefault="008746C2">
            <w:pPr>
              <w:rPr>
                <w:rFonts w:ascii="Times New Roman" w:hAnsi="Times New Roman" w:cs="Times New Roman"/>
              </w:rPr>
            </w:pPr>
            <w:r w:rsidRPr="008746C2">
              <w:rPr>
                <w:rFonts w:ascii="Times New Roman" w:hAnsi="Times New Roman" w:cs="Times New Roman"/>
              </w:rPr>
              <w:t>I_t</w:t>
            </w:r>
          </w:p>
        </w:tc>
        <w:tc>
          <w:tcPr>
            <w:tcW w:w="5529" w:type="dxa"/>
          </w:tcPr>
          <w:p w14:paraId="60EF7E28" w14:textId="77777777" w:rsidR="008746C2" w:rsidRPr="008746C2" w:rsidRDefault="008746C2">
            <w:pPr>
              <w:rPr>
                <w:rFonts w:ascii="Times New Roman" w:hAnsi="Times New Roman" w:cs="Times New Roman"/>
              </w:rPr>
            </w:pPr>
            <w:r w:rsidRPr="008746C2">
              <w:rPr>
                <w:rFonts w:ascii="Times New Roman" w:hAnsi="Times New Roman" w:cs="Times New Roman"/>
              </w:rPr>
              <w:t>on-hand inventory at start of day t</w:t>
            </w:r>
          </w:p>
        </w:tc>
        <w:tc>
          <w:tcPr>
            <w:tcW w:w="708" w:type="dxa"/>
          </w:tcPr>
          <w:p w14:paraId="5EC7B05A"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57E81080" w14:textId="77777777" w:rsidTr="008746C2">
        <w:tc>
          <w:tcPr>
            <w:tcW w:w="1134" w:type="dxa"/>
          </w:tcPr>
          <w:p w14:paraId="06604E3A" w14:textId="77777777" w:rsidR="008746C2" w:rsidRPr="008746C2" w:rsidRDefault="008746C2">
            <w:pPr>
              <w:rPr>
                <w:rFonts w:ascii="Times New Roman" w:hAnsi="Times New Roman" w:cs="Times New Roman"/>
              </w:rPr>
            </w:pPr>
            <w:r w:rsidRPr="008746C2">
              <w:rPr>
                <w:rFonts w:ascii="Times New Roman" w:hAnsi="Times New Roman" w:cs="Times New Roman"/>
              </w:rPr>
              <w:t>IP_t</w:t>
            </w:r>
          </w:p>
        </w:tc>
        <w:tc>
          <w:tcPr>
            <w:tcW w:w="5529" w:type="dxa"/>
          </w:tcPr>
          <w:p w14:paraId="37A5BC1F" w14:textId="77777777" w:rsidR="008746C2" w:rsidRPr="008746C2" w:rsidRDefault="008746C2">
            <w:pPr>
              <w:rPr>
                <w:rFonts w:ascii="Times New Roman" w:hAnsi="Times New Roman" w:cs="Times New Roman"/>
              </w:rPr>
            </w:pPr>
            <w:r w:rsidRPr="008746C2">
              <w:rPr>
                <w:rFonts w:ascii="Times New Roman" w:hAnsi="Times New Roman" w:cs="Times New Roman"/>
              </w:rPr>
              <w:t>inventory position (I_t + P_t)</w:t>
            </w:r>
          </w:p>
        </w:tc>
        <w:tc>
          <w:tcPr>
            <w:tcW w:w="708" w:type="dxa"/>
          </w:tcPr>
          <w:p w14:paraId="6C2EBBD0"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5CA22362" w14:textId="77777777" w:rsidTr="008746C2">
        <w:tc>
          <w:tcPr>
            <w:tcW w:w="1134" w:type="dxa"/>
          </w:tcPr>
          <w:p w14:paraId="7CCDD4BD" w14:textId="77777777" w:rsidR="008746C2" w:rsidRPr="00A70916" w:rsidRDefault="008746C2" w:rsidP="008746C2">
            <w:pPr>
              <w:rPr>
                <w:rFonts w:ascii="Times New Roman" w:hAnsi="Times New Roman" w:cs="Times New Roman"/>
                <w:i/>
                <w:iCs/>
                <w:color w:val="000000" w:themeColor="text1"/>
                <w:spacing w:val="-2"/>
              </w:rPr>
            </w:pPr>
            <w:r>
              <w:rPr>
                <w:rFonts w:ascii="Times New Roman" w:hAnsi="Times New Roman" w:cs="Times New Roman"/>
                <w:i/>
                <w:iCs/>
                <w:color w:val="000000" w:themeColor="text1"/>
                <w:spacing w:val="-2"/>
              </w:rPr>
              <w:t>L</w:t>
            </w:r>
          </w:p>
        </w:tc>
        <w:tc>
          <w:tcPr>
            <w:tcW w:w="5529" w:type="dxa"/>
          </w:tcPr>
          <w:p w14:paraId="7F67597B" w14:textId="77777777" w:rsidR="008746C2" w:rsidRPr="001529A3" w:rsidRDefault="008746C2" w:rsidP="008746C2">
            <w:pPr>
              <w:rPr>
                <w:rFonts w:ascii="Times New Roman" w:hAnsi="Times New Roman" w:cs="Times New Roman"/>
                <w:color w:val="000000" w:themeColor="text1"/>
                <w:spacing w:val="-2"/>
              </w:rPr>
            </w:pPr>
            <w:r w:rsidRPr="001529A3">
              <w:rPr>
                <w:rFonts w:ascii="Times New Roman" w:hAnsi="Times New Roman" w:cs="Times New Roman"/>
                <w:color w:val="000000" w:themeColor="text1"/>
                <w:spacing w:val="-2"/>
              </w:rPr>
              <w:t>stochastic lead time (range 3–15 per Section 3.5)</w:t>
            </w:r>
          </w:p>
        </w:tc>
        <w:tc>
          <w:tcPr>
            <w:tcW w:w="708" w:type="dxa"/>
          </w:tcPr>
          <w:p w14:paraId="3AE0C995" w14:textId="77777777" w:rsidR="008746C2" w:rsidRPr="001529A3" w:rsidRDefault="008746C2" w:rsidP="008746C2">
            <w:pPr>
              <w:rPr>
                <w:rFonts w:ascii="Times New Roman" w:hAnsi="Times New Roman" w:cs="Times New Roman"/>
                <w:color w:val="000000" w:themeColor="text1"/>
                <w:spacing w:val="-2"/>
              </w:rPr>
            </w:pPr>
            <w:r w:rsidRPr="001529A3">
              <w:rPr>
                <w:rFonts w:ascii="Times New Roman" w:hAnsi="Times New Roman" w:cs="Times New Roman"/>
                <w:color w:val="000000" w:themeColor="text1"/>
                <w:spacing w:val="-2"/>
              </w:rPr>
              <w:t>days</w:t>
            </w:r>
          </w:p>
        </w:tc>
      </w:tr>
      <w:tr w:rsidR="008746C2" w:rsidRPr="008746C2" w14:paraId="3B92B66B" w14:textId="77777777" w:rsidTr="008746C2">
        <w:tc>
          <w:tcPr>
            <w:tcW w:w="1134" w:type="dxa"/>
          </w:tcPr>
          <w:p w14:paraId="533440AA" w14:textId="77777777" w:rsidR="008746C2" w:rsidRPr="008746C2" w:rsidRDefault="008746C2">
            <w:pPr>
              <w:rPr>
                <w:rFonts w:ascii="Times New Roman" w:hAnsi="Times New Roman" w:cs="Times New Roman"/>
              </w:rPr>
            </w:pPr>
            <w:r w:rsidRPr="008746C2">
              <w:rPr>
                <w:rFonts w:ascii="Times New Roman" w:hAnsi="Times New Roman" w:cs="Times New Roman"/>
              </w:rPr>
              <w:t>L_k</w:t>
            </w:r>
          </w:p>
        </w:tc>
        <w:tc>
          <w:tcPr>
            <w:tcW w:w="5529" w:type="dxa"/>
          </w:tcPr>
          <w:p w14:paraId="16A1A056" w14:textId="77777777" w:rsidR="008746C2" w:rsidRPr="008746C2" w:rsidRDefault="008746C2">
            <w:pPr>
              <w:rPr>
                <w:rFonts w:ascii="Times New Roman" w:hAnsi="Times New Roman" w:cs="Times New Roman"/>
              </w:rPr>
            </w:pPr>
            <w:r w:rsidRPr="008746C2">
              <w:rPr>
                <w:rFonts w:ascii="Times New Roman" w:hAnsi="Times New Roman" w:cs="Times New Roman"/>
              </w:rPr>
              <w:t>integer lead time (days) for order placed at day k</w:t>
            </w:r>
          </w:p>
        </w:tc>
        <w:tc>
          <w:tcPr>
            <w:tcW w:w="708" w:type="dxa"/>
          </w:tcPr>
          <w:p w14:paraId="5190D045" w14:textId="77777777" w:rsidR="008746C2" w:rsidRPr="008746C2" w:rsidRDefault="008746C2">
            <w:pPr>
              <w:rPr>
                <w:rFonts w:ascii="Times New Roman" w:hAnsi="Times New Roman" w:cs="Times New Roman"/>
              </w:rPr>
            </w:pPr>
            <w:r w:rsidRPr="008746C2">
              <w:rPr>
                <w:rFonts w:ascii="Times New Roman" w:hAnsi="Times New Roman" w:cs="Times New Roman"/>
              </w:rPr>
              <w:t>days</w:t>
            </w:r>
          </w:p>
        </w:tc>
      </w:tr>
      <w:tr w:rsidR="008746C2" w:rsidRPr="008746C2" w14:paraId="7FCB5C71" w14:textId="77777777" w:rsidTr="008746C2">
        <w:tc>
          <w:tcPr>
            <w:tcW w:w="1134" w:type="dxa"/>
          </w:tcPr>
          <w:p w14:paraId="066CE810" w14:textId="77777777" w:rsidR="008746C2" w:rsidRPr="008746C2" w:rsidRDefault="008746C2">
            <w:pPr>
              <w:rPr>
                <w:rFonts w:ascii="Times New Roman" w:hAnsi="Times New Roman" w:cs="Times New Roman"/>
              </w:rPr>
            </w:pPr>
            <w:r w:rsidRPr="008746C2">
              <w:rPr>
                <w:rFonts w:ascii="Times New Roman" w:hAnsi="Times New Roman" w:cs="Times New Roman"/>
              </w:rPr>
              <w:t>LS_t</w:t>
            </w:r>
          </w:p>
        </w:tc>
        <w:tc>
          <w:tcPr>
            <w:tcW w:w="5529" w:type="dxa"/>
          </w:tcPr>
          <w:p w14:paraId="1B0F6257" w14:textId="77777777" w:rsidR="008746C2" w:rsidRPr="008746C2" w:rsidRDefault="008746C2">
            <w:pPr>
              <w:rPr>
                <w:rFonts w:ascii="Times New Roman" w:hAnsi="Times New Roman" w:cs="Times New Roman"/>
              </w:rPr>
            </w:pPr>
            <w:r w:rsidRPr="008746C2">
              <w:rPr>
                <w:rFonts w:ascii="Times New Roman" w:hAnsi="Times New Roman" w:cs="Times New Roman"/>
              </w:rPr>
              <w:t>lost sales at day t (D_t − s_t)</w:t>
            </w:r>
          </w:p>
        </w:tc>
        <w:tc>
          <w:tcPr>
            <w:tcW w:w="708" w:type="dxa"/>
          </w:tcPr>
          <w:p w14:paraId="383C63BF"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6A80FE6A" w14:textId="77777777" w:rsidTr="008746C2">
        <w:tc>
          <w:tcPr>
            <w:tcW w:w="1134" w:type="dxa"/>
          </w:tcPr>
          <w:p w14:paraId="37A654E3" w14:textId="77777777" w:rsidR="008746C2" w:rsidRDefault="008746C2" w:rsidP="008746C2">
            <w:pPr>
              <w:rPr>
                <w:rFonts w:ascii="Times New Roman" w:hAnsi="Times New Roman" w:cs="Times New Roman"/>
                <w:i/>
                <w:iCs/>
                <w:color w:val="000000" w:themeColor="text1"/>
                <w:spacing w:val="-2"/>
              </w:rPr>
            </w:pPr>
            <w:r w:rsidRPr="001529A3">
              <w:rPr>
                <w:rFonts w:ascii="Times New Roman" w:hAnsi="Times New Roman" w:cs="Times New Roman"/>
                <w:i/>
                <w:iCs/>
                <w:color w:val="000000" w:themeColor="text1"/>
                <w:spacing w:val="-2"/>
              </w:rPr>
              <w:t>Max</w:t>
            </w:r>
            <w:r>
              <w:rPr>
                <w:rFonts w:ascii="Times New Roman" w:hAnsi="Times New Roman" w:cs="Times New Roman"/>
                <w:i/>
                <w:iCs/>
                <w:color w:val="000000" w:themeColor="text1"/>
                <w:spacing w:val="-2"/>
              </w:rPr>
              <w:t xml:space="preserve"> </w:t>
            </w:r>
            <w:r w:rsidRPr="001529A3">
              <w:rPr>
                <w:rFonts w:ascii="Times New Roman" w:hAnsi="Times New Roman" w:cs="Times New Roman"/>
                <w:i/>
                <w:iCs/>
                <w:color w:val="000000" w:themeColor="text1"/>
                <w:spacing w:val="-2"/>
              </w:rPr>
              <w:t>(0, ·)</w:t>
            </w:r>
          </w:p>
        </w:tc>
        <w:tc>
          <w:tcPr>
            <w:tcW w:w="5529" w:type="dxa"/>
          </w:tcPr>
          <w:p w14:paraId="0313496F" w14:textId="77777777" w:rsidR="008746C2" w:rsidRPr="001529A3" w:rsidRDefault="008746C2" w:rsidP="008746C2">
            <w:pPr>
              <w:rPr>
                <w:rFonts w:ascii="Times New Roman" w:hAnsi="Times New Roman" w:cs="Times New Roman"/>
                <w:color w:val="000000" w:themeColor="text1"/>
                <w:spacing w:val="-2"/>
              </w:rPr>
            </w:pPr>
            <w:r w:rsidRPr="001529A3">
              <w:rPr>
                <w:rFonts w:ascii="Times New Roman" w:hAnsi="Times New Roman" w:cs="Times New Roman"/>
                <w:color w:val="000000" w:themeColor="text1"/>
                <w:spacing w:val="-2"/>
              </w:rPr>
              <w:t>non-negativity constraint preventing negative inventory</w:t>
            </w:r>
          </w:p>
        </w:tc>
        <w:tc>
          <w:tcPr>
            <w:tcW w:w="708" w:type="dxa"/>
          </w:tcPr>
          <w:p w14:paraId="15F4C6F2" w14:textId="77777777" w:rsidR="008746C2" w:rsidRPr="001529A3" w:rsidRDefault="008746C2" w:rsidP="008746C2">
            <w:pPr>
              <w:rPr>
                <w:rFonts w:ascii="Times New Roman" w:hAnsi="Times New Roman" w:cs="Times New Roman"/>
                <w:color w:val="000000" w:themeColor="text1"/>
                <w:spacing w:val="-2"/>
              </w:rPr>
            </w:pPr>
          </w:p>
        </w:tc>
      </w:tr>
      <w:tr w:rsidR="008746C2" w:rsidRPr="008746C2" w14:paraId="48BDBC93" w14:textId="77777777" w:rsidTr="008746C2">
        <w:tc>
          <w:tcPr>
            <w:tcW w:w="1134" w:type="dxa"/>
          </w:tcPr>
          <w:p w14:paraId="71AD2ACE" w14:textId="77777777" w:rsidR="008746C2" w:rsidRPr="008746C2" w:rsidRDefault="008746C2">
            <w:pPr>
              <w:rPr>
                <w:rFonts w:ascii="Times New Roman" w:hAnsi="Times New Roman" w:cs="Times New Roman"/>
              </w:rPr>
            </w:pPr>
            <w:r w:rsidRPr="008746C2">
              <w:rPr>
                <w:rFonts w:ascii="Times New Roman" w:hAnsi="Times New Roman" w:cs="Times New Roman"/>
              </w:rPr>
              <w:t>P_t</w:t>
            </w:r>
          </w:p>
        </w:tc>
        <w:tc>
          <w:tcPr>
            <w:tcW w:w="5529" w:type="dxa"/>
          </w:tcPr>
          <w:p w14:paraId="1B501C2C" w14:textId="77777777" w:rsidR="008746C2" w:rsidRPr="008746C2" w:rsidRDefault="008746C2">
            <w:pPr>
              <w:rPr>
                <w:rFonts w:ascii="Times New Roman" w:hAnsi="Times New Roman" w:cs="Times New Roman"/>
              </w:rPr>
            </w:pPr>
            <w:r w:rsidRPr="008746C2">
              <w:rPr>
                <w:rFonts w:ascii="Times New Roman" w:hAnsi="Times New Roman" w:cs="Times New Roman"/>
              </w:rPr>
              <w:t>pipeline inventory at day t</w:t>
            </w:r>
          </w:p>
        </w:tc>
        <w:tc>
          <w:tcPr>
            <w:tcW w:w="708" w:type="dxa"/>
          </w:tcPr>
          <w:p w14:paraId="6B5576DC"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6AD0BE66" w14:textId="77777777" w:rsidTr="008746C2">
        <w:tc>
          <w:tcPr>
            <w:tcW w:w="1134" w:type="dxa"/>
          </w:tcPr>
          <w:p w14:paraId="31F8278C" w14:textId="77777777" w:rsidR="008746C2" w:rsidRPr="008746C2" w:rsidRDefault="008746C2">
            <w:pPr>
              <w:rPr>
                <w:rFonts w:ascii="Times New Roman" w:hAnsi="Times New Roman" w:cs="Times New Roman"/>
              </w:rPr>
            </w:pPr>
            <w:r w:rsidRPr="008746C2">
              <w:rPr>
                <w:rFonts w:ascii="Times New Roman" w:hAnsi="Times New Roman" w:cs="Times New Roman"/>
              </w:rPr>
              <w:t>q_t</w:t>
            </w:r>
          </w:p>
        </w:tc>
        <w:tc>
          <w:tcPr>
            <w:tcW w:w="5529" w:type="dxa"/>
          </w:tcPr>
          <w:p w14:paraId="1811FF07" w14:textId="77777777" w:rsidR="008746C2" w:rsidRPr="008746C2" w:rsidRDefault="008746C2">
            <w:pPr>
              <w:rPr>
                <w:rFonts w:ascii="Times New Roman" w:hAnsi="Times New Roman" w:cs="Times New Roman"/>
              </w:rPr>
            </w:pPr>
            <w:r w:rsidRPr="008746C2">
              <w:rPr>
                <w:rFonts w:ascii="Times New Roman" w:hAnsi="Times New Roman" w:cs="Times New Roman"/>
              </w:rPr>
              <w:t>order quantity placed at day t</w:t>
            </w:r>
          </w:p>
        </w:tc>
        <w:tc>
          <w:tcPr>
            <w:tcW w:w="708" w:type="dxa"/>
          </w:tcPr>
          <w:p w14:paraId="057168DE"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3BE1193A" w14:textId="77777777" w:rsidTr="008746C2">
        <w:tc>
          <w:tcPr>
            <w:tcW w:w="1134" w:type="dxa"/>
          </w:tcPr>
          <w:p w14:paraId="65254045" w14:textId="77777777" w:rsidR="008746C2" w:rsidRPr="008746C2" w:rsidRDefault="008746C2">
            <w:pPr>
              <w:rPr>
                <w:rFonts w:ascii="Times New Roman" w:hAnsi="Times New Roman" w:cs="Times New Roman"/>
              </w:rPr>
            </w:pPr>
            <w:r w:rsidRPr="008746C2">
              <w:rPr>
                <w:rFonts w:ascii="Times New Roman" w:hAnsi="Times New Roman" w:cs="Times New Roman"/>
              </w:rPr>
              <w:t>s_t</w:t>
            </w:r>
          </w:p>
        </w:tc>
        <w:tc>
          <w:tcPr>
            <w:tcW w:w="5529" w:type="dxa"/>
          </w:tcPr>
          <w:p w14:paraId="611F8296" w14:textId="77777777" w:rsidR="008746C2" w:rsidRPr="008746C2" w:rsidRDefault="008746C2">
            <w:pPr>
              <w:rPr>
                <w:rFonts w:ascii="Times New Roman" w:hAnsi="Times New Roman" w:cs="Times New Roman"/>
              </w:rPr>
            </w:pPr>
            <w:r w:rsidRPr="008746C2">
              <w:rPr>
                <w:rFonts w:ascii="Times New Roman" w:hAnsi="Times New Roman" w:cs="Times New Roman"/>
              </w:rPr>
              <w:t>fulfilled demand at day t</w:t>
            </w:r>
          </w:p>
        </w:tc>
        <w:tc>
          <w:tcPr>
            <w:tcW w:w="708" w:type="dxa"/>
          </w:tcPr>
          <w:p w14:paraId="10E1A76F"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r w:rsidR="008746C2" w:rsidRPr="008746C2" w14:paraId="334AB381" w14:textId="77777777" w:rsidTr="008746C2">
        <w:tc>
          <w:tcPr>
            <w:tcW w:w="1134" w:type="dxa"/>
          </w:tcPr>
          <w:p w14:paraId="45919FFC" w14:textId="77777777" w:rsidR="008746C2" w:rsidRPr="008746C2" w:rsidRDefault="008746C2">
            <w:pPr>
              <w:rPr>
                <w:rFonts w:ascii="Times New Roman" w:hAnsi="Times New Roman" w:cs="Times New Roman"/>
              </w:rPr>
            </w:pPr>
            <w:r w:rsidRPr="008746C2">
              <w:rPr>
                <w:rFonts w:ascii="Times New Roman" w:hAnsi="Times New Roman" w:cs="Times New Roman"/>
              </w:rPr>
              <w:t>t, k</w:t>
            </w:r>
          </w:p>
        </w:tc>
        <w:tc>
          <w:tcPr>
            <w:tcW w:w="5529" w:type="dxa"/>
          </w:tcPr>
          <w:p w14:paraId="7EB35F2F" w14:textId="77777777" w:rsidR="008746C2" w:rsidRPr="008746C2" w:rsidRDefault="008746C2">
            <w:pPr>
              <w:rPr>
                <w:rFonts w:ascii="Times New Roman" w:hAnsi="Times New Roman" w:cs="Times New Roman"/>
              </w:rPr>
            </w:pPr>
            <w:r w:rsidRPr="008746C2">
              <w:rPr>
                <w:rFonts w:ascii="Times New Roman" w:hAnsi="Times New Roman" w:cs="Times New Roman"/>
              </w:rPr>
              <w:t>day indices (decision epoch t; order placed at day k)</w:t>
            </w:r>
          </w:p>
        </w:tc>
        <w:tc>
          <w:tcPr>
            <w:tcW w:w="708" w:type="dxa"/>
          </w:tcPr>
          <w:p w14:paraId="425789B5" w14:textId="77777777" w:rsidR="008746C2" w:rsidRPr="008746C2" w:rsidRDefault="008746C2">
            <w:pPr>
              <w:rPr>
                <w:rFonts w:ascii="Times New Roman" w:hAnsi="Times New Roman" w:cs="Times New Roman"/>
              </w:rPr>
            </w:pPr>
            <w:r w:rsidRPr="008746C2">
              <w:rPr>
                <w:rFonts w:ascii="Times New Roman" w:hAnsi="Times New Roman" w:cs="Times New Roman"/>
              </w:rPr>
              <w:t>days</w:t>
            </w:r>
          </w:p>
        </w:tc>
      </w:tr>
      <w:tr w:rsidR="008746C2" w:rsidRPr="008746C2" w14:paraId="1D0C8E2F" w14:textId="77777777" w:rsidTr="008746C2">
        <w:tc>
          <w:tcPr>
            <w:tcW w:w="1134" w:type="dxa"/>
          </w:tcPr>
          <w:p w14:paraId="53D53208" w14:textId="77777777" w:rsidR="008746C2" w:rsidRPr="008746C2" w:rsidRDefault="008746C2">
            <w:pPr>
              <w:rPr>
                <w:rFonts w:ascii="Times New Roman" w:hAnsi="Times New Roman" w:cs="Times New Roman"/>
              </w:rPr>
            </w:pPr>
            <w:r w:rsidRPr="008746C2">
              <w:rPr>
                <w:rFonts w:ascii="Times New Roman" w:hAnsi="Times New Roman" w:cs="Times New Roman"/>
              </w:rPr>
              <w:t>y_t</w:t>
            </w:r>
          </w:p>
        </w:tc>
        <w:tc>
          <w:tcPr>
            <w:tcW w:w="5529" w:type="dxa"/>
          </w:tcPr>
          <w:p w14:paraId="34ED3267" w14:textId="77777777" w:rsidR="008746C2" w:rsidRPr="008746C2" w:rsidRDefault="008746C2">
            <w:pPr>
              <w:rPr>
                <w:rFonts w:ascii="Times New Roman" w:hAnsi="Times New Roman" w:cs="Times New Roman"/>
              </w:rPr>
            </w:pPr>
            <w:r w:rsidRPr="008746C2">
              <w:rPr>
                <w:rFonts w:ascii="Times New Roman" w:hAnsi="Times New Roman" w:cs="Times New Roman"/>
              </w:rPr>
              <w:t>available inventory before demand (I_t + A_t)</w:t>
            </w:r>
          </w:p>
        </w:tc>
        <w:tc>
          <w:tcPr>
            <w:tcW w:w="708" w:type="dxa"/>
          </w:tcPr>
          <w:p w14:paraId="0AB35690" w14:textId="77777777" w:rsidR="008746C2" w:rsidRPr="008746C2" w:rsidRDefault="008746C2">
            <w:pPr>
              <w:rPr>
                <w:rFonts w:ascii="Times New Roman" w:hAnsi="Times New Roman" w:cs="Times New Roman"/>
              </w:rPr>
            </w:pPr>
            <w:r w:rsidRPr="008746C2">
              <w:rPr>
                <w:rFonts w:ascii="Times New Roman" w:hAnsi="Times New Roman" w:cs="Times New Roman"/>
              </w:rPr>
              <w:t>units</w:t>
            </w:r>
          </w:p>
        </w:tc>
      </w:tr>
    </w:tbl>
    <w:p w14:paraId="05B75993" w14:textId="77777777" w:rsidR="00746363" w:rsidRDefault="00746363" w:rsidP="00746363">
      <w:pPr>
        <w:pStyle w:val="text-base"/>
        <w:jc w:val="both"/>
        <w:rPr>
          <w:color w:val="000000" w:themeColor="text1"/>
          <w:lang w:val="en-US"/>
        </w:rPr>
      </w:pPr>
      <w:r w:rsidRPr="00A25014">
        <w:rPr>
          <w:lang w:val="en-US"/>
        </w:rPr>
        <w:t xml:space="preserve">The model uses a periodic-review lost-sales inventory system. I_t denotes on-hand inventory at the start of day t (units). q_t denotes the order quantity placed at the start of day t (units). D_t denotes realized demand during day t (units). Each order placed </w:t>
      </w:r>
      <w:r w:rsidR="00136957">
        <w:rPr>
          <w:lang w:val="en-US"/>
        </w:rPr>
        <w:t>on</w:t>
      </w:r>
      <w:r w:rsidRPr="00A25014">
        <w:rPr>
          <w:lang w:val="en-US"/>
        </w:rPr>
        <w:t xml:space="preserve"> day k faces an integer lead time L_k in days.</w:t>
      </w:r>
    </w:p>
    <w:p w14:paraId="65F40E3A" w14:textId="77777777" w:rsidR="00746363" w:rsidRPr="008746C2" w:rsidRDefault="001529A3" w:rsidP="00EC2EF2">
      <w:pPr>
        <w:pStyle w:val="text-base"/>
        <w:numPr>
          <w:ilvl w:val="0"/>
          <w:numId w:val="40"/>
        </w:numPr>
        <w:spacing w:before="0" w:beforeAutospacing="0" w:after="0" w:afterAutospacing="0"/>
        <w:jc w:val="both"/>
        <w:rPr>
          <w:lang w:val="en-US"/>
        </w:rPr>
      </w:pPr>
      <w:r w:rsidRPr="00A25014">
        <w:rPr>
          <w:lang w:val="en-US"/>
        </w:rPr>
        <w:t xml:space="preserve">A_t = </w:t>
      </w:r>
      <w:r w:rsidRPr="008746C2">
        <w:rPr>
          <w:lang w:val="en-US"/>
        </w:rPr>
        <w:t>Σ</w:t>
      </w:r>
      <w:r w:rsidRPr="00A25014">
        <w:rPr>
          <w:lang w:val="en-US"/>
        </w:rPr>
        <w:t>_{k=1}^{t-1} q_k · 1{L_k = t − k}, arrivals at day t (units).</w:t>
      </w:r>
    </w:p>
    <w:p w14:paraId="5ED2BF41" w14:textId="77777777" w:rsidR="00746363" w:rsidRPr="008746C2" w:rsidRDefault="004C1558" w:rsidP="00EC2EF2">
      <w:pPr>
        <w:pStyle w:val="text-base"/>
        <w:numPr>
          <w:ilvl w:val="0"/>
          <w:numId w:val="40"/>
        </w:numPr>
        <w:spacing w:before="0" w:beforeAutospacing="0" w:after="0" w:afterAutospacing="0"/>
        <w:jc w:val="both"/>
        <w:rPr>
          <w:lang w:val="en-US"/>
        </w:rPr>
      </w:pPr>
      <w:r w:rsidRPr="00A25014">
        <w:rPr>
          <w:lang w:val="en-US"/>
        </w:rPr>
        <w:t>y_t = I_t + A_t, available inventory before demand (units).</w:t>
      </w:r>
    </w:p>
    <w:p w14:paraId="560007F0" w14:textId="77777777" w:rsidR="001529A3" w:rsidRPr="008746C2" w:rsidRDefault="001529A3" w:rsidP="00EC2EF2">
      <w:pPr>
        <w:pStyle w:val="text-base"/>
        <w:numPr>
          <w:ilvl w:val="0"/>
          <w:numId w:val="40"/>
        </w:numPr>
        <w:spacing w:before="0" w:beforeAutospacing="0" w:after="0" w:afterAutospacing="0"/>
        <w:jc w:val="both"/>
        <w:rPr>
          <w:lang w:val="en-US"/>
        </w:rPr>
      </w:pPr>
      <w:r w:rsidRPr="008746C2">
        <w:rPr>
          <w:lang w:val="en-US"/>
        </w:rPr>
        <w:t>s_t = min{y_t, D_t}, fulfilled demand (units); LS_t = D_t − s_t = max{0, D_t − y_t}, lost sales (units).</w:t>
      </w:r>
    </w:p>
    <w:p w14:paraId="5A3D6E88" w14:textId="77777777" w:rsidR="00746363" w:rsidRPr="008746C2" w:rsidRDefault="00746363" w:rsidP="00EC2EF2">
      <w:pPr>
        <w:pStyle w:val="text-base"/>
        <w:numPr>
          <w:ilvl w:val="0"/>
          <w:numId w:val="40"/>
        </w:numPr>
        <w:spacing w:before="0" w:beforeAutospacing="0" w:after="0" w:afterAutospacing="0"/>
        <w:jc w:val="both"/>
        <w:rPr>
          <w:lang w:val="en-US"/>
        </w:rPr>
      </w:pPr>
      <w:r w:rsidRPr="008746C2">
        <w:rPr>
          <w:lang w:val="en-US"/>
        </w:rPr>
        <w:t>I_{t+1} = y_t − s_t = max{0, y_t − D_t}, end-of-day on-hand (units).</w:t>
      </w:r>
    </w:p>
    <w:p w14:paraId="01C64A47" w14:textId="77777777" w:rsidR="00746363" w:rsidRDefault="00746363" w:rsidP="00EC2EF2">
      <w:pPr>
        <w:pStyle w:val="text-base"/>
        <w:numPr>
          <w:ilvl w:val="0"/>
          <w:numId w:val="40"/>
        </w:numPr>
        <w:spacing w:before="0" w:beforeAutospacing="0" w:after="0" w:afterAutospacing="0"/>
        <w:jc w:val="both"/>
        <w:rPr>
          <w:lang w:val="en-US"/>
        </w:rPr>
      </w:pPr>
      <w:r w:rsidRPr="008746C2">
        <w:rPr>
          <w:lang w:val="en-US"/>
        </w:rPr>
        <w:t>P_t = Σ_{k=1}^{t-1} q_k · 1{L_k &gt; t − k}, pipeline inventory at day t (units); IP_t = I_t + P_t, inventory position (units).</w:t>
      </w:r>
    </w:p>
    <w:p w14:paraId="2F1C245D" w14:textId="77777777" w:rsidR="0071061E" w:rsidRPr="008746C2" w:rsidRDefault="00000000" w:rsidP="008746C2">
      <w:pPr>
        <w:pStyle w:val="text-base"/>
        <w:spacing w:after="0" w:afterAutospacing="0"/>
        <w:jc w:val="both"/>
        <w:rPr>
          <w:color w:val="000000" w:themeColor="text1"/>
          <w:lang w:val="en-US"/>
        </w:rPr>
      </w:pPr>
      <w:r w:rsidRPr="00653ACC">
        <w:rPr>
          <w:lang w:val="en-US"/>
        </w:rPr>
        <w:t xml:space="preserve">The simulator updates A_t from the pipeline and rarely subtracts a time quantity from a stock quantity. </w:t>
      </w:r>
      <w:r w:rsidRPr="00557B61">
        <w:rPr>
          <w:lang w:val="en-US"/>
        </w:rPr>
        <w:t>The model imposes lost sales rather than backlogging.</w:t>
      </w:r>
    </w:p>
    <w:p w14:paraId="65ABE1D2" w14:textId="77777777" w:rsidR="00746363" w:rsidRPr="0071061E" w:rsidRDefault="004C1558" w:rsidP="008746C2">
      <w:pPr>
        <w:pStyle w:val="text-base"/>
        <w:spacing w:after="0" w:afterAutospacing="0"/>
        <w:jc w:val="both"/>
        <w:rPr>
          <w:color w:val="000000" w:themeColor="text1"/>
          <w:lang w:val="en-US"/>
        </w:rPr>
      </w:pPr>
      <w:r w:rsidRPr="00F34B55">
        <w:rPr>
          <w:lang w:val="en-US"/>
        </w:rPr>
        <w:t>Per-day cost accrues as holding cost (h·C_t)·I_{t+1}, stockout penalty p_s·LS_t + p_sq·(LS_t)^2, ordering cost c_o·q_t, and routing cost c_r·R_t (Section 3.3).</w:t>
      </w:r>
    </w:p>
    <w:p w14:paraId="0E032490" w14:textId="77777777" w:rsidR="008746C2" w:rsidRDefault="00746363" w:rsidP="000C06CD">
      <w:pPr>
        <w:pStyle w:val="text-base"/>
        <w:jc w:val="both"/>
        <w:rPr>
          <w:color w:val="000000" w:themeColor="text1"/>
          <w:lang w:val="en-US"/>
        </w:rPr>
      </w:pPr>
      <w:r w:rsidRPr="008746C2">
        <w:rPr>
          <w:color w:val="000000" w:themeColor="text1"/>
          <w:lang w:val="en-US"/>
        </w:rPr>
        <w:lastRenderedPageBreak/>
        <w:t xml:space="preserve">The public health setting </w:t>
      </w:r>
      <w:r w:rsidR="008E66BF">
        <w:rPr>
          <w:color w:val="000000" w:themeColor="text1"/>
          <w:lang w:val="en-US"/>
        </w:rPr>
        <w:t>supports</w:t>
      </w:r>
      <w:r w:rsidRPr="008746C2">
        <w:rPr>
          <w:color w:val="000000" w:themeColor="text1"/>
          <w:lang w:val="en-US"/>
        </w:rPr>
        <w:t xml:space="preserve"> the lost-sales assumption because unmet demand cannot be deferred without clinical risk.</w:t>
      </w:r>
    </w:p>
    <w:p w14:paraId="299E51AD" w14:textId="77777777" w:rsidR="00746363" w:rsidRPr="001529A3" w:rsidRDefault="00746363" w:rsidP="000C06CD">
      <w:pPr>
        <w:pStyle w:val="text-base"/>
        <w:jc w:val="both"/>
        <w:rPr>
          <w:color w:val="000000" w:themeColor="text1"/>
          <w:lang w:val="en-US"/>
        </w:rPr>
      </w:pPr>
      <w:r w:rsidRPr="001F64AE">
        <w:rPr>
          <w:color w:val="000000" w:themeColor="text1"/>
          <w:lang w:val="en-US"/>
        </w:rPr>
        <w:t>Lead times follow an empirical baseline distribution under stable conditions (Section 3.5) and extend by 3–4 weeks for a subset of orders in the disruption scenario (Table 2 note).</w:t>
      </w:r>
    </w:p>
    <w:p w14:paraId="39B01784" w14:textId="77777777" w:rsidR="00121EE7" w:rsidRPr="00A70916" w:rsidRDefault="002875A0" w:rsidP="00B40008">
      <w:pPr>
        <w:pStyle w:val="Ttulo2"/>
      </w:pPr>
      <w:r>
        <w:t xml:space="preserve">3.2 </w:t>
      </w:r>
      <w:r w:rsidR="00121EE7" w:rsidRPr="00A70916">
        <w:t>Hybrid AI Framework and Data Integration</w:t>
      </w:r>
    </w:p>
    <w:p w14:paraId="3382E93D" w14:textId="77777777" w:rsidR="001F5F02" w:rsidRPr="00A70916" w:rsidRDefault="001F5F02" w:rsidP="001F5F02">
      <w:pPr>
        <w:pStyle w:val="text-base"/>
        <w:jc w:val="both"/>
        <w:rPr>
          <w:color w:val="000000" w:themeColor="text1"/>
          <w:lang w:val="en-US"/>
        </w:rPr>
      </w:pPr>
      <w:r w:rsidRPr="00A70916">
        <w:rPr>
          <w:color w:val="000000" w:themeColor="text1"/>
          <w:lang w:val="en-US"/>
        </w:rPr>
        <w:t xml:space="preserve">A hybrid AI framework with three algorithmic components </w:t>
      </w:r>
      <w:r w:rsidR="0075183C">
        <w:rPr>
          <w:color w:val="000000" w:themeColor="text1"/>
          <w:lang w:val="en-US"/>
        </w:rPr>
        <w:t>was</w:t>
      </w:r>
      <w:r w:rsidRPr="00A70916">
        <w:rPr>
          <w:color w:val="000000" w:themeColor="text1"/>
          <w:lang w:val="en-US"/>
        </w:rPr>
        <w:t xml:space="preserve"> proposed to deal with uncertain healthcare supply chain optimization and management in a specific area: 1) </w:t>
      </w:r>
      <w:r w:rsidR="003B0B21">
        <w:rPr>
          <w:color w:val="000000" w:themeColor="text1"/>
          <w:lang w:val="en-US"/>
        </w:rPr>
        <w:t>ML</w:t>
      </w:r>
      <w:r w:rsidRPr="00A70916">
        <w:rPr>
          <w:color w:val="000000" w:themeColor="text1"/>
          <w:lang w:val="en-US"/>
        </w:rPr>
        <w:t xml:space="preserve"> for demand forecasting; 2) RL for adaptive inventory policy; 3) </w:t>
      </w:r>
      <w:r w:rsidR="003B0B21">
        <w:rPr>
          <w:color w:val="000000" w:themeColor="text1"/>
          <w:lang w:val="en-US"/>
        </w:rPr>
        <w:t>GA</w:t>
      </w:r>
      <w:r w:rsidRPr="00A70916">
        <w:rPr>
          <w:color w:val="000000" w:themeColor="text1"/>
          <w:lang w:val="en-US"/>
        </w:rPr>
        <w:t xml:space="preserve"> for vehicle routing. It </w:t>
      </w:r>
      <w:r w:rsidR="0078707B" w:rsidRPr="00A70916">
        <w:rPr>
          <w:color w:val="000000" w:themeColor="text1"/>
          <w:lang w:val="en-US"/>
        </w:rPr>
        <w:t>addresse</w:t>
      </w:r>
      <w:r w:rsidR="009D47E9">
        <w:rPr>
          <w:color w:val="000000" w:themeColor="text1"/>
          <w:lang w:val="en-US"/>
        </w:rPr>
        <w:t>d</w:t>
      </w:r>
      <w:r w:rsidR="0078707B" w:rsidRPr="00A70916">
        <w:rPr>
          <w:color w:val="000000" w:themeColor="text1"/>
          <w:lang w:val="en-US"/>
        </w:rPr>
        <w:t xml:space="preserve"> the research challenges outlined in Section 2.4, </w:t>
      </w:r>
      <w:r w:rsidR="00136957">
        <w:rPr>
          <w:color w:val="000000" w:themeColor="text1"/>
          <w:lang w:val="en-US"/>
        </w:rPr>
        <w:t>focusing on the timely development of a benchmarking framework to investigate</w:t>
      </w:r>
      <w:r w:rsidR="0078707B" w:rsidRPr="00A70916">
        <w:rPr>
          <w:color w:val="000000" w:themeColor="text1"/>
          <w:lang w:val="en-US"/>
        </w:rPr>
        <w:t xml:space="preserve"> the potential of AI in conjunction</w:t>
      </w:r>
      <w:r w:rsidRPr="00A70916">
        <w:rPr>
          <w:color w:val="000000" w:themeColor="text1"/>
          <w:lang w:val="en-US"/>
        </w:rPr>
        <w:t xml:space="preserve"> with the traditional operations research toolbox.</w:t>
      </w:r>
    </w:p>
    <w:p w14:paraId="403A8B2C" w14:textId="77777777" w:rsidR="0047501B" w:rsidRPr="001F64AE" w:rsidRDefault="00000000" w:rsidP="001F64AE">
      <w:pPr>
        <w:pStyle w:val="text-base"/>
        <w:spacing w:after="0" w:afterAutospacing="0"/>
        <w:jc w:val="both"/>
        <w:rPr>
          <w:color w:val="000000" w:themeColor="text1"/>
          <w:lang w:val="en-US"/>
        </w:rPr>
      </w:pPr>
      <w:r w:rsidRPr="001F64AE">
        <w:rPr>
          <w:color w:val="000000" w:themeColor="text1"/>
          <w:lang w:val="en-US"/>
        </w:rPr>
        <w:t>Unit of analysis and aggregation. Although the motivating setting is a multi-facility healthcare network with multiple SKUs, the simulator represents inventory decisions at an aggregated SKU-equivalent level. Each replication generates a network-level demand stream that aggregates item-level variability into a single equivalent demand process used for inventory control decisions, while costs (holding, stockout, ordering, and</w:t>
      </w:r>
      <w:r w:rsidR="001F64AE">
        <w:rPr>
          <w:color w:val="000000" w:themeColor="text1"/>
          <w:lang w:val="en-US"/>
        </w:rPr>
        <w:t xml:space="preserve">, </w:t>
      </w:r>
      <w:r w:rsidRPr="001F64AE">
        <w:rPr>
          <w:color w:val="000000" w:themeColor="text1"/>
          <w:lang w:val="en-US"/>
        </w:rPr>
        <w:t>when enabled</w:t>
      </w:r>
      <w:r w:rsidR="001F64AE">
        <w:rPr>
          <w:color w:val="000000" w:themeColor="text1"/>
          <w:lang w:val="en-US"/>
        </w:rPr>
        <w:t xml:space="preserve">, </w:t>
      </w:r>
      <w:r w:rsidRPr="001F64AE">
        <w:rPr>
          <w:color w:val="000000" w:themeColor="text1"/>
          <w:lang w:val="en-US"/>
        </w:rPr>
        <w:t>routing proxy costs) accumulate at the network level. Accordingly, symbols in the core inventory equations (e.g., I_t, q_t, LS_t, D_t) refer to the aggregated SKU-equivalent state, not to individual SKU states. When we refer to “multi-SKU” behavior, we mean that the aggregated demand process is derived from empirical SKU series and preserves the observed variability regimes, rather than that the policy optimizes per-SKU decisions.</w:t>
      </w:r>
    </w:p>
    <w:p w14:paraId="20F9F1CD" w14:textId="77ECAD84" w:rsidR="00121EE7" w:rsidRPr="00A70916" w:rsidRDefault="001F5F02" w:rsidP="001F64AE">
      <w:pPr>
        <w:pStyle w:val="text-base"/>
        <w:spacing w:after="0" w:afterAutospacing="0"/>
        <w:jc w:val="both"/>
        <w:rPr>
          <w:color w:val="000000" w:themeColor="text1"/>
          <w:lang w:val="en-US"/>
        </w:rPr>
      </w:pPr>
      <w:r w:rsidRPr="00A70916">
        <w:rPr>
          <w:color w:val="000000" w:themeColor="text1"/>
          <w:lang w:val="en-US"/>
        </w:rPr>
        <w:t xml:space="preserve">The </w:t>
      </w:r>
      <w:r w:rsidR="0078707B" w:rsidRPr="00A70916">
        <w:rPr>
          <w:color w:val="000000" w:themeColor="text1"/>
          <w:lang w:val="en-US"/>
        </w:rPr>
        <w:t xml:space="preserve">experiment's configuration </w:t>
      </w:r>
      <w:r w:rsidR="00136957">
        <w:rPr>
          <w:color w:val="000000" w:themeColor="text1"/>
          <w:lang w:val="en-US"/>
        </w:rPr>
        <w:t>used hybrid data, combining empirical demand history with expert-informed</w:t>
      </w:r>
      <w:r w:rsidRPr="00A70916">
        <w:rPr>
          <w:color w:val="000000" w:themeColor="text1"/>
          <w:lang w:val="en-US"/>
        </w:rPr>
        <w:t xml:space="preserve"> synthetic supply parameters.</w:t>
      </w:r>
      <w:r w:rsidR="00121EE7" w:rsidRPr="00A70916">
        <w:rPr>
          <w:color w:val="000000" w:themeColor="text1"/>
          <w:lang w:val="en-US"/>
        </w:rPr>
        <w:t xml:space="preserve"> </w:t>
      </w:r>
      <w:r w:rsidR="00E91D70" w:rsidRPr="00E91D70">
        <w:rPr>
          <w:color w:val="000000" w:themeColor="text1"/>
          <w:lang w:val="en-US"/>
        </w:rPr>
        <w:t xml:space="preserve">The former enabled </w:t>
      </w:r>
      <w:r w:rsidR="002B74AA">
        <w:rPr>
          <w:color w:val="000000" w:themeColor="text1"/>
          <w:lang w:val="en-US"/>
        </w:rPr>
        <w:t>a controlled comparison of policy alternatives, while the latter imposed realistic operational resource constraints, as documented in</w:t>
      </w:r>
      <w:r w:rsidR="00121EE7" w:rsidRPr="00A70916">
        <w:rPr>
          <w:color w:val="000000" w:themeColor="text1"/>
          <w:lang w:val="en-US"/>
        </w:rPr>
        <w:t xml:space="preserve"> public health studies.</w:t>
      </w:r>
    </w:p>
    <w:p w14:paraId="2FBDFEA5" w14:textId="2C989496" w:rsidR="00121EE7" w:rsidRPr="00A70916" w:rsidRDefault="00121EE7" w:rsidP="001F64AE">
      <w:pPr>
        <w:pStyle w:val="text-base"/>
        <w:spacing w:after="0" w:afterAutospacing="0"/>
        <w:jc w:val="both"/>
        <w:rPr>
          <w:color w:val="000000" w:themeColor="text1"/>
          <w:lang w:val="en-US"/>
        </w:rPr>
      </w:pPr>
      <w:r w:rsidRPr="00A70916">
        <w:rPr>
          <w:color w:val="000000" w:themeColor="text1"/>
          <w:lang w:val="en-US"/>
        </w:rPr>
        <w:t xml:space="preserve">The empirical demand history </w:t>
      </w:r>
      <w:r w:rsidR="00337C1B">
        <w:rPr>
          <w:color w:val="000000" w:themeColor="text1"/>
          <w:lang w:val="en-US"/>
        </w:rPr>
        <w:t>was</w:t>
      </w:r>
      <w:r w:rsidR="00677A9A" w:rsidRPr="00A70916">
        <w:rPr>
          <w:color w:val="000000" w:themeColor="text1"/>
          <w:lang w:val="en-US"/>
        </w:rPr>
        <w:t xml:space="preserve"> based on 1,000 requests from</w:t>
      </w:r>
      <w:r w:rsidR="00131212">
        <w:rPr>
          <w:color w:val="000000" w:themeColor="text1"/>
          <w:lang w:val="en-US"/>
        </w:rPr>
        <w:t xml:space="preserve"> </w:t>
      </w:r>
      <w:r w:rsidR="008E039F">
        <w:rPr>
          <w:color w:val="000000" w:themeColor="text1"/>
          <w:lang w:val="en-US"/>
        </w:rPr>
        <w:t xml:space="preserve">the </w:t>
      </w:r>
      <w:r w:rsidR="00131212" w:rsidRPr="00A70916">
        <w:rPr>
          <w:color w:val="000000" w:themeColor="text1"/>
          <w:lang w:val="en-US"/>
        </w:rPr>
        <w:t xml:space="preserve">Bahia State Health Department </w:t>
      </w:r>
      <w:r w:rsidR="00131212">
        <w:rPr>
          <w:color w:val="000000" w:themeColor="text1"/>
          <w:lang w:val="en-US"/>
        </w:rPr>
        <w:t>(</w:t>
      </w:r>
      <w:r w:rsidR="00131212" w:rsidRPr="00A70916">
        <w:rPr>
          <w:color w:val="000000" w:themeColor="text1"/>
          <w:lang w:val="en-US"/>
        </w:rPr>
        <w:t>SESAB</w:t>
      </w:r>
      <w:r w:rsidR="00131212">
        <w:rPr>
          <w:color w:val="000000" w:themeColor="text1"/>
          <w:lang w:val="en-US"/>
        </w:rPr>
        <w:t xml:space="preserve">) </w:t>
      </w:r>
      <w:r w:rsidR="00131212" w:rsidRPr="00A70916">
        <w:rPr>
          <w:color w:val="000000" w:themeColor="text1"/>
          <w:lang w:val="en-US"/>
        </w:rPr>
        <w:t xml:space="preserve">and the </w:t>
      </w:r>
      <w:r w:rsidR="00FC7240">
        <w:rPr>
          <w:color w:val="000000" w:themeColor="text1"/>
          <w:lang w:val="en-US"/>
        </w:rPr>
        <w:t xml:space="preserve">Federal </w:t>
      </w:r>
      <w:r w:rsidR="00131212" w:rsidRPr="00A70916">
        <w:rPr>
          <w:color w:val="000000" w:themeColor="text1"/>
          <w:lang w:val="en-US"/>
        </w:rPr>
        <w:t xml:space="preserve">University </w:t>
      </w:r>
      <w:r w:rsidR="00FC7240">
        <w:rPr>
          <w:color w:val="000000" w:themeColor="text1"/>
          <w:lang w:val="en-US"/>
        </w:rPr>
        <w:t xml:space="preserve">of Bahia </w:t>
      </w:r>
      <w:r w:rsidR="00131212" w:rsidRPr="00A70916">
        <w:rPr>
          <w:color w:val="000000" w:themeColor="text1"/>
          <w:lang w:val="en-US"/>
        </w:rPr>
        <w:t>Hospital</w:t>
      </w:r>
      <w:r w:rsidR="00131212" w:rsidRPr="00131212">
        <w:rPr>
          <w:color w:val="000000" w:themeColor="text1"/>
          <w:lang w:val="en-US"/>
        </w:rPr>
        <w:t xml:space="preserve"> </w:t>
      </w:r>
      <w:r w:rsidR="00131212">
        <w:rPr>
          <w:color w:val="000000" w:themeColor="text1"/>
          <w:lang w:val="en-US"/>
        </w:rPr>
        <w:t>(</w:t>
      </w:r>
      <w:r w:rsidR="00131212" w:rsidRPr="00A70916">
        <w:rPr>
          <w:color w:val="000000" w:themeColor="text1"/>
          <w:lang w:val="en-US"/>
        </w:rPr>
        <w:t>HUPES</w:t>
      </w:r>
      <w:r w:rsidR="00131212">
        <w:rPr>
          <w:color w:val="000000" w:themeColor="text1"/>
          <w:lang w:val="en-US"/>
        </w:rPr>
        <w:t>)</w:t>
      </w:r>
      <w:r w:rsidR="00677A9A" w:rsidRPr="00A70916">
        <w:rPr>
          <w:color w:val="000000" w:themeColor="text1"/>
          <w:lang w:val="en-US"/>
        </w:rPr>
        <w:t xml:space="preserve"> from 2022 to 2023, </w:t>
      </w:r>
      <w:r w:rsidR="00136957">
        <w:rPr>
          <w:color w:val="000000" w:themeColor="text1"/>
          <w:lang w:val="en-US"/>
        </w:rPr>
        <w:t>comprising 9,170 single-line items (medications x quantities) derived from 50 different SKUs across two</w:t>
      </w:r>
      <w:r w:rsidRPr="00A70916">
        <w:rPr>
          <w:color w:val="000000" w:themeColor="text1"/>
          <w:lang w:val="en-US"/>
        </w:rPr>
        <w:t xml:space="preserve"> procurement systems.</w:t>
      </w:r>
    </w:p>
    <w:p w14:paraId="26DECA1F" w14:textId="77777777" w:rsidR="00121EE7" w:rsidRPr="00A70916" w:rsidRDefault="00121EE7" w:rsidP="001F64AE">
      <w:pPr>
        <w:pStyle w:val="text-base"/>
        <w:spacing w:after="0" w:afterAutospacing="0"/>
        <w:jc w:val="both"/>
        <w:rPr>
          <w:color w:val="000000" w:themeColor="text1"/>
          <w:lang w:val="en-US"/>
        </w:rPr>
      </w:pPr>
      <w:r w:rsidRPr="00A25014">
        <w:rPr>
          <w:lang w:val="en-US"/>
        </w:rPr>
        <w:t xml:space="preserve">The medications consisted of high-volume standardized supplies, </w:t>
      </w:r>
      <w:r w:rsidR="00136957">
        <w:rPr>
          <w:lang w:val="en-US"/>
        </w:rPr>
        <w:t>ranging from Brazilian Reais (BRL) 0.49 to 10/unit, and specialized pharmaceuticals, estimated at BRL 100-500/unit, reflec</w:t>
      </w:r>
      <w:r w:rsidRPr="00A25014">
        <w:rPr>
          <w:lang w:val="en-US"/>
        </w:rPr>
        <w:t>ting clinical and economic variances across the healthcare supply chain. Also, a single order could reach a transaction value of BRL 408.3 million (e.g., antibiotics for the municipality, resulting in excess demand) when a high-volume supply is requested. Over time, however, it averaged out to between BRL 600,000 and 2.9 million/day across all medications. It was due to the longitudinal consideration and the evolution of SKUs for medications. Thus, outlier orders will not distort longitudinal system performance evaluation of the time-based comparisons.</w:t>
      </w:r>
    </w:p>
    <w:p w14:paraId="4BFCDA5B" w14:textId="421E3A8B" w:rsidR="003A2979" w:rsidRPr="00A70916" w:rsidRDefault="003A2979" w:rsidP="000C06CD">
      <w:pPr>
        <w:pStyle w:val="text-base"/>
        <w:spacing w:after="0" w:afterAutospacing="0"/>
        <w:jc w:val="both"/>
        <w:rPr>
          <w:color w:val="000000" w:themeColor="text1"/>
          <w:lang w:val="en-US"/>
        </w:rPr>
      </w:pPr>
      <w:r w:rsidRPr="00F34B55">
        <w:rPr>
          <w:lang w:val="en-US"/>
        </w:rPr>
        <w:t>The model aggregates costs and service outcomes across a multi-tier network</w:t>
      </w:r>
      <w:r w:rsidR="002B74AA">
        <w:rPr>
          <w:lang w:val="en-US"/>
        </w:rPr>
        <w:t xml:space="preserve"> so that</w:t>
      </w:r>
      <w:r w:rsidRPr="00F34B55">
        <w:rPr>
          <w:lang w:val="en-US"/>
        </w:rPr>
        <w:t xml:space="preserve"> Monte Carlo totals can reach billions of BRL under extended disruptions. Appendix A.5 documents accounting checks that validate unit consistency and prevent double</w:t>
      </w:r>
      <w:r w:rsidR="002B74AA">
        <w:rPr>
          <w:lang w:val="en-US"/>
        </w:rPr>
        <w:t>-</w:t>
      </w:r>
      <w:r w:rsidRPr="00F34B55">
        <w:rPr>
          <w:lang w:val="en-US"/>
        </w:rPr>
        <w:t>counting in the aggregation logic. Appendix E.5 details parameter ranges and scenario design grounded in SUS operations and epidemic-induced demand shifts.</w:t>
      </w:r>
    </w:p>
    <w:p w14:paraId="3E51BFC2" w14:textId="77777777" w:rsidR="003A2979" w:rsidRPr="00A70916" w:rsidRDefault="00D2014A" w:rsidP="000C06CD">
      <w:pPr>
        <w:pStyle w:val="text-base"/>
        <w:spacing w:after="240" w:afterAutospacing="0"/>
        <w:jc w:val="both"/>
        <w:rPr>
          <w:color w:val="000000" w:themeColor="text1"/>
          <w:lang w:val="en-US"/>
        </w:rPr>
      </w:pPr>
      <w:r w:rsidRPr="00653ACC">
        <w:rPr>
          <w:lang w:val="en-US"/>
        </w:rPr>
        <w:t xml:space="preserve">Synthetic supply assumptions may inflate absolute costs. However, policy rankings remained stable across parameter perturbations (Kendall's </w:t>
      </w:r>
      <w:r>
        <w:t>τ</w:t>
      </w:r>
      <w:r w:rsidRPr="00653ACC">
        <w:rPr>
          <w:lang w:val="en-US"/>
        </w:rPr>
        <w:t xml:space="preserve"> = 0.86-0.92), validating comparative findings independent of synthetic parameterization (Section 3.6). To test for potential </w:t>
      </w:r>
      <w:r w:rsidR="006E36DB">
        <w:rPr>
          <w:lang w:val="en-US"/>
        </w:rPr>
        <w:t xml:space="preserve">biases that may lead to erroneous </w:t>
      </w:r>
      <w:r w:rsidR="006E36DB">
        <w:rPr>
          <w:lang w:val="en-US"/>
        </w:rPr>
        <w:lastRenderedPageBreak/>
        <w:t>output</w:t>
      </w:r>
      <w:r w:rsidRPr="00653ACC">
        <w:rPr>
          <w:lang w:val="en-US"/>
        </w:rPr>
        <w:t xml:space="preserve">s, we take three measures to validate the model's results. They are: (i) Latin Hypercube sensitivity testing on parameter deviation (see Appendix D.1), (ii) Bootstrap confidence intervals for key metrics, and (iii) Cross-validation under alternative synthetic parameterized distributions (see Appendix E). Contour maps visualize the outlook in which the evaluation of the impacts of a specific variable </w:t>
      </w:r>
      <w:r w:rsidR="00D508F7">
        <w:rPr>
          <w:lang w:val="en-US"/>
        </w:rPr>
        <w:t xml:space="preserve">depends </w:t>
      </w:r>
      <w:r w:rsidRPr="00653ACC">
        <w:rPr>
          <w:lang w:val="en-US"/>
        </w:rPr>
        <w:t>on derived assumptions. Appendix D clarifies the parameterized assumptions and answers any questions regarding the replication and coding exercise.</w:t>
      </w:r>
    </w:p>
    <w:p w14:paraId="61364220" w14:textId="77777777" w:rsidR="00885932" w:rsidRPr="00A70916" w:rsidRDefault="002875A0" w:rsidP="00B40008">
      <w:pPr>
        <w:pStyle w:val="Ttulo2"/>
      </w:pPr>
      <w:r>
        <w:t xml:space="preserve">3.3 </w:t>
      </w:r>
      <w:r w:rsidR="00885932" w:rsidRPr="00A70916">
        <w:t>Hybrid AI Framework Architecture</w:t>
      </w:r>
    </w:p>
    <w:p w14:paraId="7993BEDB" w14:textId="77777777" w:rsidR="00885932" w:rsidRPr="00A70916" w:rsidRDefault="00BF7F4D" w:rsidP="009B258B">
      <w:pPr>
        <w:pStyle w:val="text-base"/>
        <w:spacing w:after="0" w:afterAutospacing="0"/>
        <w:jc w:val="both"/>
        <w:rPr>
          <w:color w:val="000000" w:themeColor="text1"/>
          <w:lang w:val="en-US"/>
        </w:rPr>
      </w:pPr>
      <w:r w:rsidRPr="00A70916">
        <w:rPr>
          <w:color w:val="000000" w:themeColor="text1"/>
          <w:lang w:val="en-US"/>
        </w:rPr>
        <w:t xml:space="preserve">The hybrid AI framework </w:t>
      </w:r>
      <w:r w:rsidR="00964451">
        <w:rPr>
          <w:color w:val="000000" w:themeColor="text1"/>
          <w:lang w:val="en-US"/>
        </w:rPr>
        <w:t>was</w:t>
      </w:r>
      <w:r w:rsidRPr="00A70916">
        <w:rPr>
          <w:color w:val="000000" w:themeColor="text1"/>
          <w:lang w:val="en-US"/>
        </w:rPr>
        <w:t xml:space="preserve"> a modular</w:t>
      </w:r>
      <w:r w:rsidR="00136957">
        <w:rPr>
          <w:color w:val="000000" w:themeColor="text1"/>
          <w:lang w:val="en-US"/>
        </w:rPr>
        <w:t>, sequentially built design comprising</w:t>
      </w:r>
      <w:r w:rsidR="0078707B" w:rsidRPr="00A70916">
        <w:rPr>
          <w:color w:val="000000" w:themeColor="text1"/>
          <w:lang w:val="en-US"/>
        </w:rPr>
        <w:t xml:space="preserve"> three algorithms that can feasibly operate in</w:t>
      </w:r>
      <w:r w:rsidRPr="00A70916">
        <w:rPr>
          <w:color w:val="000000" w:themeColor="text1"/>
          <w:lang w:val="en-US"/>
        </w:rPr>
        <w:t xml:space="preserve"> the real-world health supply chain. The proposed modularity </w:t>
      </w:r>
      <w:r w:rsidR="00964451">
        <w:rPr>
          <w:color w:val="000000" w:themeColor="text1"/>
          <w:lang w:val="en-US"/>
        </w:rPr>
        <w:t>was</w:t>
      </w:r>
      <w:r w:rsidRPr="00A70916">
        <w:rPr>
          <w:color w:val="000000" w:themeColor="text1"/>
          <w:lang w:val="en-US"/>
        </w:rPr>
        <w:t xml:space="preserve"> consistent with the methodological contribution made in Section 1, which </w:t>
      </w:r>
      <w:r w:rsidR="00964451">
        <w:rPr>
          <w:color w:val="000000" w:themeColor="text1"/>
          <w:lang w:val="en-US"/>
        </w:rPr>
        <w:t>established</w:t>
      </w:r>
      <w:r w:rsidRPr="00A70916">
        <w:rPr>
          <w:color w:val="000000" w:themeColor="text1"/>
          <w:lang w:val="en-US"/>
        </w:rPr>
        <w:t xml:space="preserve"> modularity as a means of using multiple baselines in AI evaluations.</w:t>
      </w:r>
      <w:r w:rsidR="00EC5848" w:rsidRPr="00A70916">
        <w:rPr>
          <w:color w:val="000000" w:themeColor="text1"/>
          <w:lang w:val="en-US"/>
        </w:rPr>
        <w:t xml:space="preserve"> Th</w:t>
      </w:r>
      <w:r w:rsidR="007B65B7">
        <w:rPr>
          <w:color w:val="000000" w:themeColor="text1"/>
          <w:lang w:val="en-US"/>
        </w:rPr>
        <w:t>e</w:t>
      </w:r>
      <w:r w:rsidR="00EC5848" w:rsidRPr="00A70916">
        <w:rPr>
          <w:color w:val="000000" w:themeColor="text1"/>
          <w:lang w:val="en-US"/>
        </w:rPr>
        <w:t xml:space="preserve"> approach enable</w:t>
      </w:r>
      <w:r w:rsidR="00DD44DC">
        <w:rPr>
          <w:color w:val="000000" w:themeColor="text1"/>
          <w:lang w:val="en-US"/>
        </w:rPr>
        <w:t>d</w:t>
      </w:r>
      <w:r w:rsidR="00EC5848" w:rsidRPr="00A70916">
        <w:rPr>
          <w:color w:val="000000" w:themeColor="text1"/>
          <w:lang w:val="en-US"/>
        </w:rPr>
        <w:t xml:space="preserve"> an ablation study that takes an empirical science perspective, separating</w:t>
      </w:r>
      <w:r w:rsidR="00885932" w:rsidRPr="00A70916">
        <w:rPr>
          <w:color w:val="000000" w:themeColor="text1"/>
          <w:lang w:val="en-US"/>
        </w:rPr>
        <w:t xml:space="preserve"> contributions through legitimate inquiry of each part.</w:t>
      </w:r>
    </w:p>
    <w:p w14:paraId="340DD3B7" w14:textId="77777777" w:rsidR="00885932" w:rsidRPr="00A70916" w:rsidRDefault="00885932" w:rsidP="009B258B">
      <w:pPr>
        <w:pStyle w:val="text-base"/>
        <w:spacing w:after="0" w:afterAutospacing="0"/>
        <w:jc w:val="both"/>
        <w:rPr>
          <w:color w:val="000000" w:themeColor="text1"/>
          <w:lang w:val="en-US"/>
        </w:rPr>
      </w:pPr>
      <w:r>
        <w:t>The ML layer combines a univariate LSTM forecaster with a Random Forest residual corrector (LSTM+RF) to produce one-step-ahead point forecasts. We derive uncertainty proxies from bootstrap resampling of residuals; we treat these as heuristic dispersion estimates rather than as fully calibrated predictive distributions. Appendix F.1 reports point-forecast diagnostics and documents where uncertainty calibration metrics (coverage, CRPS, PIT) are available.</w:t>
      </w:r>
    </w:p>
    <w:p w14:paraId="117FEC93" w14:textId="77777777" w:rsidR="0047501B" w:rsidRPr="00A25014" w:rsidRDefault="00000000" w:rsidP="009B258B">
      <w:pPr>
        <w:pStyle w:val="text-base"/>
        <w:spacing w:after="0" w:afterAutospacing="0"/>
        <w:jc w:val="both"/>
        <w:rPr>
          <w:lang w:val="en-US"/>
        </w:rPr>
      </w:pPr>
      <w:r w:rsidRPr="00A25014">
        <w:rPr>
          <w:lang w:val="en-US"/>
        </w:rPr>
        <w:t>We selected the LSTM+RF ensemble under short SKU histories as a pragmatic forecasting component that can capture non-linear demand patterns while remaining stable under sparse observations. The mean history length equals about 20 records per SKU in the empirical dataset. We evaluated candidate forecasters on a temporal validation split and retained the ensemble for the downstream simulation</w:t>
      </w:r>
      <w:r w:rsidR="00136957">
        <w:rPr>
          <w:lang w:val="en-US"/>
        </w:rPr>
        <w:t xml:space="preserve"> (Appendix F.1 documents the evaluation protocol and the observed accuracy range)</w:t>
      </w:r>
      <w:r w:rsidRPr="00A25014">
        <w:rPr>
          <w:lang w:val="en-US"/>
        </w:rPr>
        <w:t>. We treat this choice as proof of concept and position it against simpler time-series baselines as a sensitivity target for confirmatory replication under longer SKU histories.</w:t>
      </w:r>
    </w:p>
    <w:p w14:paraId="73A375C0" w14:textId="77777777" w:rsidR="007E6298" w:rsidRPr="005F27B7" w:rsidRDefault="00885932" w:rsidP="009B258B">
      <w:pPr>
        <w:pStyle w:val="text-base"/>
        <w:spacing w:after="0" w:afterAutospacing="0"/>
        <w:jc w:val="both"/>
        <w:rPr>
          <w:color w:val="000000" w:themeColor="text1"/>
          <w:lang w:val="en-US"/>
        </w:rPr>
      </w:pPr>
      <w:r w:rsidRPr="00A70916">
        <w:rPr>
          <w:color w:val="000000" w:themeColor="text1"/>
          <w:lang w:val="en-US"/>
        </w:rPr>
        <w:t xml:space="preserve">The </w:t>
      </w:r>
      <w:r w:rsidR="00EF6DC0">
        <w:rPr>
          <w:color w:val="000000" w:themeColor="text1"/>
          <w:lang w:val="en-US"/>
        </w:rPr>
        <w:t>RL</w:t>
      </w:r>
      <w:r w:rsidRPr="00A70916">
        <w:rPr>
          <w:color w:val="000000" w:themeColor="text1"/>
          <w:lang w:val="en-US"/>
        </w:rPr>
        <w:t xml:space="preserve"> inventory policy component </w:t>
      </w:r>
      <w:r w:rsidR="006846BB">
        <w:rPr>
          <w:color w:val="000000" w:themeColor="text1"/>
          <w:lang w:val="en-US"/>
        </w:rPr>
        <w:t>was</w:t>
      </w:r>
      <w:r w:rsidRPr="00A70916">
        <w:rPr>
          <w:color w:val="000000" w:themeColor="text1"/>
          <w:lang w:val="en-US"/>
        </w:rPr>
        <w:t xml:space="preserve"> a Double Q-learning agent that convert</w:t>
      </w:r>
      <w:r w:rsidR="006846BB">
        <w:rPr>
          <w:color w:val="000000" w:themeColor="text1"/>
          <w:lang w:val="en-US"/>
        </w:rPr>
        <w:t>ed</w:t>
      </w:r>
      <w:r w:rsidRPr="00A70916">
        <w:rPr>
          <w:color w:val="000000" w:themeColor="text1"/>
          <w:lang w:val="en-US"/>
        </w:rPr>
        <w:t xml:space="preserve"> demand estimat</w:t>
      </w:r>
      <w:r w:rsidR="00136957">
        <w:rPr>
          <w:color w:val="000000" w:themeColor="text1"/>
          <w:lang w:val="en-US"/>
        </w:rPr>
        <w:t xml:space="preserve">es into adaptive orderings </w:t>
      </w:r>
      <w:r w:rsidR="00D508F7">
        <w:rPr>
          <w:color w:val="000000" w:themeColor="text1"/>
          <w:lang w:val="en-US"/>
        </w:rPr>
        <w:t>by learning from state-action pairs through repeated interaction</w:t>
      </w:r>
      <w:r w:rsidRPr="00A70916">
        <w:rPr>
          <w:color w:val="000000" w:themeColor="text1"/>
          <w:lang w:val="en-US"/>
        </w:rPr>
        <w:t xml:space="preserve">s. The state space </w:t>
      </w:r>
      <w:r w:rsidR="006846BB">
        <w:rPr>
          <w:color w:val="000000" w:themeColor="text1"/>
          <w:lang w:val="en-US"/>
        </w:rPr>
        <w:t>was</w:t>
      </w:r>
      <w:r w:rsidRPr="00A70916">
        <w:rPr>
          <w:color w:val="000000" w:themeColor="text1"/>
          <w:lang w:val="en-US"/>
        </w:rPr>
        <w:t xml:space="preserve"> discretized based on the inventory levels of each facility and the projected values</w:t>
      </w:r>
      <w:r w:rsidR="00EC5848" w:rsidRPr="00A70916">
        <w:rPr>
          <w:color w:val="000000" w:themeColor="text1"/>
          <w:lang w:val="en-US"/>
        </w:rPr>
        <w:t>,</w:t>
      </w:r>
      <w:r w:rsidRPr="00A70916">
        <w:rPr>
          <w:color w:val="000000" w:themeColor="text1"/>
          <w:lang w:val="en-US"/>
        </w:rPr>
        <w:t xml:space="preserve"> where states </w:t>
      </w:r>
      <w:r w:rsidR="006846BB">
        <w:rPr>
          <w:color w:val="000000" w:themeColor="text1"/>
          <w:lang w:val="en-US"/>
        </w:rPr>
        <w:t>were</w:t>
      </w:r>
      <w:r w:rsidRPr="00A70916">
        <w:rPr>
          <w:color w:val="000000" w:themeColor="text1"/>
          <w:lang w:val="en-US"/>
        </w:rPr>
        <w:t xml:space="preserve"> binarized within ranges created by ten historical deciles (10th-90th percentiles)</w:t>
      </w:r>
      <w:r w:rsidR="00EC5848" w:rsidRPr="00A70916">
        <w:rPr>
          <w:color w:val="000000" w:themeColor="text1"/>
          <w:lang w:val="en-US"/>
        </w:rPr>
        <w:t>,</w:t>
      </w:r>
      <w:r w:rsidRPr="00A70916">
        <w:rPr>
          <w:color w:val="000000" w:themeColor="text1"/>
          <w:lang w:val="en-US"/>
        </w:rPr>
        <w:t xml:space="preserve"> before </w:t>
      </w:r>
      <w:r w:rsidR="00EC5848" w:rsidRPr="00A70916">
        <w:rPr>
          <w:color w:val="000000" w:themeColor="text1"/>
          <w:lang w:val="en-US"/>
        </w:rPr>
        <w:t xml:space="preserve">being </w:t>
      </w:r>
      <w:r w:rsidRPr="00A70916">
        <w:rPr>
          <w:color w:val="000000" w:themeColor="text1"/>
          <w:lang w:val="en-US"/>
        </w:rPr>
        <w:t>compared to the maximum values to avoid overflow.</w:t>
      </w:r>
      <w:r w:rsidR="005F27B7">
        <w:rPr>
          <w:color w:val="000000" w:themeColor="text1"/>
          <w:lang w:val="en-US"/>
        </w:rPr>
        <w:t xml:space="preserve"> </w:t>
      </w:r>
      <w:r w:rsidR="004B7031" w:rsidRPr="004B7031">
        <w:rPr>
          <w:color w:val="000000" w:themeColor="text1"/>
          <w:lang w:val="en-US"/>
        </w:rPr>
        <w:t xml:space="preserve">A </w:t>
      </w:r>
      <w:r w:rsidR="00136957">
        <w:rPr>
          <w:color w:val="000000" w:themeColor="text1"/>
          <w:lang w:val="en-US"/>
        </w:rPr>
        <w:t>10×10 discretization was selected for</w:t>
      </w:r>
      <w:r w:rsidR="004B7031" w:rsidRPr="004B7031">
        <w:rPr>
          <w:color w:val="000000" w:themeColor="text1"/>
          <w:lang w:val="en-US"/>
        </w:rPr>
        <w:t xml:space="preserve"> implementation to balance policy granularity with computational efficiency. Th</w:t>
      </w:r>
      <w:r w:rsidR="004B7031">
        <w:rPr>
          <w:color w:val="000000" w:themeColor="text1"/>
          <w:lang w:val="en-US"/>
        </w:rPr>
        <w:t>e</w:t>
      </w:r>
      <w:r w:rsidR="004B7031" w:rsidRPr="004B7031">
        <w:rPr>
          <w:color w:val="000000" w:themeColor="text1"/>
          <w:lang w:val="en-US"/>
        </w:rPr>
        <w:t xml:space="preserve"> resolution aligned with facility-specific historical deciles and was capped at three times the maximum average daily demand to prevent state overflow.</w:t>
      </w:r>
    </w:p>
    <w:p w14:paraId="60E94959" w14:textId="77777777" w:rsidR="0047501B" w:rsidRPr="001F64AE" w:rsidRDefault="00000000" w:rsidP="009B258B">
      <w:pPr>
        <w:pStyle w:val="text-base"/>
        <w:spacing w:after="0" w:afterAutospacing="0"/>
        <w:jc w:val="both"/>
        <w:rPr>
          <w:lang w:val="en-US"/>
        </w:rPr>
      </w:pPr>
      <w:r w:rsidRPr="001F64AE">
        <w:rPr>
          <w:lang w:val="en-US"/>
        </w:rPr>
        <w:t>During evaluation, the learned policy is frozen: Q-values are not updated</w:t>
      </w:r>
      <w:r w:rsidR="00136957">
        <w:rPr>
          <w:lang w:val="en-US"/>
        </w:rPr>
        <w:t>,</w:t>
      </w:r>
      <w:r w:rsidRPr="001F64AE">
        <w:rPr>
          <w:lang w:val="en-US"/>
        </w:rPr>
        <w:t xml:space="preserve"> and exploration is disabled (epsilon = 0). All 90- and 180-day performance metrics</w:t>
      </w:r>
      <w:r w:rsidR="00136957">
        <w:rPr>
          <w:lang w:val="en-US"/>
        </w:rPr>
        <w:t>,</w:t>
      </w:r>
      <w:r w:rsidRPr="001F64AE">
        <w:rPr>
          <w:lang w:val="en-US"/>
        </w:rPr>
        <w:t xml:space="preserve"> therefore</w:t>
      </w:r>
      <w:r w:rsidR="00136957">
        <w:rPr>
          <w:lang w:val="en-US"/>
        </w:rPr>
        <w:t>,</w:t>
      </w:r>
      <w:r w:rsidRPr="001F64AE">
        <w:rPr>
          <w:lang w:val="en-US"/>
        </w:rPr>
        <w:t xml:space="preserve"> reflect a fixed policy applied to new stochastic realizations, not online learning.</w:t>
      </w:r>
    </w:p>
    <w:p w14:paraId="70AFCC3F" w14:textId="77777777" w:rsidR="00A763B0" w:rsidRDefault="00000000" w:rsidP="00A763B0">
      <w:pPr>
        <w:pStyle w:val="text-base"/>
        <w:jc w:val="both"/>
        <w:rPr>
          <w:lang w:val="en-US"/>
        </w:rPr>
      </w:pPr>
      <w:r w:rsidRPr="00653ACC">
        <w:rPr>
          <w:lang w:val="en-US"/>
        </w:rPr>
        <w:t xml:space="preserve">RL action space, bounds, and feasibility enforcement. The RL agent outputs a discrete adjustment a_t applied to a forecast-based order-up-to target OUT_hat_t. The simulator defines a symmetric bound A and restricts a_t to an evenly spaced grid within [−A, A]. We set </w:t>
      </w:r>
      <w:r w:rsidR="00A763B0" w:rsidRPr="00A763B0">
        <w:rPr>
          <w:rStyle w:val="mord"/>
          <w:rFonts w:eastAsiaTheme="majorEastAsia"/>
          <w:lang w:val="en-US"/>
        </w:rPr>
        <w:t>\begin{equation}</w:t>
      </w:r>
      <w:r w:rsidR="00A763B0">
        <w:rPr>
          <w:rStyle w:val="mord"/>
          <w:rFonts w:eastAsiaTheme="majorEastAsia"/>
          <w:lang w:val="en-US"/>
        </w:rPr>
        <w:t xml:space="preserve"> </w:t>
      </w:r>
      <w:r w:rsidR="00A763B0" w:rsidRPr="00A763B0">
        <w:rPr>
          <w:rStyle w:val="mord"/>
          <w:rFonts w:eastAsiaTheme="majorEastAsia"/>
          <w:lang w:val="en-US"/>
        </w:rPr>
        <w:t>A \;=\; \kappa \cdot P_{90}\!\left(D_{\text{hist}}\right) \cdot L_{\max}(\text{scenario}),</w:t>
      </w:r>
      <w:r w:rsidR="00A763B0">
        <w:rPr>
          <w:rStyle w:val="mord"/>
          <w:rFonts w:eastAsiaTheme="majorEastAsia"/>
          <w:lang w:val="en-US"/>
        </w:rPr>
        <w:t xml:space="preserve"> </w:t>
      </w:r>
      <w:r w:rsidR="00A763B0" w:rsidRPr="00A763B0">
        <w:rPr>
          <w:rStyle w:val="mord"/>
          <w:rFonts w:eastAsiaTheme="majorEastAsia"/>
          <w:lang w:val="en-US"/>
        </w:rPr>
        <w:t>\label{eq:action_scale}</w:t>
      </w:r>
      <w:r w:rsidR="00A763B0">
        <w:rPr>
          <w:rStyle w:val="mord"/>
          <w:rFonts w:eastAsiaTheme="majorEastAsia"/>
          <w:lang w:val="en-US"/>
        </w:rPr>
        <w:t xml:space="preserve"> </w:t>
      </w:r>
      <w:r w:rsidR="00A763B0" w:rsidRPr="00A763B0">
        <w:rPr>
          <w:rStyle w:val="mord"/>
          <w:rFonts w:eastAsiaTheme="majorEastAsia"/>
          <w:lang w:val="en-US"/>
        </w:rPr>
        <w:t>\end{equation}</w:t>
      </w:r>
      <w:r w:rsidRPr="00653ACC">
        <w:rPr>
          <w:lang w:val="en-US"/>
        </w:rPr>
        <w:t>, where P90</w:t>
      </w:r>
      <w:r w:rsidR="00A763B0">
        <w:rPr>
          <w:lang w:val="en-US"/>
        </w:rPr>
        <w:t xml:space="preserve"> </w:t>
      </w:r>
      <w:r w:rsidRPr="00653ACC">
        <w:rPr>
          <w:lang w:val="en-US"/>
        </w:rPr>
        <w:t xml:space="preserve">(D_hist) denotes the 90th percentile of historical daily demand (SKU-equivalent units) and L_max is the scenario-specific maximum lead time. The executed order quantity </w:t>
      </w:r>
      <w:r w:rsidRPr="00653ACC">
        <w:rPr>
          <w:lang w:val="en-US"/>
        </w:rPr>
        <w:lastRenderedPageBreak/>
        <w:t>is computed as q_t = max(0, OUT_hat_t + a_t − IP_t). When feasibility constraints impose an upper bound, the simulator clips q_t to the feasible range before simulation. Evaluation uses a frozen greedy policy (epsilon = 0) to isolate policy quality from exploration.</w:t>
      </w:r>
    </w:p>
    <w:p w14:paraId="233B82D3" w14:textId="77777777" w:rsidR="00982799" w:rsidRDefault="005958C5" w:rsidP="00A763B0">
      <w:pPr>
        <w:pStyle w:val="text-base"/>
        <w:jc w:val="both"/>
        <w:rPr>
          <w:lang w:val="en-US"/>
        </w:rPr>
      </w:pPr>
      <w:r w:rsidRPr="00F34B55">
        <w:rPr>
          <w:lang w:val="en-US"/>
        </w:rPr>
        <w:t xml:space="preserve">The Double Q-learning architecture maintains two separate Q-value estimates to counter the overestimation bias inherent in classical Q-learning, thereby separating action selection from value estimation. Convergence is monitored through a maximum Q-value difference criterion (&lt; 0.001 sustained for 50 consecutive episodes), with the algorithm converging in 400±50 episodes (Figure E1, Appendix E.7). The learning configuration uses a discount factor </w:t>
      </w:r>
      <w:r>
        <w:t>γ</w:t>
      </w:r>
      <w:r w:rsidRPr="00F34B55">
        <w:rPr>
          <w:lang w:val="en-US"/>
        </w:rPr>
        <w:t xml:space="preserve"> = 0.95 and an exploration coefficient decaying from </w:t>
      </w:r>
      <w:r>
        <w:t>ε</w:t>
      </w:r>
      <w:r w:rsidRPr="00F34B55">
        <w:rPr>
          <w:lang w:val="en-US"/>
        </w:rPr>
        <w:t xml:space="preserve"> = 0.20 to </w:t>
      </w:r>
      <w:r>
        <w:t>ε</w:t>
      </w:r>
      <w:r w:rsidRPr="00F34B55">
        <w:rPr>
          <w:lang w:val="en-US"/>
        </w:rPr>
        <w:t xml:space="preserve"> = 0.02 across training episodes, with hyperparameters held constant across replications to ensure reproducibility.</w:t>
      </w:r>
    </w:p>
    <w:p w14:paraId="3D16AEE5" w14:textId="77777777" w:rsidR="00885932" w:rsidRPr="00F76699" w:rsidRDefault="00885932" w:rsidP="009B258B">
      <w:pPr>
        <w:pStyle w:val="text-base"/>
        <w:spacing w:after="0" w:afterAutospacing="0"/>
        <w:jc w:val="both"/>
        <w:rPr>
          <w:color w:val="000000" w:themeColor="text1"/>
          <w:lang w:val="en-US"/>
        </w:rPr>
      </w:pPr>
      <w:r w:rsidRPr="00F76699">
        <w:rPr>
          <w:color w:val="000000" w:themeColor="text1"/>
          <w:lang w:val="en-US"/>
        </w:rPr>
        <w:t xml:space="preserve">The reward function </w:t>
      </w:r>
      <w:r w:rsidR="00BD38AF" w:rsidRPr="00F76699">
        <w:rPr>
          <w:color w:val="000000" w:themeColor="text1"/>
          <w:lang w:val="en-US"/>
        </w:rPr>
        <w:t xml:space="preserve">(specified in Appendix A.1) </w:t>
      </w:r>
      <w:r w:rsidRPr="00F76699">
        <w:rPr>
          <w:color w:val="000000" w:themeColor="text1"/>
          <w:lang w:val="en-US"/>
        </w:rPr>
        <w:t>distinguishe</w:t>
      </w:r>
      <w:r w:rsidR="006846BB" w:rsidRPr="00F76699">
        <w:rPr>
          <w:color w:val="000000" w:themeColor="text1"/>
          <w:lang w:val="en-US"/>
        </w:rPr>
        <w:t>d</w:t>
      </w:r>
      <w:r w:rsidRPr="00F76699">
        <w:rPr>
          <w:color w:val="000000" w:themeColor="text1"/>
          <w:lang w:val="en-US"/>
        </w:rPr>
        <w:t xml:space="preserve"> </w:t>
      </w:r>
      <w:r w:rsidR="00EC5848" w:rsidRPr="00F76699">
        <w:rPr>
          <w:color w:val="000000" w:themeColor="text1"/>
          <w:lang w:val="en-US"/>
        </w:rPr>
        <w:t>between service</w:t>
      </w:r>
      <w:r w:rsidR="00136957">
        <w:rPr>
          <w:color w:val="000000" w:themeColor="text1"/>
          <w:lang w:val="en-US"/>
        </w:rPr>
        <w:t>-level (avoiding stockouts) and cost-based outcomes (stockholding and ordering costs), with penalties</w:t>
      </w:r>
      <w:r w:rsidR="00EC5848" w:rsidRPr="00F76699">
        <w:rPr>
          <w:color w:val="000000" w:themeColor="text1"/>
          <w:lang w:val="en-US"/>
        </w:rPr>
        <w:t xml:space="preserve"> defined in relation to</w:t>
      </w:r>
      <w:r w:rsidRPr="00F76699">
        <w:rPr>
          <w:color w:val="000000" w:themeColor="text1"/>
          <w:lang w:val="en-US"/>
        </w:rPr>
        <w:t xml:space="preserve"> SUS operational objectives. The in-depth technical analysis</w:t>
      </w:r>
      <w:r w:rsidR="00EC5848" w:rsidRPr="00F76699">
        <w:rPr>
          <w:color w:val="000000" w:themeColor="text1"/>
          <w:lang w:val="en-US"/>
        </w:rPr>
        <w:t>, including state discretization definitions, reward function parameterization, and convergence criteria, is presente</w:t>
      </w:r>
      <w:r w:rsidRPr="00F76699">
        <w:rPr>
          <w:color w:val="000000" w:themeColor="text1"/>
          <w:lang w:val="en-US"/>
        </w:rPr>
        <w:t xml:space="preserve">d </w:t>
      </w:r>
      <w:r w:rsidR="00F76699" w:rsidRPr="00F76699">
        <w:rPr>
          <w:color w:val="000000" w:themeColor="text1"/>
          <w:lang w:val="en-US"/>
        </w:rPr>
        <w:t>in Appendix A.1 and Appendix C.3.</w:t>
      </w:r>
    </w:p>
    <w:p w14:paraId="2A4063A8" w14:textId="77777777" w:rsidR="003533F7" w:rsidRPr="003533F7" w:rsidRDefault="003836DD" w:rsidP="009B258B">
      <w:pPr>
        <w:pStyle w:val="text-base"/>
        <w:spacing w:after="0" w:afterAutospacing="0"/>
        <w:jc w:val="both"/>
        <w:rPr>
          <w:color w:val="000000" w:themeColor="text1"/>
          <w:lang w:val="en-US"/>
        </w:rPr>
      </w:pPr>
      <w:r>
        <w:t>The GA optimizes a routing proxy cost for each replenishment episode. In the disruption diagnostic and the 365-day sensitivity check, routing cost accounts for a small share of mean total cost (Tables E.8–E.9), so changes in ordering and stockout dynamics drive the regime-level performance gaps.</w:t>
      </w:r>
    </w:p>
    <w:p w14:paraId="033BDD0E" w14:textId="77777777" w:rsidR="003836DD" w:rsidRPr="00A70916" w:rsidRDefault="003836DD" w:rsidP="009B258B">
      <w:pPr>
        <w:pStyle w:val="text-base"/>
        <w:spacing w:after="0" w:afterAutospacing="0"/>
        <w:jc w:val="both"/>
        <w:rPr>
          <w:color w:val="000000" w:themeColor="text1"/>
          <w:lang w:val="en-US"/>
        </w:rPr>
      </w:pPr>
      <w:r w:rsidRPr="00FD0529">
        <w:rPr>
          <w:lang w:val="en-US"/>
        </w:rPr>
        <w:t>At each decision epoch, the forecaster produces lead-time demand estimates</w:t>
      </w:r>
      <w:r w:rsidR="00136957">
        <w:rPr>
          <w:lang w:val="en-US"/>
        </w:rPr>
        <w:t>; the inventory controller maps the state and forecast to an order quantity;</w:t>
      </w:r>
      <w:r w:rsidRPr="00FD0529">
        <w:rPr>
          <w:lang w:val="en-US"/>
        </w:rPr>
        <w:t xml:space="preserve"> and the routing module computes a feasible delivery plan when q_t &gt; 0. We treat the </w:t>
      </w:r>
      <w:r w:rsidR="008E66BF">
        <w:rPr>
          <w:lang w:val="en-US"/>
        </w:rPr>
        <w:t>whole</w:t>
      </w:r>
      <w:r w:rsidRPr="00FD0529">
        <w:rPr>
          <w:lang w:val="en-US"/>
        </w:rPr>
        <w:t xml:space="preserve"> system with GA enabled as the primary configuration and report diagnostics and ablations that </w:t>
      </w:r>
      <w:r w:rsidR="00136957">
        <w:rPr>
          <w:lang w:val="en-US"/>
        </w:rPr>
        <w:t>turn off</w:t>
      </w:r>
      <w:r w:rsidRPr="00FD0529">
        <w:rPr>
          <w:lang w:val="en-US"/>
        </w:rPr>
        <w:t xml:space="preserve"> routing or its cost term to test whether routing explains material variance in outcomes.</w:t>
      </w:r>
    </w:p>
    <w:p w14:paraId="2A9C1E54" w14:textId="77777777" w:rsidR="003836DD" w:rsidRPr="00A70916" w:rsidRDefault="00EC5848" w:rsidP="009B258B">
      <w:pPr>
        <w:pStyle w:val="text-base"/>
        <w:spacing w:after="240" w:afterAutospacing="0"/>
        <w:jc w:val="both"/>
        <w:rPr>
          <w:color w:val="000000" w:themeColor="text1"/>
          <w:lang w:val="en-US"/>
        </w:rPr>
      </w:pPr>
      <w:r w:rsidRPr="00A70916">
        <w:rPr>
          <w:color w:val="000000" w:themeColor="text1"/>
          <w:lang w:val="en-US"/>
        </w:rPr>
        <w:t xml:space="preserve">For </w:t>
      </w:r>
      <w:r w:rsidR="009E521B" w:rsidRPr="00A70916">
        <w:rPr>
          <w:color w:val="000000" w:themeColor="text1"/>
          <w:lang w:val="en-US"/>
        </w:rPr>
        <w:t>parameter settings, refer to Appendix A. F</w:t>
      </w:r>
      <w:r w:rsidRPr="00A70916">
        <w:rPr>
          <w:color w:val="000000" w:themeColor="text1"/>
          <w:lang w:val="en-US"/>
        </w:rPr>
        <w:t>or</w:t>
      </w:r>
      <w:r w:rsidR="003836DD" w:rsidRPr="00A70916">
        <w:rPr>
          <w:color w:val="000000" w:themeColor="text1"/>
          <w:lang w:val="en-US"/>
        </w:rPr>
        <w:t xml:space="preserve"> technical research nuances</w:t>
      </w:r>
      <w:r w:rsidR="00F13007" w:rsidRPr="00F13007">
        <w:rPr>
          <w:lang w:val="en-US"/>
        </w:rPr>
        <w:t xml:space="preserve"> </w:t>
      </w:r>
      <w:r w:rsidR="00F13007" w:rsidRPr="00F13007">
        <w:rPr>
          <w:color w:val="000000" w:themeColor="text1"/>
          <w:lang w:val="en-US"/>
        </w:rPr>
        <w:t>on state discretization and convergence criteria, see Appendix C.3.</w:t>
      </w:r>
    </w:p>
    <w:p w14:paraId="424457DB" w14:textId="77777777" w:rsidR="003836DD" w:rsidRPr="00A70916" w:rsidRDefault="002875A0" w:rsidP="00B40008">
      <w:pPr>
        <w:pStyle w:val="Ttulo2"/>
      </w:pPr>
      <w:r>
        <w:t xml:space="preserve">3.4 </w:t>
      </w:r>
      <w:r w:rsidR="003836DD" w:rsidRPr="00A70916">
        <w:t>Benchmark Scenarios</w:t>
      </w:r>
    </w:p>
    <w:p w14:paraId="52EB4725" w14:textId="77777777" w:rsidR="003836DD" w:rsidRPr="00A70916" w:rsidRDefault="003836DD" w:rsidP="00BC4C18">
      <w:pPr>
        <w:pStyle w:val="text-base"/>
        <w:spacing w:after="0" w:afterAutospacing="0"/>
        <w:jc w:val="both"/>
        <w:rPr>
          <w:color w:val="000000" w:themeColor="text1"/>
          <w:lang w:val="en-US"/>
        </w:rPr>
      </w:pPr>
      <w:r w:rsidRPr="00653ACC">
        <w:rPr>
          <w:lang w:val="en-US"/>
        </w:rPr>
        <w:t>The scenarios benchmark demand regimes and information constraints using empirically defined generators (Section 3.3). We use parametric examples only for notational illustration; the final experiments draw demand realizations from the scenario-specific empirical regime definitions.</w:t>
      </w:r>
    </w:p>
    <w:p w14:paraId="2715476F" w14:textId="77777777" w:rsidR="00982799" w:rsidRDefault="00000000" w:rsidP="00BC4C18">
      <w:pPr>
        <w:pStyle w:val="text-base"/>
        <w:spacing w:after="0" w:afterAutospacing="0"/>
        <w:jc w:val="both"/>
        <w:rPr>
          <w:color w:val="000000" w:themeColor="text1"/>
          <w:lang w:val="en-US"/>
        </w:rPr>
      </w:pPr>
      <w:r w:rsidRPr="00F34B55">
        <w:rPr>
          <w:lang w:val="en-US"/>
        </w:rPr>
        <w:t>Inventory position and order mapping. Let IP_t denote the inventory position at decision epoch t, defined as on-hand inventory plus outstanding pipeline inventory (IP_t = I_t + P_t). The model uses lost sales and does not represent backorders. Across policies, the executed order quantity q_t is non-negative. Policies may compute an order-up-to target OUT_hat_t; the implemented order follows: q_t := max(0, OUT_hat_t − IP_t).</w:t>
      </w:r>
    </w:p>
    <w:p w14:paraId="766243DD" w14:textId="77777777" w:rsidR="0047501B" w:rsidRPr="00982799" w:rsidRDefault="00000000" w:rsidP="00BC4C18">
      <w:pPr>
        <w:pStyle w:val="text-base"/>
        <w:spacing w:after="0" w:afterAutospacing="0"/>
        <w:jc w:val="both"/>
        <w:rPr>
          <w:color w:val="000000" w:themeColor="text1"/>
          <w:lang w:val="en-US"/>
        </w:rPr>
      </w:pPr>
      <w:r w:rsidRPr="00982799">
        <w:rPr>
          <w:color w:val="000000" w:themeColor="text1"/>
          <w:lang w:val="en-US"/>
        </w:rPr>
        <w:t>We use q_t consistently for order quantity; alternative notations are avoided for clarity.</w:t>
      </w:r>
    </w:p>
    <w:p w14:paraId="32D26D9F" w14:textId="77777777" w:rsidR="003836DD" w:rsidRPr="00A70916" w:rsidRDefault="003836DD" w:rsidP="00BC4C18">
      <w:pPr>
        <w:pStyle w:val="text-base"/>
        <w:spacing w:after="0" w:afterAutospacing="0"/>
        <w:jc w:val="both"/>
        <w:rPr>
          <w:color w:val="000000" w:themeColor="text1"/>
          <w:lang w:val="en-US"/>
        </w:rPr>
      </w:pPr>
      <w:r w:rsidRPr="00A763B0">
        <w:rPr>
          <w:b/>
          <w:bCs/>
          <w:lang w:val="en-US"/>
        </w:rPr>
        <w:lastRenderedPageBreak/>
        <w:t>Static (fixed order-up-to)</w:t>
      </w:r>
      <w:r w:rsidR="00A763B0">
        <w:rPr>
          <w:lang w:val="en-US"/>
        </w:rPr>
        <w:t xml:space="preserve">: </w:t>
      </w:r>
      <w:r w:rsidRPr="00653ACC">
        <w:rPr>
          <w:lang w:val="en-US"/>
        </w:rPr>
        <w:t xml:space="preserve">Static sets a constant order-up-to level using full-sample demand moments. Let D̄ and </w:t>
      </w:r>
      <w:r>
        <w:t>σ</w:t>
      </w:r>
      <w:r w:rsidRPr="00653ACC">
        <w:rPr>
          <w:lang w:val="en-US"/>
        </w:rPr>
        <w:t>_D denote the sample mean and standard deviation of daily demand. Static sets OUT^S = D̄·(L+R) + z·</w:t>
      </w:r>
      <w:r>
        <w:t>σ</w:t>
      </w:r>
      <w:r w:rsidRPr="00653ACC">
        <w:rPr>
          <w:lang w:val="en-US"/>
        </w:rPr>
        <w:t>_D·√(L+R) and orders q_t = max(0, OUT^S − IP_t).</w:t>
      </w:r>
    </w:p>
    <w:p w14:paraId="4DC43BD0" w14:textId="77777777" w:rsidR="00982799" w:rsidRDefault="00000000" w:rsidP="00BC4C18">
      <w:pPr>
        <w:pStyle w:val="text-base"/>
        <w:spacing w:after="0" w:afterAutospacing="0"/>
        <w:jc w:val="both"/>
        <w:rPr>
          <w:color w:val="000000" w:themeColor="text1"/>
          <w:lang w:val="en-US"/>
        </w:rPr>
      </w:pPr>
      <w:r w:rsidRPr="00A763B0">
        <w:rPr>
          <w:b/>
          <w:bCs/>
          <w:lang w:val="en-US"/>
        </w:rPr>
        <w:t>Dynamic (reactive)</w:t>
      </w:r>
      <w:r w:rsidR="00A763B0">
        <w:rPr>
          <w:lang w:val="en-US"/>
        </w:rPr>
        <w:t xml:space="preserve">: </w:t>
      </w:r>
      <w:r w:rsidRPr="00653ACC">
        <w:rPr>
          <w:lang w:val="en-US"/>
        </w:rPr>
        <w:t>Dynamic recomputes demand moments on a trailing window w over realized demand. It sets OUT^D_t = D̄_{t,w}·(L+R) + z·</w:t>
      </w:r>
      <w:r>
        <w:t>σ</w:t>
      </w:r>
      <w:r w:rsidRPr="00653ACC">
        <w:rPr>
          <w:lang w:val="en-US"/>
        </w:rPr>
        <w:t xml:space="preserve">_{t,w}·√(L+R), where D̄_{t,w} and </w:t>
      </w:r>
      <w:r>
        <w:t>σ</w:t>
      </w:r>
      <w:r w:rsidRPr="00653ACC">
        <w:rPr>
          <w:lang w:val="en-US"/>
        </w:rPr>
        <w:t>_{t,w} are the window mean and standard deviation. We tune (w, z) by structured grid search on the training portion of each scenario.</w:t>
      </w:r>
    </w:p>
    <w:p w14:paraId="7C37663D" w14:textId="77777777" w:rsidR="004F4E8A" w:rsidRPr="00DB3F23" w:rsidRDefault="00000000" w:rsidP="00DB3F23">
      <w:pPr>
        <w:pStyle w:val="text-base"/>
        <w:spacing w:after="0" w:afterAutospacing="0"/>
        <w:jc w:val="both"/>
        <w:rPr>
          <w:color w:val="000000" w:themeColor="text1"/>
          <w:lang w:val="en-US"/>
        </w:rPr>
      </w:pPr>
      <w:r w:rsidRPr="00A763B0">
        <w:rPr>
          <w:b/>
          <w:bCs/>
          <w:lang w:val="en-US"/>
        </w:rPr>
        <w:t>Dynamic + Forecast (forecast-informed mean)</w:t>
      </w:r>
      <w:r w:rsidR="00A763B0">
        <w:rPr>
          <w:lang w:val="en-US"/>
        </w:rPr>
        <w:t xml:space="preserve">: </w:t>
      </w:r>
      <w:r w:rsidRPr="00653ACC">
        <w:rPr>
          <w:lang w:val="en-US"/>
        </w:rPr>
        <w:t>This policy keeps the order-up-to form but replaces the window mean with a forecaster mean. Let d̂_{t+1|t} denote the one-step-ahead point forecast. It sets OUT^{DF}_t = d̂_{t+1|t}·(L+R) + z·</w:t>
      </w:r>
      <w:r>
        <w:t>σ</w:t>
      </w:r>
      <w:r w:rsidRPr="00653ACC">
        <w:rPr>
          <w:lang w:val="en-US"/>
        </w:rPr>
        <w:t xml:space="preserve">_{t,w}·√(L+R), using the same rolling </w:t>
      </w:r>
      <w:r>
        <w:t>σ</w:t>
      </w:r>
      <w:r w:rsidRPr="00653ACC">
        <w:rPr>
          <w:lang w:val="en-US"/>
        </w:rPr>
        <w:t xml:space="preserve">_{t,w} as Dynamic. </w:t>
      </w:r>
      <w:r w:rsidR="00D508F7">
        <w:rPr>
          <w:lang w:val="en-US"/>
        </w:rPr>
        <w:t>It</w:t>
      </w:r>
      <w:r w:rsidRPr="00653ACC">
        <w:rPr>
          <w:lang w:val="en-US"/>
        </w:rPr>
        <w:t xml:space="preserve"> isolates the value of forecast access in an otherwise classical rule.</w:t>
      </w:r>
    </w:p>
    <w:p w14:paraId="745A1D88" w14:textId="77777777" w:rsidR="0047501B" w:rsidRPr="00982799" w:rsidRDefault="00000000" w:rsidP="00BC4C18">
      <w:pPr>
        <w:pStyle w:val="text-base"/>
        <w:spacing w:after="0" w:afterAutospacing="0"/>
        <w:jc w:val="both"/>
        <w:rPr>
          <w:color w:val="000000" w:themeColor="text1"/>
          <w:lang w:val="en-US"/>
        </w:rPr>
      </w:pPr>
      <w:r w:rsidRPr="00A763B0">
        <w:rPr>
          <w:b/>
          <w:bCs/>
          <w:lang w:val="en-US"/>
        </w:rPr>
        <w:t>Execution mapping for order-up-to policies</w:t>
      </w:r>
      <w:r w:rsidR="00A763B0">
        <w:rPr>
          <w:lang w:val="en-US"/>
        </w:rPr>
        <w:t xml:space="preserve">: </w:t>
      </w:r>
      <w:r w:rsidRPr="00653ACC">
        <w:rPr>
          <w:lang w:val="en-US"/>
        </w:rPr>
        <w:t>For Static, Dynamic, and Dynamic + Forecast, the simulator maps the target OUT_t to an executed order via q_t = max(0, OUT_t − IP_t).</w:t>
      </w:r>
    </w:p>
    <w:p w14:paraId="402BCF7C" w14:textId="77777777" w:rsidR="003836DD" w:rsidRPr="00A70916" w:rsidRDefault="003836DD" w:rsidP="00BC4C18">
      <w:pPr>
        <w:pStyle w:val="text-base"/>
        <w:spacing w:after="0" w:afterAutospacing="0"/>
        <w:jc w:val="both"/>
        <w:rPr>
          <w:color w:val="000000" w:themeColor="text1"/>
          <w:lang w:val="en-US"/>
        </w:rPr>
      </w:pPr>
      <w:r w:rsidRPr="00A763B0">
        <w:rPr>
          <w:b/>
          <w:bCs/>
          <w:color w:val="000000" w:themeColor="text1"/>
          <w:lang w:val="en-US"/>
        </w:rPr>
        <w:t>AI</w:t>
      </w:r>
      <w:r w:rsidRPr="00A70916">
        <w:rPr>
          <w:color w:val="000000" w:themeColor="text1"/>
          <w:lang w:val="en-US"/>
        </w:rPr>
        <w:t>: A hybrid approach of implementing ML prediction for forecasting, RL for inventory decisions, and GA for routing decisions.</w:t>
      </w:r>
    </w:p>
    <w:p w14:paraId="6BC3A33B" w14:textId="77777777" w:rsidR="003836DD" w:rsidRPr="00A70916" w:rsidRDefault="003836DD" w:rsidP="00BC4C18">
      <w:pPr>
        <w:pStyle w:val="text-base"/>
        <w:spacing w:after="0" w:afterAutospacing="0"/>
        <w:jc w:val="both"/>
        <w:rPr>
          <w:color w:val="000000" w:themeColor="text1"/>
          <w:lang w:val="en-US"/>
        </w:rPr>
      </w:pPr>
      <w:r w:rsidRPr="00A763B0">
        <w:rPr>
          <w:b/>
          <w:bCs/>
          <w:color w:val="000000" w:themeColor="text1"/>
          <w:lang w:val="en-US"/>
        </w:rPr>
        <w:t>Base-stock (Perfect information)</w:t>
      </w:r>
      <w:r w:rsidRPr="00A70916">
        <w:rPr>
          <w:color w:val="000000" w:themeColor="text1"/>
          <w:lang w:val="en-US"/>
        </w:rPr>
        <w:t>: Theoretical ceiling policy (perfect demand information); included for reference only.</w:t>
      </w:r>
    </w:p>
    <w:p w14:paraId="4B5A10CF" w14:textId="10D0F986" w:rsidR="00982799" w:rsidRDefault="00000000" w:rsidP="00BC4C18">
      <w:pPr>
        <w:pStyle w:val="text-base"/>
        <w:spacing w:after="0" w:afterAutospacing="0"/>
        <w:jc w:val="both"/>
        <w:rPr>
          <w:color w:val="000000" w:themeColor="text1"/>
          <w:lang w:val="en-US"/>
        </w:rPr>
      </w:pPr>
      <w:r w:rsidRPr="00F34B55">
        <w:rPr>
          <w:lang w:val="en-US"/>
        </w:rPr>
        <w:t>We report two base-stock variants. Base-stock (Uncertain) incorporates both the forecaster</w:t>
      </w:r>
      <w:r w:rsidR="002B74AA">
        <w:rPr>
          <w:lang w:val="en-US"/>
        </w:rPr>
        <w:t>'s</w:t>
      </w:r>
      <w:r w:rsidRPr="00F34B55">
        <w:rPr>
          <w:lang w:val="en-US"/>
        </w:rPr>
        <w:t xml:space="preserve"> mean and an uncertainty estimate</w:t>
      </w:r>
      <w:r w:rsidR="002B74AA">
        <w:rPr>
          <w:lang w:val="en-US"/>
        </w:rPr>
        <w:t>. At the same time,</w:t>
      </w:r>
      <w:r w:rsidRPr="00F34B55">
        <w:rPr>
          <w:lang w:val="en-US"/>
        </w:rPr>
        <w:t xml:space="preserve"> Base-stock (Deterministic) uses only the forecaster</w:t>
      </w:r>
      <w:r w:rsidR="002B74AA">
        <w:rPr>
          <w:lang w:val="en-US"/>
        </w:rPr>
        <w:t>'s</w:t>
      </w:r>
      <w:r w:rsidRPr="00F34B55">
        <w:rPr>
          <w:lang w:val="en-US"/>
        </w:rPr>
        <w:t xml:space="preserve"> mean (Appendix E.9). Base-stock (Uncertain) (forecast-informed with uncertainty): This baseline uses the forecaster’s point prediction (D_hat_{t+k|t}) and uncertainty estimate (sigma_hat_{t+k|t}) to build an order-up-to target that accounts for lead-time risk. </w:t>
      </w:r>
      <w:r w:rsidRPr="00E91D70">
        <w:rPr>
          <w:lang w:val="en-US"/>
        </w:rPr>
        <w:t>Define lead-time demand mean and standard deviation as:</w:t>
      </w:r>
    </w:p>
    <w:p w14:paraId="5943B123" w14:textId="77777777" w:rsidR="00982799" w:rsidRDefault="00000000" w:rsidP="00BC4C18">
      <w:pPr>
        <w:pStyle w:val="text-base"/>
        <w:spacing w:after="0" w:afterAutospacing="0"/>
        <w:jc w:val="both"/>
        <w:rPr>
          <w:color w:val="000000" w:themeColor="text1"/>
          <w:lang w:val="en-US"/>
        </w:rPr>
      </w:pPr>
      <w:r w:rsidRPr="00982799">
        <w:rPr>
          <w:color w:val="000000" w:themeColor="text1"/>
          <w:lang w:val="en-US"/>
        </w:rPr>
        <w:t>mu_hat^LT_t = sum_{k=1..L} D_hat_{t+k|t},</w:t>
      </w:r>
      <w:r w:rsidR="00982799">
        <w:rPr>
          <w:color w:val="000000" w:themeColor="text1"/>
          <w:lang w:val="en-US"/>
        </w:rPr>
        <w:t xml:space="preserve"> </w:t>
      </w:r>
      <w:r w:rsidRPr="00982799">
        <w:rPr>
          <w:color w:val="000000" w:themeColor="text1"/>
          <w:lang w:val="en-US"/>
        </w:rPr>
        <w:t>sigma_hat^LT_t = sqrt( sum_{k=1..L} sigma_hat^2_{t+k|t} ).</w:t>
      </w:r>
    </w:p>
    <w:p w14:paraId="14EF60B0" w14:textId="77777777" w:rsidR="0047501B" w:rsidRPr="00982799" w:rsidRDefault="00000000" w:rsidP="00982799">
      <w:pPr>
        <w:pStyle w:val="text-base"/>
        <w:jc w:val="both"/>
        <w:rPr>
          <w:color w:val="000000" w:themeColor="text1"/>
          <w:lang w:val="en-US"/>
        </w:rPr>
      </w:pPr>
      <w:r w:rsidRPr="00982799">
        <w:rPr>
          <w:color w:val="000000" w:themeColor="text1"/>
          <w:lang w:val="en-US"/>
        </w:rPr>
        <w:t>Set OUT_hat_t = mu_hat^LT_t + z * sigma_hat^LT_t and execute q_t = max(0, OUT_hat_t - IP_t). The parameter z is tuned on a structured grid under the same simulator and scenario conditions as the other baselines.</w:t>
      </w:r>
    </w:p>
    <w:p w14:paraId="3E5CF2AA" w14:textId="77777777" w:rsidR="00EB4A76" w:rsidRPr="00A70916" w:rsidRDefault="002875A0" w:rsidP="00B40008">
      <w:pPr>
        <w:pStyle w:val="Ttulo2"/>
      </w:pPr>
      <w:r>
        <w:t xml:space="preserve">3.5 </w:t>
      </w:r>
      <w:r w:rsidR="00EB4A76" w:rsidRPr="00A70916">
        <w:t>Stress Testing Framework</w:t>
      </w:r>
    </w:p>
    <w:p w14:paraId="0ED63C7A" w14:textId="185744E7" w:rsidR="00F703D6" w:rsidRDefault="00F703D6" w:rsidP="00BC4C18">
      <w:pPr>
        <w:pStyle w:val="text-base"/>
        <w:spacing w:after="0" w:afterAutospacing="0"/>
        <w:jc w:val="both"/>
        <w:rPr>
          <w:color w:val="000000" w:themeColor="text1"/>
          <w:lang w:val="en-US"/>
        </w:rPr>
      </w:pPr>
      <w:r w:rsidRPr="00F34B55">
        <w:rPr>
          <w:lang w:val="en-US"/>
        </w:rPr>
        <w:t>We evaluate two horizons (T ∈ {90, 180} days) to balance computational constraints with exposure to lead-time-driven dynamics. With n = 100 paired replications per condition, extending the full factorial grid to 365 days would exceed the available compute budget. We partition each episode into a warm-up window (W = 28 days) and an evaluation window (T_eval = T − W). We compute reported metrics over the evaluation window</w:t>
      </w:r>
      <w:r w:rsidR="002B74AA">
        <w:rPr>
          <w:lang w:val="en-US"/>
        </w:rPr>
        <w:t>, unless otherwise stated</w:t>
      </w:r>
      <w:r w:rsidRPr="00F34B55">
        <w:rPr>
          <w:lang w:val="en-US"/>
        </w:rPr>
        <w:t>. The disruption scenario assigns lead times of 8–10 weeks; the longer horizon reduces end-of-window censoring and supports horizon-sensitivity checks reported in Appendix E.9.</w:t>
      </w:r>
    </w:p>
    <w:p w14:paraId="4BDACA32" w14:textId="77777777" w:rsidR="007E1745" w:rsidRPr="00A70916" w:rsidRDefault="00EB4A76" w:rsidP="00BC4C18">
      <w:pPr>
        <w:pStyle w:val="text-base"/>
        <w:spacing w:after="0" w:afterAutospacing="0"/>
        <w:jc w:val="both"/>
        <w:rPr>
          <w:color w:val="000000" w:themeColor="text1"/>
          <w:lang w:val="en-US"/>
        </w:rPr>
      </w:pPr>
      <w:r w:rsidRPr="00FD0529">
        <w:rPr>
          <w:lang w:val="en-US"/>
        </w:rPr>
        <w:t>We drew daily demand observations from two SUS facilities (SESAB and HUPES) spanning multiple item categories, including critical medications and standard supplies. The study aggregates items into SKU-equivalent units for policy evaluation, while unit-cost weights represent differences in criticality and shortage impact. Appendix B documents the data preprocessing, category assignment, and the mapping from observed item-level movements to aggregated demand inputs.</w:t>
      </w:r>
    </w:p>
    <w:p w14:paraId="238BAAA5" w14:textId="47BFDD37" w:rsidR="007E1745" w:rsidRPr="00A70916" w:rsidRDefault="007E1745" w:rsidP="00BC4C18">
      <w:pPr>
        <w:pStyle w:val="text-base"/>
        <w:spacing w:after="0" w:afterAutospacing="0"/>
        <w:jc w:val="both"/>
        <w:rPr>
          <w:color w:val="000000" w:themeColor="text1"/>
          <w:lang w:val="en-US"/>
        </w:rPr>
      </w:pPr>
      <w:r w:rsidRPr="00F34B55">
        <w:rPr>
          <w:lang w:val="en-US"/>
        </w:rPr>
        <w:lastRenderedPageBreak/>
        <w:t>Typical daily volumes for the real</w:t>
      </w:r>
      <w:r w:rsidR="002B74AA">
        <w:rPr>
          <w:lang w:val="en-US"/>
        </w:rPr>
        <w:t>-demand data ranged from 5</w:t>
      </w:r>
      <w:r w:rsidRPr="00F34B55">
        <w:rPr>
          <w:lang w:val="en-US"/>
        </w:rPr>
        <w:t xml:space="preserve"> to 120 units per SKU-equivalent series. For the network-aggregated SKU-equivalent daily demand series used as simulator inputs, the coefficient of variation (CV) equals 0.42 (range: 0.18-0.87). Appendix C.4 reports CV summaries computed on disaggregated SKU-facility demand series for the deployment-threshold diagnostic; those values are higher because aggregation attenuates intermittency and scale heterogeneity. The demand increased by 15-30% during the winter months, from May to August, when respiratory diseases typically peak. Also, some events created a demand surge of 200-300% above base demand. The product's lead times ranged from three to 15 days, with an average of 7.2 days. </w:t>
      </w:r>
      <w:r w:rsidRPr="00E91D70">
        <w:rPr>
          <w:lang w:val="en-US"/>
        </w:rPr>
        <w:t>It aligned with the typical SUS procurement cycle.</w:t>
      </w:r>
    </w:p>
    <w:p w14:paraId="401E448C" w14:textId="77777777" w:rsidR="00EB4A76" w:rsidRDefault="007E1745" w:rsidP="00BC4C18">
      <w:pPr>
        <w:pStyle w:val="text-base"/>
        <w:spacing w:after="0" w:afterAutospacing="0"/>
        <w:jc w:val="both"/>
        <w:rPr>
          <w:color w:val="000000" w:themeColor="text1"/>
          <w:lang w:val="en-US"/>
        </w:rPr>
      </w:pPr>
      <w:r w:rsidRPr="00A70916">
        <w:rPr>
          <w:color w:val="000000" w:themeColor="text1"/>
          <w:lang w:val="en-US"/>
        </w:rPr>
        <w:t xml:space="preserve">The </w:t>
      </w:r>
      <w:r w:rsidR="00136957">
        <w:rPr>
          <w:color w:val="000000" w:themeColor="text1"/>
          <w:lang w:val="en-US"/>
        </w:rPr>
        <w:t>stress-testing framework</w:t>
      </w:r>
      <w:r w:rsidRPr="00A70916">
        <w:rPr>
          <w:color w:val="000000" w:themeColor="text1"/>
          <w:lang w:val="en-US"/>
        </w:rPr>
        <w:t xml:space="preserve"> co</w:t>
      </w:r>
      <w:r w:rsidR="0078707B" w:rsidRPr="00A70916">
        <w:rPr>
          <w:color w:val="000000" w:themeColor="text1"/>
          <w:lang w:val="en-US"/>
        </w:rPr>
        <w:t>mprise</w:t>
      </w:r>
      <w:r w:rsidR="008B7DA8">
        <w:rPr>
          <w:color w:val="000000" w:themeColor="text1"/>
          <w:lang w:val="en-US"/>
        </w:rPr>
        <w:t>d</w:t>
      </w:r>
      <w:r w:rsidR="0078707B" w:rsidRPr="00A70916">
        <w:rPr>
          <w:color w:val="000000" w:themeColor="text1"/>
          <w:lang w:val="en-US"/>
        </w:rPr>
        <w:t xml:space="preserve"> three distinc</w:t>
      </w:r>
      <w:r w:rsidRPr="00A70916">
        <w:rPr>
          <w:color w:val="000000" w:themeColor="text1"/>
          <w:lang w:val="en-US"/>
        </w:rPr>
        <w:t xml:space="preserve">t scenarios. They </w:t>
      </w:r>
      <w:r w:rsidR="008B7DA8">
        <w:rPr>
          <w:color w:val="000000" w:themeColor="text1"/>
          <w:lang w:val="en-US"/>
        </w:rPr>
        <w:t>were</w:t>
      </w:r>
      <w:r w:rsidR="0078707B" w:rsidRPr="00A70916">
        <w:rPr>
          <w:color w:val="000000" w:themeColor="text1"/>
          <w:lang w:val="en-US"/>
        </w:rPr>
        <w:t xml:space="preserve"> based on an analysis of three </w:t>
      </w:r>
      <w:r w:rsidR="006F48C9">
        <w:rPr>
          <w:color w:val="000000" w:themeColor="text1"/>
          <w:lang w:val="en-US"/>
        </w:rPr>
        <w:t>historical occurrences of SUS disruption</w:t>
      </w:r>
      <w:r w:rsidR="0078707B" w:rsidRPr="00A70916">
        <w:rPr>
          <w:color w:val="000000" w:themeColor="text1"/>
          <w:lang w:val="en-US"/>
        </w:rPr>
        <w:t>: the H1N1 pandemic (2009), the Zika outbreak (2016),</w:t>
      </w:r>
      <w:r w:rsidRPr="00A70916">
        <w:rPr>
          <w:color w:val="000000" w:themeColor="text1"/>
          <w:lang w:val="en-US"/>
        </w:rPr>
        <w:t xml:space="preserve"> and COVID-19 (2020-2021). The </w:t>
      </w:r>
      <w:r w:rsidR="0078707B" w:rsidRPr="00A70916">
        <w:rPr>
          <w:color w:val="000000" w:themeColor="text1"/>
          <w:lang w:val="en-US"/>
        </w:rPr>
        <w:t>high</w:t>
      </w:r>
      <w:r w:rsidR="006F48C9">
        <w:rPr>
          <w:color w:val="000000" w:themeColor="text1"/>
          <w:lang w:val="en-US"/>
        </w:rPr>
        <w:t xml:space="preserve">-volatility situation </w:t>
      </w:r>
      <w:r w:rsidR="008B7DA8">
        <w:rPr>
          <w:color w:val="000000" w:themeColor="text1"/>
          <w:lang w:val="en-US"/>
        </w:rPr>
        <w:t>was</w:t>
      </w:r>
      <w:r w:rsidR="006F48C9">
        <w:rPr>
          <w:color w:val="000000" w:themeColor="text1"/>
          <w:lang w:val="en-US"/>
        </w:rPr>
        <w:t xml:space="preserve"> </w:t>
      </w:r>
      <w:r w:rsidR="00A154AE">
        <w:rPr>
          <w:color w:val="000000" w:themeColor="text1"/>
          <w:lang w:val="en-US"/>
        </w:rPr>
        <w:t>characterized by an expected 50</w:t>
      </w:r>
      <w:r w:rsidR="004976E9">
        <w:rPr>
          <w:color w:val="000000" w:themeColor="text1"/>
          <w:lang w:val="en-US"/>
        </w:rPr>
        <w:t xml:space="preserve">% increase in </w:t>
      </w:r>
      <w:r w:rsidR="00136957">
        <w:rPr>
          <w:color w:val="000000" w:themeColor="text1"/>
          <w:lang w:val="en-US"/>
        </w:rPr>
        <w:t>demand variability</w:t>
      </w:r>
      <w:r w:rsidRPr="00A70916">
        <w:rPr>
          <w:color w:val="000000" w:themeColor="text1"/>
          <w:lang w:val="en-US"/>
        </w:rPr>
        <w:t>. According to the model</w:t>
      </w:r>
      <w:r w:rsidR="0078707B" w:rsidRPr="00A70916">
        <w:rPr>
          <w:color w:val="000000" w:themeColor="text1"/>
          <w:lang w:val="en-US"/>
        </w:rPr>
        <w:t xml:space="preserve">, this high-volatility scenario </w:t>
      </w:r>
      <w:r w:rsidR="006F48C9">
        <w:rPr>
          <w:color w:val="000000" w:themeColor="text1"/>
          <w:lang w:val="en-US"/>
        </w:rPr>
        <w:t>closely mimic</w:t>
      </w:r>
      <w:r w:rsidR="00B45941">
        <w:rPr>
          <w:color w:val="000000" w:themeColor="text1"/>
          <w:lang w:val="en-US"/>
        </w:rPr>
        <w:t>k</w:t>
      </w:r>
      <w:r w:rsidR="008B7DA8">
        <w:rPr>
          <w:color w:val="000000" w:themeColor="text1"/>
          <w:lang w:val="en-US"/>
        </w:rPr>
        <w:t>ed</w:t>
      </w:r>
      <w:r w:rsidR="006F48C9">
        <w:rPr>
          <w:color w:val="000000" w:themeColor="text1"/>
          <w:lang w:val="en-US"/>
        </w:rPr>
        <w:t xml:space="preserve"> the demand observed in real-life</w:t>
      </w:r>
      <w:r w:rsidR="0078707B" w:rsidRPr="00A70916">
        <w:rPr>
          <w:color w:val="000000" w:themeColor="text1"/>
          <w:lang w:val="en-US"/>
        </w:rPr>
        <w:t xml:space="preserve"> crises, such as</w:t>
      </w:r>
      <w:r w:rsidRPr="00A70916">
        <w:rPr>
          <w:color w:val="000000" w:themeColor="text1"/>
          <w:lang w:val="en-US"/>
        </w:rPr>
        <w:t xml:space="preserve"> the Zika epidemic.</w:t>
      </w:r>
      <w:r w:rsidR="00EB4A76" w:rsidRPr="00A70916">
        <w:rPr>
          <w:color w:val="000000" w:themeColor="text1"/>
          <w:lang w:val="en-US"/>
        </w:rPr>
        <w:t xml:space="preserve"> The </w:t>
      </w:r>
      <w:r w:rsidR="009B3C2B" w:rsidRPr="009B3C2B">
        <w:rPr>
          <w:i/>
          <w:iCs/>
          <w:color w:val="000000" w:themeColor="text1"/>
          <w:lang w:val="en-US"/>
        </w:rPr>
        <w:t>Supply Disruption</w:t>
      </w:r>
      <w:r w:rsidR="009B3C2B" w:rsidRPr="00A70916">
        <w:rPr>
          <w:color w:val="000000" w:themeColor="text1"/>
          <w:lang w:val="en-US"/>
        </w:rPr>
        <w:t xml:space="preserve"> </w:t>
      </w:r>
      <w:r w:rsidR="00EB4A76" w:rsidRPr="00A70916">
        <w:rPr>
          <w:color w:val="000000" w:themeColor="text1"/>
          <w:lang w:val="en-US"/>
        </w:rPr>
        <w:t xml:space="preserve">scenario, featuring random interruptions affecting 20% of orders accompanied by extended lead times, mirrors COVID-19 procurement challenges. </w:t>
      </w:r>
      <w:r w:rsidR="009B3C2B" w:rsidRPr="009B3C2B">
        <w:rPr>
          <w:i/>
          <w:iCs/>
          <w:color w:val="000000" w:themeColor="text1"/>
          <w:lang w:val="en-US"/>
        </w:rPr>
        <w:t>Seasonal Surge</w:t>
      </w:r>
      <w:r w:rsidR="009B3C2B" w:rsidRPr="00A70916">
        <w:rPr>
          <w:color w:val="000000" w:themeColor="text1"/>
          <w:lang w:val="en-US"/>
        </w:rPr>
        <w:t xml:space="preserve"> </w:t>
      </w:r>
      <w:r w:rsidR="008B7DA8">
        <w:rPr>
          <w:color w:val="000000" w:themeColor="text1"/>
          <w:lang w:val="en-US"/>
        </w:rPr>
        <w:t>was</w:t>
      </w:r>
      <w:r w:rsidR="00EB4A76" w:rsidRPr="00A70916">
        <w:rPr>
          <w:color w:val="000000" w:themeColor="text1"/>
          <w:lang w:val="en-US"/>
        </w:rPr>
        <w:t xml:space="preserve"> a scenario characterized by periodic demand spike</w:t>
      </w:r>
      <w:r w:rsidR="00136957">
        <w:rPr>
          <w:color w:val="000000" w:themeColor="text1"/>
          <w:lang w:val="en-US"/>
        </w:rPr>
        <w:t>s averaging 180</w:t>
      </w:r>
      <w:r w:rsidR="00D508F7">
        <w:rPr>
          <w:color w:val="000000" w:themeColor="text1"/>
          <w:lang w:val="en-US"/>
        </w:rPr>
        <w:t>-</w:t>
      </w:r>
      <w:r w:rsidR="00136957">
        <w:rPr>
          <w:color w:val="000000" w:themeColor="text1"/>
          <w:lang w:val="en-US"/>
        </w:rPr>
        <w:t>220% of the baseline, mimicking</w:t>
      </w:r>
      <w:r w:rsidR="00EB4A76" w:rsidRPr="00A70916">
        <w:rPr>
          <w:color w:val="000000" w:themeColor="text1"/>
          <w:lang w:val="en-US"/>
        </w:rPr>
        <w:t xml:space="preserve"> seasonal health issues or vaccination campaigns.</w:t>
      </w:r>
    </w:p>
    <w:p w14:paraId="64388912" w14:textId="77777777" w:rsidR="00CC621A" w:rsidRPr="00A70916" w:rsidRDefault="00136957" w:rsidP="007E1745">
      <w:pPr>
        <w:pStyle w:val="text-base"/>
        <w:jc w:val="both"/>
        <w:rPr>
          <w:color w:val="000000" w:themeColor="text1"/>
          <w:lang w:val="en-US"/>
        </w:rPr>
      </w:pPr>
      <w:r w:rsidRPr="00653ACC">
        <w:rPr>
          <w:lang w:val="en-US"/>
        </w:rPr>
        <w:t xml:space="preserve">None of the three stress scenarios corresponds to a low-frequency pandemic wave or to the organizational disruptions documented in H1N1, Zika, or COVID-19 studies. We treat long-horizon evaluation as sensitivity evidence rather than as a confirmatory </w:t>
      </w:r>
      <w:r w:rsidR="00D508F7">
        <w:rPr>
          <w:lang w:val="en-US"/>
        </w:rPr>
        <w:t>requirement</w:t>
      </w:r>
      <w:r w:rsidRPr="00653ACC">
        <w:rPr>
          <w:lang w:val="en-US"/>
        </w:rPr>
        <w:t>. This version evaluates 90- and 180-day horizons in the main grid and adds a targeted 365-day sensitivity check (Appendix E.9) without expanding the factorial design.</w:t>
      </w:r>
    </w:p>
    <w:p w14:paraId="67EF6C0D" w14:textId="77777777" w:rsidR="00AF072F" w:rsidRPr="00A70916" w:rsidRDefault="002875A0" w:rsidP="00B40008">
      <w:pPr>
        <w:pStyle w:val="Ttulo2"/>
      </w:pPr>
      <w:r>
        <w:t xml:space="preserve">3.6 </w:t>
      </w:r>
      <w:r w:rsidR="00AF072F" w:rsidRPr="00A70916">
        <w:t>Data Integration Protocol and Validation Framework</w:t>
      </w:r>
    </w:p>
    <w:p w14:paraId="671119DE" w14:textId="77777777" w:rsidR="00920375" w:rsidRPr="00184581" w:rsidRDefault="00920375" w:rsidP="00BC4C18">
      <w:pPr>
        <w:pStyle w:val="text-base"/>
        <w:spacing w:after="0" w:afterAutospacing="0"/>
        <w:jc w:val="both"/>
        <w:rPr>
          <w:color w:val="000000" w:themeColor="text1"/>
          <w:lang w:val="en-US"/>
        </w:rPr>
      </w:pPr>
      <w:r w:rsidRPr="00F34B55">
        <w:rPr>
          <w:lang w:val="en-US"/>
        </w:rPr>
        <w:t>A hybrid approach to data collection for empirical/synthetic parameters enabled controlled experimental comparison while maintaining operational fidelity (Jordon et al., 2022). For demand-side data, researchers collected 1,000 movements per 50 SKUs, obtained through SESAB and HUPES, from January 2022 to December 2023. These two integrated institutions were medium-sized SUS institutions (with an average of 300 to 800 daily movements) serving an urban population of 1.2 to 2.8 million citizens. Section 3.5 summarizes descriptive statistics for the aggregated SKU-equivalent simulator inputs. Appendix C.4 reports volatility diagnostics at the disaggregated SKU-facility level, used only to assess the plausibility of the deployment threshold. Replenishment lead times, derived from historical procurement records across the observation period, ranged from three to 15 days (mean of 7.2 days). It was representative of the operational constraints imposed by Brazilian Law 8.666/93, which mandates competitive bidding processes for government purchases. Extended procurement cycles thus represent institutional requirements rather than logistical inefficiencies. These lead-time characteristics aligned with documented SUS procurement protocols and provided operational realism for stress testing under realistic implementation scenarios.</w:t>
      </w:r>
    </w:p>
    <w:p w14:paraId="161A501D" w14:textId="77777777" w:rsidR="00920375" w:rsidRDefault="00920375" w:rsidP="00BC4C18">
      <w:pPr>
        <w:pStyle w:val="text-base"/>
        <w:spacing w:after="0" w:afterAutospacing="0"/>
        <w:jc w:val="both"/>
        <w:rPr>
          <w:color w:val="000000" w:themeColor="text1"/>
          <w:lang w:val="en-US"/>
        </w:rPr>
      </w:pPr>
      <w:r w:rsidRPr="00A70916">
        <w:rPr>
          <w:color w:val="000000" w:themeColor="text1"/>
          <w:lang w:val="en-US"/>
        </w:rPr>
        <w:t xml:space="preserve">For supply parameters, a systematic literature review and expert validation procedures were undertaken. </w:t>
      </w:r>
      <w:r w:rsidR="00C67815" w:rsidRPr="00C67815">
        <w:rPr>
          <w:color w:val="000000" w:themeColor="text1"/>
          <w:lang w:val="en-US"/>
        </w:rPr>
        <w:t xml:space="preserve">For unit costs, lognormal distributions </w:t>
      </w:r>
      <w:r w:rsidR="002B7934">
        <w:rPr>
          <w:color w:val="000000" w:themeColor="text1"/>
          <w:lang w:val="en-US"/>
        </w:rPr>
        <w:t>were</w:t>
      </w:r>
      <w:r w:rsidR="00C67815" w:rsidRPr="00C67815">
        <w:rPr>
          <w:color w:val="000000" w:themeColor="text1"/>
          <w:lang w:val="en-US"/>
        </w:rPr>
        <w:t xml:space="preserve"> assumed </w:t>
      </w:r>
      <w:r w:rsidRPr="00A70916">
        <w:rPr>
          <w:color w:val="000000" w:themeColor="text1"/>
          <w:lang w:val="en-US"/>
        </w:rPr>
        <w:t>(</w:t>
      </w:r>
      <w:r w:rsidRPr="00A70916">
        <w:rPr>
          <w:color w:val="000000" w:themeColor="text1"/>
        </w:rPr>
        <w:t>μ</w:t>
      </w:r>
      <w:r w:rsidRPr="00A70916">
        <w:rPr>
          <w:color w:val="000000" w:themeColor="text1"/>
          <w:lang w:val="en-US"/>
        </w:rPr>
        <w:t xml:space="preserve"> = 3.3; </w:t>
      </w:r>
      <w:r w:rsidRPr="00A70916">
        <w:rPr>
          <w:color w:val="000000" w:themeColor="text1"/>
        </w:rPr>
        <w:t>σ</w:t>
      </w:r>
      <w:r w:rsidRPr="00A70916">
        <w:rPr>
          <w:color w:val="000000" w:themeColor="text1"/>
          <w:lang w:val="en-US"/>
        </w:rPr>
        <w:t xml:space="preserve"> = 0.7) </w:t>
      </w:r>
      <w:r w:rsidR="00136957">
        <w:rPr>
          <w:color w:val="000000" w:themeColor="text1"/>
          <w:lang w:val="en-US"/>
        </w:rPr>
        <w:t>based on</w:t>
      </w:r>
      <w:r w:rsidRPr="00A70916">
        <w:rPr>
          <w:color w:val="000000" w:themeColor="text1"/>
          <w:lang w:val="en-US"/>
        </w:rPr>
        <w:t xml:space="preserve"> SUS acquisition figures from the Brazilian Ministry of Health</w:t>
      </w:r>
      <w:r w:rsidR="009E521B" w:rsidRPr="00A70916">
        <w:rPr>
          <w:color w:val="000000" w:themeColor="text1"/>
          <w:lang w:val="en-US"/>
        </w:rPr>
        <w:t>, collated throughout the study's three-year investigation (mean values for 2020-</w:t>
      </w:r>
      <w:r w:rsidRPr="00A70916">
        <w:rPr>
          <w:color w:val="000000" w:themeColor="text1"/>
          <w:lang w:val="en-US"/>
        </w:rPr>
        <w:t xml:space="preserve">2023). Supply distances </w:t>
      </w:r>
      <w:r w:rsidR="002B7934">
        <w:rPr>
          <w:color w:val="000000" w:themeColor="text1"/>
          <w:lang w:val="en-US"/>
        </w:rPr>
        <w:t>were</w:t>
      </w:r>
      <w:r w:rsidRPr="00A70916">
        <w:rPr>
          <w:color w:val="000000" w:themeColor="text1"/>
          <w:lang w:val="en-US"/>
        </w:rPr>
        <w:t xml:space="preserve"> assumed </w:t>
      </w:r>
      <w:r w:rsidR="00EC5848" w:rsidRPr="00A70916">
        <w:rPr>
          <w:color w:val="000000" w:themeColor="text1"/>
          <w:lang w:val="en-US"/>
        </w:rPr>
        <w:t>to be Euclidean means based on the actual latitude/longitude from the integrated institutions (according to Google Maps) and the per-km transportation cost (0.85 BRL/km), which assume</w:t>
      </w:r>
      <w:r w:rsidR="002B7934">
        <w:rPr>
          <w:color w:val="000000" w:themeColor="text1"/>
          <w:lang w:val="en-US"/>
        </w:rPr>
        <w:t>d</w:t>
      </w:r>
      <w:r w:rsidR="00EC5848" w:rsidRPr="00A70916">
        <w:rPr>
          <w:color w:val="000000" w:themeColor="text1"/>
          <w:lang w:val="en-US"/>
        </w:rPr>
        <w:t xml:space="preserve"> the logistics acquisition value for the SUS-acquired service</w:t>
      </w:r>
      <w:r w:rsidRPr="00A70916">
        <w:rPr>
          <w:color w:val="000000" w:themeColor="text1"/>
          <w:lang w:val="en-US"/>
        </w:rPr>
        <w:t>. Finally, economic parameters (holding cost</w:t>
      </w:r>
      <w:r w:rsidR="00A800F6" w:rsidRPr="00A70916">
        <w:rPr>
          <w:color w:val="000000" w:themeColor="text1"/>
          <w:lang w:val="en-US"/>
        </w:rPr>
        <w:t xml:space="preserve"> </w:t>
      </w:r>
      <w:r w:rsidRPr="00A70916">
        <w:rPr>
          <w:color w:val="000000" w:themeColor="text1"/>
          <w:lang w:val="en-US"/>
        </w:rPr>
        <w:t>per unit</w:t>
      </w:r>
      <w:r w:rsidR="00124A4B" w:rsidRPr="00A70916">
        <w:rPr>
          <w:color w:val="000000" w:themeColor="text1"/>
          <w:lang w:val="en-US"/>
        </w:rPr>
        <w:t xml:space="preserve"> per period: 0.003; ordering cost: </w:t>
      </w:r>
      <w:r w:rsidR="00B129BB" w:rsidRPr="00A70916">
        <w:rPr>
          <w:color w:val="000000" w:themeColor="text1"/>
          <w:lang w:val="en-US"/>
        </w:rPr>
        <w:t>BR</w:t>
      </w:r>
      <w:r w:rsidR="00922CEF">
        <w:rPr>
          <w:color w:val="000000" w:themeColor="text1"/>
          <w:lang w:val="en-US"/>
        </w:rPr>
        <w:t>L</w:t>
      </w:r>
      <w:r w:rsidR="00124A4B" w:rsidRPr="00A70916">
        <w:rPr>
          <w:color w:val="000000" w:themeColor="text1"/>
          <w:lang w:val="en-US"/>
        </w:rPr>
        <w:t xml:space="preserve">1.50 per order; stockout cost: </w:t>
      </w:r>
      <w:r w:rsidR="00B129BB" w:rsidRPr="00A70916">
        <w:rPr>
          <w:color w:val="000000" w:themeColor="text1"/>
          <w:lang w:val="en-US"/>
        </w:rPr>
        <w:t>BR</w:t>
      </w:r>
      <w:r w:rsidR="00922CEF">
        <w:rPr>
          <w:color w:val="000000" w:themeColor="text1"/>
          <w:lang w:val="en-US"/>
        </w:rPr>
        <w:t>L</w:t>
      </w:r>
      <w:r w:rsidR="00124A4B" w:rsidRPr="00A70916">
        <w:rPr>
          <w:color w:val="000000" w:themeColor="text1"/>
          <w:lang w:val="en-US"/>
        </w:rPr>
        <w:t xml:space="preserve">25.00) </w:t>
      </w:r>
      <w:r w:rsidR="002B7934">
        <w:rPr>
          <w:color w:val="000000" w:themeColor="text1"/>
          <w:lang w:val="en-US"/>
        </w:rPr>
        <w:t>were</w:t>
      </w:r>
      <w:r w:rsidR="00124A4B" w:rsidRPr="00A70916">
        <w:rPr>
          <w:color w:val="000000" w:themeColor="text1"/>
          <w:lang w:val="en-US"/>
        </w:rPr>
        <w:t xml:space="preserve"> consensus values based on one round of </w:t>
      </w:r>
      <w:r w:rsidR="00124A4B" w:rsidRPr="00A70916">
        <w:rPr>
          <w:color w:val="000000" w:themeColor="text1"/>
          <w:lang w:val="en-US"/>
        </w:rPr>
        <w:lastRenderedPageBreak/>
        <w:t>interviews with two logistics managers (</w:t>
      </w:r>
      <w:r w:rsidR="009A628D">
        <w:rPr>
          <w:color w:val="000000" w:themeColor="text1"/>
          <w:lang w:val="en-US"/>
        </w:rPr>
        <w:t xml:space="preserve">one </w:t>
      </w:r>
      <w:r w:rsidR="00124A4B" w:rsidRPr="00A70916">
        <w:rPr>
          <w:color w:val="000000" w:themeColor="text1"/>
          <w:lang w:val="en-US"/>
        </w:rPr>
        <w:t xml:space="preserve">with </w:t>
      </w:r>
      <w:r w:rsidR="009A628D">
        <w:rPr>
          <w:color w:val="000000" w:themeColor="text1"/>
          <w:lang w:val="en-US"/>
        </w:rPr>
        <w:t xml:space="preserve">more than </w:t>
      </w:r>
      <w:r w:rsidR="00124A4B" w:rsidRPr="00A70916">
        <w:rPr>
          <w:color w:val="000000" w:themeColor="text1"/>
          <w:lang w:val="en-US"/>
        </w:rPr>
        <w:t>15</w:t>
      </w:r>
      <w:r w:rsidR="009A628D">
        <w:rPr>
          <w:color w:val="000000" w:themeColor="text1"/>
          <w:lang w:val="en-US"/>
        </w:rPr>
        <w:t xml:space="preserve"> years </w:t>
      </w:r>
      <w:r w:rsidR="009A628D" w:rsidRPr="00A70916">
        <w:rPr>
          <w:color w:val="000000" w:themeColor="text1"/>
          <w:lang w:val="en-US"/>
        </w:rPr>
        <w:t xml:space="preserve">of experience </w:t>
      </w:r>
      <w:r w:rsidR="009A628D">
        <w:rPr>
          <w:color w:val="000000" w:themeColor="text1"/>
          <w:lang w:val="en-US"/>
        </w:rPr>
        <w:t xml:space="preserve">and the other with </w:t>
      </w:r>
      <w:r w:rsidR="00124A4B" w:rsidRPr="00A70916">
        <w:rPr>
          <w:color w:val="000000" w:themeColor="text1"/>
          <w:lang w:val="en-US"/>
        </w:rPr>
        <w:t>22 years in SUS systems) from the</w:t>
      </w:r>
      <w:r w:rsidRPr="00A70916">
        <w:rPr>
          <w:color w:val="000000" w:themeColor="text1"/>
          <w:lang w:val="en-US"/>
        </w:rPr>
        <w:t xml:space="preserve"> two institutions</w:t>
      </w:r>
      <w:r w:rsidR="009A628D">
        <w:rPr>
          <w:color w:val="000000" w:themeColor="text1"/>
          <w:lang w:val="en-US"/>
        </w:rPr>
        <w:t>,</w:t>
      </w:r>
      <w:r w:rsidR="009A628D" w:rsidRPr="009A628D">
        <w:rPr>
          <w:color w:val="000000" w:themeColor="text1"/>
          <w:lang w:val="en-US"/>
        </w:rPr>
        <w:t xml:space="preserve"> </w:t>
      </w:r>
      <w:r w:rsidR="009A628D" w:rsidRPr="00A70916">
        <w:rPr>
          <w:color w:val="000000" w:themeColor="text1"/>
          <w:lang w:val="en-US"/>
        </w:rPr>
        <w:t>respectively</w:t>
      </w:r>
      <w:r w:rsidRPr="00A70916">
        <w:rPr>
          <w:color w:val="000000" w:themeColor="text1"/>
          <w:lang w:val="en-US"/>
        </w:rPr>
        <w:t>.</w:t>
      </w:r>
    </w:p>
    <w:p w14:paraId="0A8022AF" w14:textId="77777777" w:rsidR="00184581" w:rsidRDefault="004C1558" w:rsidP="00BC4C18">
      <w:pPr>
        <w:pStyle w:val="text-base"/>
        <w:spacing w:after="0" w:afterAutospacing="0"/>
        <w:jc w:val="both"/>
        <w:rPr>
          <w:color w:val="000000" w:themeColor="text1"/>
          <w:lang w:val="en-US"/>
        </w:rPr>
      </w:pPr>
      <w:r>
        <w:rPr>
          <w:color w:val="000000" w:themeColor="text1"/>
          <w:lang w:val="en-US"/>
        </w:rPr>
        <w:t>To stress-</w:t>
      </w:r>
      <w:r w:rsidR="00184581" w:rsidRPr="00184581">
        <w:rPr>
          <w:color w:val="000000" w:themeColor="text1"/>
          <w:lang w:val="en-US"/>
        </w:rPr>
        <w:t>test and validate GA routing, we synthetically modeled a third facility (Section 3.3). The synthetic facility acts as a regional distribution centre serving the two empirical facilities</w:t>
      </w:r>
      <w:r w:rsidR="00D508F7">
        <w:rPr>
          <w:color w:val="000000" w:themeColor="text1"/>
          <w:lang w:val="en-US"/>
        </w:rPr>
        <w:t xml:space="preserve"> and provides</w:t>
      </w:r>
      <w:r w:rsidR="00184581" w:rsidRPr="00184581">
        <w:rPr>
          <w:color w:val="000000" w:themeColor="text1"/>
          <w:lang w:val="en-US"/>
        </w:rPr>
        <w:t xml:space="preserve"> a platform </w:t>
      </w:r>
      <w:r w:rsidR="00136957">
        <w:rPr>
          <w:color w:val="000000" w:themeColor="text1"/>
          <w:lang w:val="en-US"/>
        </w:rPr>
        <w:t>for testing multi-echelon routing decisions using</w:t>
      </w:r>
      <w:r w:rsidR="00184581" w:rsidRPr="00184581">
        <w:rPr>
          <w:color w:val="000000" w:themeColor="text1"/>
          <w:lang w:val="en-US"/>
        </w:rPr>
        <w:t xml:space="preserve"> the GA routing component. In this way, the reported results combine performance across </w:t>
      </w:r>
      <w:r>
        <w:rPr>
          <w:color w:val="000000" w:themeColor="text1"/>
          <w:lang w:val="en-US"/>
        </w:rPr>
        <w:t>both empirical and synthetic facilities</w:t>
      </w:r>
      <w:r w:rsidR="00184581" w:rsidRPr="00184581">
        <w:rPr>
          <w:color w:val="000000" w:themeColor="text1"/>
          <w:lang w:val="en-US"/>
        </w:rPr>
        <w:t xml:space="preserve">, </w:t>
      </w:r>
      <w:r w:rsidR="00136957">
        <w:rPr>
          <w:color w:val="000000" w:themeColor="text1"/>
          <w:lang w:val="en-US"/>
        </w:rPr>
        <w:t>offering computational efficiency while remain</w:t>
      </w:r>
      <w:r w:rsidR="00184581" w:rsidRPr="00184581">
        <w:rPr>
          <w:color w:val="000000" w:themeColor="text1"/>
          <w:lang w:val="en-US"/>
        </w:rPr>
        <w:t>ing operationally realistic.</w:t>
      </w:r>
    </w:p>
    <w:p w14:paraId="70BF4540" w14:textId="77777777" w:rsidR="00D846C7" w:rsidRPr="00A70916" w:rsidRDefault="00012239" w:rsidP="00C652BC">
      <w:pPr>
        <w:pStyle w:val="text-base"/>
        <w:spacing w:after="240" w:afterAutospacing="0"/>
        <w:jc w:val="both"/>
        <w:rPr>
          <w:color w:val="000000" w:themeColor="text1"/>
          <w:lang w:val="en-US"/>
        </w:rPr>
      </w:pPr>
      <w:r w:rsidRPr="00FD0529">
        <w:rPr>
          <w:lang w:val="en-US"/>
        </w:rPr>
        <w:t>Synthetic supply parameters support controlled comparisons but can distort absolute cost levels. We therefore interpret results as relative rankings under fixed accounting assumptions</w:t>
      </w:r>
      <w:r w:rsidR="00136957">
        <w:rPr>
          <w:lang w:val="en-US"/>
        </w:rPr>
        <w:t xml:space="preserve"> and treat transfers to new facilities as requiring local calibration of demand, lead </w:t>
      </w:r>
      <w:r w:rsidRPr="00FD0529">
        <w:rPr>
          <w:lang w:val="en-US"/>
        </w:rPr>
        <w:t>time, and cost parameters. Appendix B documents the elicitation protocol and sensitivity checks.</w:t>
      </w:r>
    </w:p>
    <w:p w14:paraId="74D0927F" w14:textId="77777777" w:rsidR="0047501B" w:rsidRDefault="00000000" w:rsidP="00B40008">
      <w:pPr>
        <w:pStyle w:val="Ttulo2"/>
      </w:pPr>
      <w:r>
        <w:t>3.7 Code Validation Protocol versus Simulation A Implementation</w:t>
      </w:r>
    </w:p>
    <w:p w14:paraId="009101DC" w14:textId="77777777" w:rsidR="0047501B" w:rsidRPr="003C0212" w:rsidRDefault="00000000" w:rsidP="00BC4C18">
      <w:pPr>
        <w:pStyle w:val="text-base"/>
        <w:spacing w:after="0" w:afterAutospacing="0"/>
        <w:jc w:val="both"/>
        <w:rPr>
          <w:color w:val="000000" w:themeColor="text1"/>
          <w:lang w:val="en-US"/>
        </w:rPr>
      </w:pPr>
      <w:r w:rsidRPr="003C0212">
        <w:rPr>
          <w:color w:val="000000" w:themeColor="text1"/>
          <w:lang w:val="en-US"/>
        </w:rPr>
        <w:t xml:space="preserve">This manuscript reports results from two complementary implementations. </w:t>
      </w:r>
      <w:r w:rsidRPr="001B5B5C">
        <w:rPr>
          <w:i/>
          <w:iCs/>
          <w:color w:val="000000" w:themeColor="text1"/>
          <w:lang w:val="en-US"/>
        </w:rPr>
        <w:t>Simulation A</w:t>
      </w:r>
      <w:r w:rsidRPr="003C0212">
        <w:rPr>
          <w:color w:val="000000" w:themeColor="text1"/>
          <w:lang w:val="en-US"/>
        </w:rPr>
        <w:t xml:space="preserve"> calibrates the discrete-event simulation to the SUS procurement context using SESAB and HUPES operational demand records (2022–2023) and expert-validated supply parameters. </w:t>
      </w:r>
      <w:r w:rsidRPr="001B5B5C">
        <w:rPr>
          <w:i/>
          <w:iCs/>
          <w:color w:val="000000" w:themeColor="text1"/>
          <w:lang w:val="en-US"/>
        </w:rPr>
        <w:t>Code/TEST</w:t>
      </w:r>
      <w:r w:rsidRPr="003C0212">
        <w:rPr>
          <w:color w:val="000000" w:themeColor="text1"/>
          <w:lang w:val="en-US"/>
        </w:rPr>
        <w:t xml:space="preserve"> provide</w:t>
      </w:r>
      <w:r w:rsidR="00136957">
        <w:rPr>
          <w:color w:val="000000" w:themeColor="text1"/>
          <w:lang w:val="en-US"/>
        </w:rPr>
        <w:t>s</w:t>
      </w:r>
      <w:r w:rsidRPr="003C0212">
        <w:rPr>
          <w:color w:val="000000" w:themeColor="text1"/>
          <w:lang w:val="en-US"/>
        </w:rPr>
        <w:t xml:space="preserve"> a reproducible validation protocol for the statistical pipeline, including bootstrap confidence intervals, multiple-comparison control, and standardized effect sizes. </w:t>
      </w:r>
      <w:r w:rsidRPr="001B5B5C">
        <w:rPr>
          <w:i/>
          <w:iCs/>
          <w:color w:val="000000" w:themeColor="text1"/>
          <w:lang w:val="en-US"/>
        </w:rPr>
        <w:t>Code/TEST</w:t>
      </w:r>
      <w:r w:rsidRPr="003C0212">
        <w:rPr>
          <w:color w:val="000000" w:themeColor="text1"/>
          <w:lang w:val="en-US"/>
        </w:rPr>
        <w:t xml:space="preserve"> run</w:t>
      </w:r>
      <w:r w:rsidR="00136957">
        <w:rPr>
          <w:color w:val="000000" w:themeColor="text1"/>
          <w:lang w:val="en-US"/>
        </w:rPr>
        <w:t>s</w:t>
      </w:r>
      <w:r w:rsidRPr="003C0212">
        <w:rPr>
          <w:color w:val="000000" w:themeColor="text1"/>
          <w:lang w:val="en-US"/>
        </w:rPr>
        <w:t xml:space="preserve"> on scenario-level cost arrays exported from the simulation and support</w:t>
      </w:r>
      <w:r w:rsidR="00136957">
        <w:rPr>
          <w:color w:val="000000" w:themeColor="text1"/>
          <w:lang w:val="en-US"/>
        </w:rPr>
        <w:t>s</w:t>
      </w:r>
      <w:r w:rsidRPr="003C0212">
        <w:rPr>
          <w:color w:val="000000" w:themeColor="text1"/>
          <w:lang w:val="en-US"/>
        </w:rPr>
        <w:t xml:space="preserve"> independent replication of all reported inferential statistics.</w:t>
      </w:r>
    </w:p>
    <w:p w14:paraId="560101CE" w14:textId="77777777" w:rsidR="0047501B" w:rsidRPr="003C0212" w:rsidRDefault="00000000" w:rsidP="003C0212">
      <w:pPr>
        <w:pStyle w:val="text-base"/>
        <w:jc w:val="both"/>
        <w:rPr>
          <w:color w:val="000000" w:themeColor="text1"/>
          <w:lang w:val="en-US"/>
        </w:rPr>
      </w:pPr>
      <w:r>
        <w:t>Implementation integrity is enforced by an automated audit layer that checks accounting identities (total cost equals the sum of components), service-level definitions, warm-up/evaluation segmentation, capacity-hit denominators, and invariance of exogenous inputs across policies within each replication. We compute all costs and service metrics over T_eval only (days W+1 through T). All checks passed in the final run reported in this manuscript. Across all 1,600 paired replications (4 scenarios × 2 horizons × 2 routing settings × 100), these checks reported zero failures for cost aggregation and fill-rate definitions in both full and evaluation windows.</w:t>
      </w:r>
    </w:p>
    <w:p w14:paraId="7FAF0E1B" w14:textId="77777777" w:rsidR="004A70BA" w:rsidRPr="00F34B55" w:rsidRDefault="00000000">
      <w:pPr>
        <w:pStyle w:val="text-base"/>
        <w:rPr>
          <w:lang w:val="en-US"/>
        </w:rPr>
      </w:pPr>
      <w:r w:rsidRPr="00F34B55">
        <w:rPr>
          <w:lang w:val="en-US"/>
        </w:rPr>
        <w:t>We refer to reduced-scope diagnostic runs as quick mode: we set n = 30 paired replications and limit the grid to targeted scenario-horizon combinations for bottleneck isolation and ablation checks reported in the appendices.</w:t>
      </w:r>
    </w:p>
    <w:p w14:paraId="79BD180B" w14:textId="77777777" w:rsidR="0047501B" w:rsidRDefault="00000000" w:rsidP="00B40008">
      <w:pPr>
        <w:pStyle w:val="Ttulo2"/>
      </w:pPr>
      <w:r>
        <w:t>3.8 Statistical Testing Protocol: Paired Design with Common Random Numbers</w:t>
      </w:r>
    </w:p>
    <w:p w14:paraId="6650501C" w14:textId="77777777" w:rsidR="0047501B" w:rsidRPr="003C0212" w:rsidRDefault="00000000" w:rsidP="003C0212">
      <w:pPr>
        <w:pStyle w:val="text-base"/>
        <w:jc w:val="both"/>
        <w:rPr>
          <w:color w:val="000000" w:themeColor="text1"/>
          <w:lang w:val="en-US"/>
        </w:rPr>
      </w:pPr>
      <w:r>
        <w:t>We conduct policy comparisons within each scenario–horizon block using a paired design. For each replication, the simulator generates exogenous demand and lead-time trajectories once and reuses them across all policies (common random numbers), which yields replicate-level paired differences. We test paired differences with the Wilcoxon signed-rank test. We summarize uncertainty with percentile bootstrap confidence intervals (B = 1,000 resamples) over paired replications, and we control family-wise error within each scenario–horizon block across policy comparisons using Holm correction. We treat cross-scenario synthesis as descriptive and report effect sizes (paired Cohen’s d) and confidence intervals for interpretation rather than study-level confirmatory claims. Appendix C.3 reports the fixed seed values used in the simulator and training pipeline.</w:t>
      </w:r>
    </w:p>
    <w:p w14:paraId="321E3497" w14:textId="77777777" w:rsidR="0056306D" w:rsidRPr="006E21A1" w:rsidRDefault="002875A0" w:rsidP="00B40008">
      <w:pPr>
        <w:pStyle w:val="Ttulo2"/>
      </w:pPr>
      <w:r w:rsidRPr="006E21A1">
        <w:t>3.9 Statistical Power Analysis</w:t>
      </w:r>
    </w:p>
    <w:p w14:paraId="4BD44658" w14:textId="77777777" w:rsidR="006E21A1" w:rsidRPr="006E21A1" w:rsidRDefault="006E21A1" w:rsidP="006E21A1">
      <w:pPr>
        <w:pStyle w:val="text-base"/>
        <w:spacing w:after="0" w:afterAutospacing="0"/>
        <w:jc w:val="both"/>
        <w:rPr>
          <w:color w:val="000000" w:themeColor="text1"/>
          <w:lang w:val="en-US"/>
        </w:rPr>
      </w:pPr>
      <w:r w:rsidRPr="006E21A1">
        <w:rPr>
          <w:color w:val="000000" w:themeColor="text1"/>
          <w:lang w:val="en-US"/>
        </w:rPr>
        <w:t>We set (n = 100) paired Monte Carlo replications per condition to fit computational constraints. Using a conservative independent-sample approximation with two-sided (\alpha = 0.05), th</w:t>
      </w:r>
      <w:r>
        <w:rPr>
          <w:color w:val="000000" w:themeColor="text1"/>
          <w:lang w:val="en-US"/>
        </w:rPr>
        <w:t>e</w:t>
      </w:r>
      <w:r w:rsidRPr="006E21A1">
        <w:rPr>
          <w:color w:val="000000" w:themeColor="text1"/>
          <w:lang w:val="en-US"/>
        </w:rPr>
        <w:t xml:space="preserve"> design yields </w:t>
      </w:r>
      <w:r w:rsidRPr="006E21A1">
        <w:rPr>
          <w:color w:val="000000" w:themeColor="text1"/>
          <w:lang w:val="en-US"/>
        </w:rPr>
        <w:lastRenderedPageBreak/>
        <w:t xml:space="preserve">power of approximately 0.45 to detect a medium standardized effect (e.g., d \approx 0.5). The paired CRN design reduces variance in within-condition policy deltas, while </w:t>
      </w:r>
      <w:r>
        <w:rPr>
          <w:color w:val="000000" w:themeColor="text1"/>
          <w:lang w:val="en-US"/>
        </w:rPr>
        <w:t>the Holm correction within each scenario–horizon block further reduces sensitivity</w:t>
      </w:r>
      <w:r w:rsidRPr="006E21A1">
        <w:rPr>
          <w:color w:val="000000" w:themeColor="text1"/>
          <w:lang w:val="en-US"/>
        </w:rPr>
        <w:t>. We therefore treat non-significant deltas as exploratory and report paired bootstrap confidence intervals and effect-size estimates to characterize uncertainty.</w:t>
      </w:r>
    </w:p>
    <w:p w14:paraId="299B6E5E" w14:textId="77777777" w:rsidR="006E21A1" w:rsidRPr="006E21A1" w:rsidRDefault="006E21A1" w:rsidP="006E21A1">
      <w:pPr>
        <w:pStyle w:val="text-base"/>
        <w:spacing w:after="0" w:afterAutospacing="0"/>
        <w:jc w:val="both"/>
        <w:rPr>
          <w:color w:val="000000" w:themeColor="text1"/>
          <w:lang w:val="en-US"/>
        </w:rPr>
      </w:pPr>
      <w:r w:rsidRPr="006E21A1">
        <w:rPr>
          <w:color w:val="000000" w:themeColor="text1"/>
          <w:lang w:val="en-US"/>
        </w:rPr>
        <w:t xml:space="preserve">In this study, readers should interpret cost differences </w:t>
      </w:r>
      <w:r>
        <w:rPr>
          <w:color w:val="000000" w:themeColor="text1"/>
          <w:lang w:val="en-US"/>
        </w:rPr>
        <w:t>in light of</w:t>
      </w:r>
      <w:r w:rsidRPr="006E21A1">
        <w:rPr>
          <w:color w:val="000000" w:themeColor="text1"/>
          <w:lang w:val="en-US"/>
        </w:rPr>
        <w:t xml:space="preserve"> regime-specific dispersion and operational tolerance for service degradation. Applied statistical guidance stresses that practical relevance thresholds should be defined at the domain level rather than imported as universal cutoffs </w:t>
      </w:r>
      <w:r w:rsidR="003D4B97">
        <w:rPr>
          <w:color w:val="000000" w:themeColor="text1"/>
          <w:lang w:val="en-US"/>
        </w:rPr>
        <w:fldChar w:fldCharType="begin"/>
      </w:r>
      <w:r w:rsidR="003D4B97">
        <w:rPr>
          <w:color w:val="000000" w:themeColor="text1"/>
          <w:lang w:val="en-US"/>
        </w:rPr>
        <w:instrText xml:space="preserve"> ADDIN ZOTERO_ITEM CSL_CITATION {"citationID":"RQ9X1j2b","properties":{"formattedCitation":"(Panzarella et al., 2021)","plainCitation":"(Panzarella et al., 2021)","noteIndex":0},"citationItems":[{"id":3562,"uris":["http://zotero.org/users/12903205/items/UXEDGJ9I"],"itemData":{"id":3562,"type":"article-journal","abstract":"An effect size (ES) provides valuable information regarding the magnitude of effects, with the interpretation of magnitude being the most important. Interpreting ES magnitude requires combining information from the numerical ES value and the context of the research. However, many researchers adopt popular benchmarks such as those proposed by Cohen. More recently, researchers have proposed interpreting ES magnitude relative to the distribution of observed ESs in a specific field, creating unique benchmarks for declaring effects small, medium or large. However, there is no valid rationale whatsoever for this approach. This study was carried out in two parts: (1) We identified articles that proposed the use of field-specific ES distributions to interpret magnitude (primary articles); and (2) We identified articles that cited the primary articles and classified them by year and publication type. The first type consisted of methodological papers. The second type included articles that interpreted ES magnitude using the approach proposed in the primary articles. There has been a steady increase in the number of methodological and substantial articles discussing or adopting the approach of interpreting ES magnitude by considering the distribution of observed ES in that field, even though the approach is devoid of a theoretical framework. It is hoped that this research will restrict the practice of interpreting ES magnitude relative to the distribution of ES values in a field and instead encourage researchers to interpret such by considering the specific context of the study.","container-title":"PeerJ","DOI":"10.7717/peerj.11383","ISSN":"2167-8359","language":"en","license":"https://creativecommons.org/licenses/by/4.0/","page":"e11383","source":"DOI.org (Crossref)","title":"Denouncing the use of field-specific effect size distributions to inform magnitude","volume":"9","author":[{"family":"Panzarella","given":"Emily"},{"family":"Beribisky","given":"Nataly"},{"family":"Cribbie","given":"Robert A."}],"issued":{"date-parts":[["2021",6,14]]}}}],"schema":"https://github.com/citation-style-language/schema/raw/master/csl-citation.json"} </w:instrText>
      </w:r>
      <w:r w:rsidR="003D4B97">
        <w:rPr>
          <w:color w:val="000000" w:themeColor="text1"/>
          <w:lang w:val="en-US"/>
        </w:rPr>
        <w:fldChar w:fldCharType="separate"/>
      </w:r>
      <w:r w:rsidR="003D4B97" w:rsidRPr="003D4B97">
        <w:rPr>
          <w:lang w:val="en-US"/>
        </w:rPr>
        <w:t>(Panzarella et al., 2021)</w:t>
      </w:r>
      <w:r w:rsidR="003D4B97">
        <w:rPr>
          <w:color w:val="000000" w:themeColor="text1"/>
          <w:lang w:val="en-US"/>
        </w:rPr>
        <w:fldChar w:fldCharType="end"/>
      </w:r>
      <w:r w:rsidRPr="006E21A1">
        <w:rPr>
          <w:color w:val="000000" w:themeColor="text1"/>
          <w:lang w:val="en-US"/>
        </w:rPr>
        <w:t xml:space="preserve">. Operations research </w:t>
      </w:r>
      <w:r w:rsidRPr="007D7E39">
        <w:rPr>
          <w:color w:val="000000" w:themeColor="text1"/>
          <w:lang w:val="en-US"/>
        </w:rPr>
        <w:t xml:space="preserve">also emphasizes that nominal mean improvements may not persist under demand ambiguity and regime shifts, whereas large relative differences tend to persist across realizations in uncertain inventory systems </w:t>
      </w:r>
      <w:r w:rsidR="007D7E39" w:rsidRPr="007D7E39">
        <w:rPr>
          <w:color w:val="000000" w:themeColor="text1"/>
          <w:lang w:val="en-US"/>
        </w:rPr>
        <w:fldChar w:fldCharType="begin"/>
      </w:r>
      <w:r w:rsidR="007D7E39" w:rsidRPr="007D7E39">
        <w:rPr>
          <w:color w:val="000000" w:themeColor="text1"/>
          <w:lang w:val="en-US"/>
        </w:rPr>
        <w:instrText xml:space="preserve"> ADDIN ZOTERO_ITEM CSL_CITATION {"citationID":"snpHr0br","properties":{"formattedCitation":"(Qiu et al., 2021; Xin and Goldberg, 2022)","plainCitation":"(Qiu et al., 2021; Xin and Goldberg, 2022)","noteIndex":0},"citationItems":[{"id":3566,"uris":["http://zotero.org/users/12903205/items/J8I7XJXK"],"itemData":{"id":3566,"type":"article-journal","container-title":"Computers &amp; Operations Research","DOI":"10.1016/j.cor.2020.105081","ISSN":"03050548","journalAbbreviation":"Computers &amp; Operations Research","language":"en","page":"105081","source":"DOI.org (Crossref)","title":"A distributionally robust optimization approach for multi-product inventory decisions with budget constraint and demand and yield uncertainties","volume":"126","author":[{"family":"Qiu","given":"Ruozhen"},{"family":"Sun","given":"Yue"},{"family":"Sun","given":"Minghe"}],"issued":{"date-parts":[["2021",2]]}},"label":"page"},{"id":3524,"uris":["http://zotero.org/users/12903205/items/WYF5FI6Y"],"itemData":{"id":3524,"type":"article-journal","abstract":"Demand forecasting plays an important role in many inventory control problems. To mitigate the potential harms of model misspecification in this context, various forms of distributionally robust optimization have been applied. Although many of these methodologies suffer from the problem of time inconsistency, the work of Klabjan et al. established a general time-consistent framework for such problems by connecting to the literature on robust Markov decision processes. Motivated by the fact that many forecasting models exhibit very special structure as well as a desire to understand the impact of positing different dependency structures in distributionally robust multistage optimization, we formulate and solve a time-consistent distributionally robust multistage newsvendor model, which naturally robustifies some of the simplest inventory models with demand forecasting. In particular, in some of the simplest such models, demand evolves as a martingale (i.e., expected demand tomorrow equals realized demand today). We consider a robust variant of such models in which the sequence of future demands may be any martingale with given mean and support. Under such a model, past realizations of demand are naturally incorporated into the structure of the uncertainty set going forward. We explicitly compute the minimax optimal policy (and worst-case distribution) in closed form by combining ideas from convex analysis, probability, and dynamic programming. We prove that, at optimality, the worst-case demand distribution corresponds to the setting in which inventory may become obsolete at a random time. To gain further insight, we prove weak convergence (as the time horizon grows large) to a simple and intuitive process. We also compare with the analogous setting in which demand is independent across periods (analyzed previously by Shapiro) and identify several differences between these models in the spirit of the price of correlations studied by Agrawal et al. Finally, we complement our results by providing both numerical experiments that illustrate the potential benefits and limitations of our approach as well as additional theoretical analyses exploring what happens when our modeling assumptions do not hold.","container-title":"Mathematics of Operations Research","DOI":"10.1287/moor.2021.1213","ISSN":"0364-765X, 1526-5471","issue":"3","journalAbbreviation":"Mathematics of OR","language":"en","page":"2387-2414","source":"DOI.org (Crossref)","title":"Distributionally Robust Inventory Control When Demand Is a Martingale","volume":"47","author":[{"family":"Xin","given":"Linwei"},{"family":"Goldberg","given":"David Alan"}],"issued":{"date-parts":[["2022",8]]}},"label":"page"}],"schema":"https://github.com/citation-style-language/schema/raw/master/csl-citation.json"} </w:instrText>
      </w:r>
      <w:r w:rsidR="007D7E39" w:rsidRPr="007D7E39">
        <w:rPr>
          <w:color w:val="000000" w:themeColor="text1"/>
          <w:lang w:val="en-US"/>
        </w:rPr>
        <w:fldChar w:fldCharType="separate"/>
      </w:r>
      <w:r w:rsidR="007D7E39" w:rsidRPr="00F34B55">
        <w:rPr>
          <w:lang w:val="en-US"/>
        </w:rPr>
        <w:t>(Qiu et al., 2021; Xin and Goldberg, 2022)</w:t>
      </w:r>
      <w:r w:rsidR="007D7E39" w:rsidRPr="007D7E39">
        <w:rPr>
          <w:color w:val="000000" w:themeColor="text1"/>
          <w:lang w:val="en-US"/>
        </w:rPr>
        <w:fldChar w:fldCharType="end"/>
      </w:r>
      <w:r w:rsidRPr="007D7E39">
        <w:rPr>
          <w:color w:val="000000" w:themeColor="text1"/>
          <w:lang w:val="en-US"/>
        </w:rPr>
        <w:t>.</w:t>
      </w:r>
    </w:p>
    <w:p w14:paraId="4AE5E22A" w14:textId="77777777" w:rsidR="006E21A1" w:rsidRPr="006E21A1" w:rsidRDefault="006E21A1" w:rsidP="006E21A1">
      <w:pPr>
        <w:pStyle w:val="text-base"/>
        <w:spacing w:after="240" w:afterAutospacing="0"/>
        <w:jc w:val="both"/>
        <w:rPr>
          <w:color w:val="000000" w:themeColor="text1"/>
          <w:lang w:val="en-US"/>
        </w:rPr>
      </w:pPr>
      <w:r w:rsidRPr="006E21A1">
        <w:rPr>
          <w:color w:val="000000" w:themeColor="text1"/>
          <w:lang w:val="en-US"/>
        </w:rPr>
        <w:t>Consistent with this framing, we summarize relative cost differences using context-dependent bands: small (&lt;5–15%), medium (15–35%), and large (&gt;35%). We use these bands as interpretive heuristics rather than formal effect-size definitions. We pair them with uncertainty quantification and with the service outcomes reported in Tables 1–4.</w:t>
      </w:r>
    </w:p>
    <w:p w14:paraId="7022532D" w14:textId="77777777" w:rsidR="00AF167F" w:rsidRPr="00A70916" w:rsidRDefault="002875A0" w:rsidP="006E21A1">
      <w:pPr>
        <w:pStyle w:val="Ttulo2"/>
      </w:pPr>
      <w:r>
        <w:t>3.10 Verification and Validation (V&amp;V) Protocol</w:t>
      </w:r>
    </w:p>
    <w:p w14:paraId="6FDDD118" w14:textId="77777777" w:rsidR="00944D1B" w:rsidRPr="00A70916" w:rsidRDefault="00944D1B" w:rsidP="00DE6F31">
      <w:pPr>
        <w:pStyle w:val="text-base"/>
        <w:jc w:val="both"/>
        <w:rPr>
          <w:color w:val="000000" w:themeColor="text1"/>
          <w:lang w:val="en-US"/>
        </w:rPr>
      </w:pPr>
      <w:r w:rsidRPr="00FD0529">
        <w:rPr>
          <w:lang w:val="en-US"/>
        </w:rPr>
        <w:t>We validated the simulation logic through accounting checks (inventory balance and lead-time pipeline conservation) under deterministic seeds and through consistency checks against standard lost-sales inventory dynamics. Domain specialists reviewed the plausibility of parameter ranges used for synthetic supply-side inputs.</w:t>
      </w:r>
    </w:p>
    <w:p w14:paraId="2BAB675A" w14:textId="77777777" w:rsidR="00AF167F" w:rsidRPr="00A70916" w:rsidRDefault="002875A0" w:rsidP="00B40008">
      <w:pPr>
        <w:pStyle w:val="Ttulo2"/>
      </w:pPr>
      <w:r>
        <w:t>3.11 Explainability and Sensitivity Analysis</w:t>
      </w:r>
    </w:p>
    <w:p w14:paraId="69A8B53E" w14:textId="77777777" w:rsidR="002D4662" w:rsidRPr="00A70916" w:rsidRDefault="002D4662" w:rsidP="00DE6F31">
      <w:pPr>
        <w:pStyle w:val="text-base"/>
        <w:jc w:val="both"/>
        <w:rPr>
          <w:color w:val="000000" w:themeColor="text1"/>
          <w:lang w:val="en-US"/>
        </w:rPr>
      </w:pPr>
      <w:r w:rsidRPr="003868EC">
        <w:rPr>
          <w:lang w:val="en-US"/>
        </w:rPr>
        <w:t xml:space="preserve">The RL controller uses an order-up-to target and a bounded discrete adjustment, which yields an interpretable decision rule. We diagnose failure modes in Supply Disruption through targeted ablations that remove the discontinuous zero-lost-sales bonus, </w:t>
      </w:r>
      <w:r w:rsidR="006E21A1">
        <w:rPr>
          <w:lang w:val="en-US"/>
        </w:rPr>
        <w:t>expand the action space, and add a fallback guardrail, along</w:t>
      </w:r>
      <w:r w:rsidRPr="003868EC">
        <w:rPr>
          <w:lang w:val="en-US"/>
        </w:rPr>
        <w:t xml:space="preserve"> with trace-based evidence on ordering frequency (q_t) and lost-sales days. We treat broader sensitivity analysis over cost ratios and reward terms as future work.</w:t>
      </w:r>
    </w:p>
    <w:p w14:paraId="083E0BA8" w14:textId="77777777" w:rsidR="00B85AD7" w:rsidRPr="00A70916" w:rsidRDefault="00B85AD7" w:rsidP="002875A0">
      <w:pPr>
        <w:pStyle w:val="Ttulo1"/>
        <w:numPr>
          <w:ilvl w:val="0"/>
          <w:numId w:val="32"/>
        </w:numPr>
      </w:pPr>
      <w:r w:rsidRPr="00A70916">
        <w:t>Results</w:t>
      </w:r>
    </w:p>
    <w:p w14:paraId="4F51D05F" w14:textId="77777777" w:rsidR="00DF7363" w:rsidRPr="00A70916" w:rsidRDefault="00DF7363" w:rsidP="00BC4C18">
      <w:pPr>
        <w:pStyle w:val="text-base"/>
        <w:spacing w:after="0" w:afterAutospacing="0"/>
        <w:jc w:val="both"/>
        <w:rPr>
          <w:color w:val="000000" w:themeColor="text1"/>
          <w:lang w:val="en-US"/>
        </w:rPr>
      </w:pPr>
      <w:r w:rsidRPr="00A70916">
        <w:rPr>
          <w:color w:val="000000" w:themeColor="text1"/>
          <w:lang w:val="en-US"/>
        </w:rPr>
        <w:t xml:space="preserve">This section presents comparative performance findings </w:t>
      </w:r>
      <w:r w:rsidR="006E36DB">
        <w:rPr>
          <w:color w:val="000000" w:themeColor="text1"/>
          <w:lang w:val="en-US"/>
        </w:rPr>
        <w:t>from the experimental design in Section 3, ranging from guaranteed operations under normal conditions to exploratory stress testing under disruptions</w:t>
      </w:r>
      <w:r w:rsidRPr="00A70916">
        <w:rPr>
          <w:color w:val="000000" w:themeColor="text1"/>
          <w:lang w:val="en-US"/>
        </w:rPr>
        <w:t xml:space="preserve">. Therefore, the findings address the problem statement: </w:t>
      </w:r>
      <w:r w:rsidR="00E106D6" w:rsidRPr="00A70916">
        <w:rPr>
          <w:color w:val="000000" w:themeColor="text1"/>
          <w:lang w:val="en-US"/>
        </w:rPr>
        <w:t>under what conditions</w:t>
      </w:r>
      <w:r w:rsidRPr="00A70916">
        <w:rPr>
          <w:color w:val="000000" w:themeColor="text1"/>
          <w:lang w:val="en-US"/>
        </w:rPr>
        <w:t xml:space="preserve"> do hybrid AI systems statistically outperform operations research alternatives </w:t>
      </w:r>
      <w:r w:rsidR="0045690E" w:rsidRPr="0045690E">
        <w:rPr>
          <w:color w:val="000000" w:themeColor="text1"/>
          <w:lang w:val="en-US"/>
        </w:rPr>
        <w:t>at significant levels</w:t>
      </w:r>
      <w:r w:rsidRPr="00A70916">
        <w:rPr>
          <w:color w:val="000000" w:themeColor="text1"/>
          <w:lang w:val="en-US"/>
        </w:rPr>
        <w:t>, and what benefi</w:t>
      </w:r>
      <w:r w:rsidR="00E106D6" w:rsidRPr="00A70916">
        <w:rPr>
          <w:color w:val="000000" w:themeColor="text1"/>
          <w:lang w:val="en-US"/>
        </w:rPr>
        <w:t>t-to-cos</w:t>
      </w:r>
      <w:r w:rsidRPr="00A70916">
        <w:rPr>
          <w:color w:val="000000" w:themeColor="text1"/>
          <w:lang w:val="en-US"/>
        </w:rPr>
        <w:t xml:space="preserve">t </w:t>
      </w:r>
      <w:r w:rsidR="00E106D6" w:rsidRPr="00A70916">
        <w:rPr>
          <w:color w:val="000000" w:themeColor="text1"/>
          <w:lang w:val="en-US"/>
        </w:rPr>
        <w:t>ratio</w:t>
      </w:r>
      <w:r w:rsidRPr="00A70916">
        <w:rPr>
          <w:color w:val="000000" w:themeColor="text1"/>
          <w:lang w:val="en-US"/>
        </w:rPr>
        <w:t>s should operations use when determining their algorithmic approach for cost-recovery resilience?</w:t>
      </w:r>
    </w:p>
    <w:p w14:paraId="10B3AA07" w14:textId="77777777" w:rsidR="00DF7363" w:rsidRPr="00A70916" w:rsidRDefault="00DF7363" w:rsidP="00BC4C18">
      <w:pPr>
        <w:pStyle w:val="text-base"/>
        <w:spacing w:after="0" w:afterAutospacing="0"/>
        <w:jc w:val="both"/>
        <w:rPr>
          <w:color w:val="000000" w:themeColor="text1"/>
          <w:lang w:val="en-US"/>
        </w:rPr>
      </w:pPr>
      <w:r w:rsidRPr="00F34B55">
        <w:rPr>
          <w:lang w:val="en-US"/>
        </w:rPr>
        <w:t>This section reports paired Monte Carlo results from 1,600 paired replications (4 scenarios × 2 horizons × 2 routing settings × 100), yielding 8,000 policy evaluations across five policies. We treat GA=on as the primary setting because it represents the intended routing-aware configuration; we report GA=off as an ablation in Appendix F.</w:t>
      </w:r>
    </w:p>
    <w:p w14:paraId="578E7607" w14:textId="77777777" w:rsidR="00D20C9C" w:rsidRPr="00A70916" w:rsidRDefault="0069202B" w:rsidP="00BC4C18">
      <w:pPr>
        <w:pStyle w:val="text-base"/>
        <w:spacing w:after="0" w:afterAutospacing="0"/>
        <w:jc w:val="both"/>
        <w:rPr>
          <w:color w:val="000000" w:themeColor="text1"/>
          <w:lang w:val="en-US"/>
        </w:rPr>
      </w:pPr>
      <w:r w:rsidRPr="00A25014">
        <w:rPr>
          <w:lang w:val="en-US"/>
        </w:rPr>
        <w:t xml:space="preserve">Tables 1–4 summarize total cost and fill rates for the primary setting (GA ON). GA OFF results are reported </w:t>
      </w:r>
      <w:r w:rsidR="00136957">
        <w:rPr>
          <w:lang w:val="en-US"/>
        </w:rPr>
        <w:t>in Appendix F as an ablation</w:t>
      </w:r>
      <w:r w:rsidRPr="00A25014">
        <w:rPr>
          <w:lang w:val="en-US"/>
        </w:rPr>
        <w:t xml:space="preserve"> and do not change the main ranking patterns. We interpret </w:t>
      </w:r>
      <w:r w:rsidRPr="00A25014">
        <w:rPr>
          <w:lang w:val="en-US"/>
        </w:rPr>
        <w:lastRenderedPageBreak/>
        <w:t>statistically non-significant differences as preliminary</w:t>
      </w:r>
      <w:r w:rsidR="00136957">
        <w:rPr>
          <w:lang w:val="en-US"/>
        </w:rPr>
        <w:t>,</w:t>
      </w:r>
      <w:r w:rsidRPr="00A25014">
        <w:rPr>
          <w:lang w:val="en-US"/>
        </w:rPr>
        <w:t xml:space="preserve"> given the exploratory design (n = 100 paired replications per condition).</w:t>
      </w:r>
    </w:p>
    <w:p w14:paraId="0F52E02F" w14:textId="7351FB58" w:rsidR="0047501B" w:rsidRPr="003C0212" w:rsidRDefault="00000000" w:rsidP="00BC4C18">
      <w:pPr>
        <w:pStyle w:val="text-base"/>
        <w:spacing w:after="0" w:afterAutospacing="0"/>
        <w:jc w:val="both"/>
        <w:rPr>
          <w:lang w:val="en-US"/>
        </w:rPr>
      </w:pPr>
      <w:r w:rsidRPr="00F34B55">
        <w:rPr>
          <w:lang w:val="en-US"/>
        </w:rPr>
        <w:t>Supply-disruption diagnostic (bottleneck isolation). We isolate the mechanism behind the Supply Disruption failure in Table 3 by running a reduced diagnostic at the 180-day horizon with n = 30 paired replications, GA off, and reward = inventory_only (Appendix E.8). In this simplified setting, Hybrid AI shows a lower mean total cost (≈12.8 million) than Dynamic + Forecast (≈23.7 million) and Base-stock (≈23.6 million)</w:t>
      </w:r>
      <w:r w:rsidR="002B74AA">
        <w:rPr>
          <w:lang w:val="en-US"/>
        </w:rPr>
        <w:t>. In contrast,</w:t>
      </w:r>
      <w:r w:rsidRPr="00F34B55">
        <w:rPr>
          <w:lang w:val="en-US"/>
        </w:rPr>
        <w:t xml:space="preserve"> its mean fill rate decreases from ≈75.4–75.5% to ≈73.7% (Table E.8). We treat this diagnostic as exploratory and mechanism-oriented. The primary routing-aware configuration (GA on; inventory_plus_routing) still yields near-zero service and sharply higher costs for Hybrid AI under Supply Disruption (Table 3). Example command: `python Code4_colab_fixed_v12_actionscale_minpatch.py --scenarios SUPPLY_DISRUPTION --horizons 180 --forecasters lstm_rf --reward_modes inventory_only --ga_modes off --quick`.</w:t>
      </w:r>
    </w:p>
    <w:p w14:paraId="796F254A" w14:textId="77777777" w:rsidR="0047501B" w:rsidRPr="003C0212" w:rsidRDefault="00000000" w:rsidP="00BC4C18">
      <w:pPr>
        <w:pStyle w:val="text-base"/>
        <w:spacing w:after="0" w:afterAutospacing="0"/>
        <w:jc w:val="both"/>
        <w:rPr>
          <w:lang w:val="en-US"/>
        </w:rPr>
      </w:pPr>
      <w:r w:rsidRPr="005B3AE7">
        <w:rPr>
          <w:b/>
          <w:bCs/>
          <w:lang w:val="en-US"/>
        </w:rPr>
        <w:t>Forecasting performance summary</w:t>
      </w:r>
      <w:r w:rsidRPr="00653ACC">
        <w:rPr>
          <w:lang w:val="en-US"/>
        </w:rPr>
        <w:t>. Forecasting affects Base-stock (Uncertain), Dynamic + Forecast, and the hybrid AI policy’s order-up-to target. Forecast accuracy was evaluated independently of the inventory control loop via a rolling-origin backtest. Across scenarios, the LSTM+RF forecaster improves one-step point accuracy relative to smoothing-based alternatives on short histories (Appendix F)</w:t>
      </w:r>
      <w:r w:rsidR="00D508F7">
        <w:rPr>
          <w:lang w:val="en-US"/>
        </w:rPr>
        <w:t>, as measured by MAE/RMSE, and reduces large one-step errors in the</w:t>
      </w:r>
      <w:r w:rsidRPr="00653ACC">
        <w:rPr>
          <w:lang w:val="en-US"/>
        </w:rPr>
        <w:t xml:space="preserve"> Stable and Seasonal regimes. To assess probabilistic quality, we compute interval-calibration diagnostics (empirical coverage at nominal levels, PIT histograms) and distributional scores (CRPS) </w:t>
      </w:r>
      <w:r w:rsidR="00653ACC">
        <w:rPr>
          <w:lang w:val="en-US"/>
        </w:rPr>
        <w:fldChar w:fldCharType="begin"/>
      </w:r>
      <w:r w:rsidR="00653ACC">
        <w:rPr>
          <w:lang w:val="en-US"/>
        </w:rPr>
        <w:instrText xml:space="preserve"> ADDIN ZOTERO_ITEM CSL_CITATION {"citationID":"Du7HQDu3","properties":{"formattedCitation":"(Arnold et al., 2024)","plainCitation":"(Arnold et al., 2024)","noteIndex":0},"citationItems":[{"id":3528,"uris":["http://zotero.org/users/12903205/items/879FAG44"],"itemData":{"id":3528,"type":"article-journal","container-title":"Electronic Journal of Statistics","DOI":"10.1214/24-EJS2316","ISSN":"1935-7524","issue":"2","journalAbbreviation":"Electron. J. Statist.","source":"DOI.org (Crossref)","title":"Decompositions of the mean continuous ranked probability score","URL":"https://projecteuclid.org/journals/electronic-journal-of-statistics/volume-18/issue-2/Decompositions-of-the-mean-continuous-ranked-probability-score/10.1214/24-EJS2316.full","volume":"18","author":[{"family":"Arnold","given":"Sebastian"},{"family":"Walz","given":"Eva-Maria"},{"family":"Ziegel","given":"Johanna"},{"family":"Gneiting","given":"Tilmann"}],"accessed":{"date-parts":[["2026",2,5]]},"issued":{"date-parts":[["2024",1,1]]}}}],"schema":"https://github.com/citation-style-language/schema/raw/master/csl-citation.json"} </w:instrText>
      </w:r>
      <w:r w:rsidR="00653ACC">
        <w:rPr>
          <w:lang w:val="en-US"/>
        </w:rPr>
        <w:fldChar w:fldCharType="separate"/>
      </w:r>
      <w:r w:rsidR="00653ACC" w:rsidRPr="00653ACC">
        <w:rPr>
          <w:lang w:val="en-US"/>
        </w:rPr>
        <w:t>(Arnold et al., 2024)</w:t>
      </w:r>
      <w:r w:rsidR="00653ACC">
        <w:rPr>
          <w:lang w:val="en-US"/>
        </w:rPr>
        <w:fldChar w:fldCharType="end"/>
      </w:r>
      <w:r w:rsidRPr="00653ACC">
        <w:rPr>
          <w:lang w:val="en-US"/>
        </w:rPr>
        <w:t xml:space="preserve"> when the forecasting module stores predictive distributions. When forecast logs </w:t>
      </w:r>
      <w:r w:rsidR="00D508F7">
        <w:rPr>
          <w:lang w:val="en-US"/>
        </w:rPr>
        <w:t xml:space="preserve">store only point predictions, we rerun the rolling-origin backtest to export predictive quantiles for this calibration step; this does not </w:t>
      </w:r>
      <w:r w:rsidR="008E66BF">
        <w:rPr>
          <w:lang w:val="en-US"/>
        </w:rPr>
        <w:t>suggest</w:t>
      </w:r>
      <w:r w:rsidR="00D508F7">
        <w:rPr>
          <w:lang w:val="en-US"/>
        </w:rPr>
        <w:t xml:space="preserve"> re</w:t>
      </w:r>
      <w:r w:rsidRPr="00653ACC">
        <w:rPr>
          <w:lang w:val="en-US"/>
        </w:rPr>
        <w:t>running the full inventory simulation.</w:t>
      </w:r>
    </w:p>
    <w:p w14:paraId="37F68D42" w14:textId="77777777" w:rsidR="00D20C9C" w:rsidRDefault="00D20C9C" w:rsidP="007144EB">
      <w:pPr>
        <w:pStyle w:val="text-base"/>
        <w:spacing w:after="0" w:afterAutospacing="0"/>
        <w:jc w:val="both"/>
        <w:rPr>
          <w:lang w:val="en-US"/>
        </w:rPr>
      </w:pPr>
      <w:r w:rsidRPr="00FD0529">
        <w:rPr>
          <w:lang w:val="en-US"/>
        </w:rPr>
        <w:t>In STABLE demand (Table 1), Hybrid AI has the lowest mean total cost at both 90 and 180 days while maintaining high fill rates (≈96–97%). Dynamic exhibits materially lower fill (≈66%) and therefore incurs stockout penalties, which explains why Dynamic and Dynamic + Forecast differ by an order of magnitude in total cost. Relative to the best baseline, AI reduces mean cost by about 16% at 90 days (vs. Dynamic + Forecast; Holm p &lt; 0.001) and about 13% at 180 days (vs. Base-stock; Holm p &lt; 0.001).</w:t>
      </w:r>
    </w:p>
    <w:p w14:paraId="0895DCBF" w14:textId="77777777" w:rsidR="00B32827" w:rsidRPr="0073558D" w:rsidRDefault="00B32827" w:rsidP="00B32827">
      <w:pPr>
        <w:pStyle w:val="ng-star-inserted"/>
        <w:spacing w:after="120" w:afterAutospacing="0"/>
        <w:ind w:left="216" w:right="14"/>
        <w:jc w:val="center"/>
        <w:rPr>
          <w:rStyle w:val="ng-star-inserted1"/>
          <w:rFonts w:eastAsiaTheme="majorEastAsia"/>
          <w:b/>
          <w:bCs/>
          <w:color w:val="000000" w:themeColor="text1"/>
          <w:sz w:val="22"/>
          <w:szCs w:val="22"/>
          <w:lang w:val="en-US"/>
        </w:rPr>
      </w:pPr>
      <w:r w:rsidRPr="0073558D">
        <w:rPr>
          <w:b/>
          <w:bCs/>
          <w:lang w:val="en-US"/>
        </w:rPr>
        <w:t>Table 1 – Comparative Performance Metrics: Stable Demand Scenario (GA on; 90d and 180d).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7"/>
        <w:gridCol w:w="2439"/>
        <w:gridCol w:w="1558"/>
        <w:gridCol w:w="2124"/>
        <w:gridCol w:w="1668"/>
      </w:tblGrid>
      <w:tr w:rsidR="00B32827" w14:paraId="54AE0D1B" w14:textId="77777777" w:rsidTr="00115971">
        <w:trPr>
          <w:jc w:val="center"/>
        </w:trPr>
        <w:tc>
          <w:tcPr>
            <w:tcW w:w="1949" w:type="dxa"/>
            <w:vAlign w:val="center"/>
          </w:tcPr>
          <w:p w14:paraId="78422E9A" w14:textId="77777777" w:rsidR="00B32827" w:rsidRPr="000361F7" w:rsidRDefault="00B32827" w:rsidP="00115971">
            <w:pPr>
              <w:rPr>
                <w:rFonts w:ascii="Times New Roman" w:hAnsi="Times New Roman" w:cs="Times New Roman"/>
              </w:rPr>
            </w:pPr>
            <w:r w:rsidRPr="000361F7">
              <w:rPr>
                <w:rFonts w:ascii="Times New Roman" w:hAnsi="Times New Roman" w:cs="Times New Roman"/>
                <w:b/>
                <w:sz w:val="18"/>
              </w:rPr>
              <w:t>Policy</w:t>
            </w:r>
          </w:p>
        </w:tc>
        <w:tc>
          <w:tcPr>
            <w:tcW w:w="2441" w:type="dxa"/>
            <w:vAlign w:val="center"/>
          </w:tcPr>
          <w:p w14:paraId="1E02B206" w14:textId="77777777" w:rsidR="00B32827" w:rsidRPr="000361F7" w:rsidRDefault="00B32827" w:rsidP="00115971">
            <w:pPr>
              <w:rPr>
                <w:rFonts w:ascii="Times New Roman" w:hAnsi="Times New Roman" w:cs="Times New Roman"/>
              </w:rPr>
            </w:pPr>
            <w:r w:rsidRPr="000361F7">
              <w:rPr>
                <w:rFonts w:ascii="Times New Roman" w:hAnsi="Times New Roman" w:cs="Times New Roman"/>
                <w:b/>
                <w:sz w:val="18"/>
              </w:rPr>
              <w:t>Total cost (90d), mean [95% CI]</w:t>
            </w:r>
          </w:p>
        </w:tc>
        <w:tc>
          <w:tcPr>
            <w:tcW w:w="1559" w:type="dxa"/>
            <w:vAlign w:val="center"/>
          </w:tcPr>
          <w:p w14:paraId="68744F31" w14:textId="77777777" w:rsidR="00B32827" w:rsidRPr="000361F7" w:rsidRDefault="00B32827" w:rsidP="00115971">
            <w:pPr>
              <w:rPr>
                <w:rFonts w:ascii="Times New Roman" w:hAnsi="Times New Roman" w:cs="Times New Roman"/>
              </w:rPr>
            </w:pPr>
            <w:r w:rsidRPr="000361F7">
              <w:rPr>
                <w:rFonts w:ascii="Times New Roman" w:hAnsi="Times New Roman" w:cs="Times New Roman"/>
                <w:b/>
                <w:sz w:val="18"/>
              </w:rPr>
              <w:t>Fill rate (90d), mean [95% CI]</w:t>
            </w:r>
          </w:p>
        </w:tc>
        <w:tc>
          <w:tcPr>
            <w:tcW w:w="2126" w:type="dxa"/>
            <w:vAlign w:val="center"/>
          </w:tcPr>
          <w:p w14:paraId="510F01C9" w14:textId="77777777" w:rsidR="00B32827" w:rsidRPr="000361F7" w:rsidRDefault="00B32827" w:rsidP="00115971">
            <w:pPr>
              <w:rPr>
                <w:rFonts w:ascii="Times New Roman" w:hAnsi="Times New Roman" w:cs="Times New Roman"/>
              </w:rPr>
            </w:pPr>
            <w:r w:rsidRPr="000361F7">
              <w:rPr>
                <w:rFonts w:ascii="Times New Roman" w:hAnsi="Times New Roman" w:cs="Times New Roman"/>
                <w:b/>
                <w:sz w:val="18"/>
              </w:rPr>
              <w:t>Total cost (180d), mean [95% CI]</w:t>
            </w:r>
          </w:p>
        </w:tc>
        <w:tc>
          <w:tcPr>
            <w:tcW w:w="1670" w:type="dxa"/>
            <w:vAlign w:val="center"/>
          </w:tcPr>
          <w:p w14:paraId="47C466F1" w14:textId="77777777" w:rsidR="00B32827" w:rsidRPr="000361F7" w:rsidRDefault="00B32827" w:rsidP="00115971">
            <w:pPr>
              <w:rPr>
                <w:rFonts w:ascii="Times New Roman" w:hAnsi="Times New Roman" w:cs="Times New Roman"/>
              </w:rPr>
            </w:pPr>
            <w:r w:rsidRPr="000361F7">
              <w:rPr>
                <w:rFonts w:ascii="Times New Roman" w:hAnsi="Times New Roman" w:cs="Times New Roman"/>
                <w:b/>
                <w:sz w:val="18"/>
              </w:rPr>
              <w:t>Fill rate (180d), mean [95% CI]</w:t>
            </w:r>
          </w:p>
        </w:tc>
      </w:tr>
      <w:tr w:rsidR="00B32827" w14:paraId="3C2A3C7C" w14:textId="77777777" w:rsidTr="00115971">
        <w:trPr>
          <w:jc w:val="center"/>
        </w:trPr>
        <w:tc>
          <w:tcPr>
            <w:tcW w:w="1949" w:type="dxa"/>
            <w:vAlign w:val="center"/>
          </w:tcPr>
          <w:p w14:paraId="3439B1AE"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Static</w:t>
            </w:r>
          </w:p>
        </w:tc>
        <w:tc>
          <w:tcPr>
            <w:tcW w:w="2441" w:type="dxa"/>
            <w:vAlign w:val="center"/>
          </w:tcPr>
          <w:p w14:paraId="24623721"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9,759,941</w:t>
            </w:r>
          </w:p>
          <w:p w14:paraId="66E9BB70"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[9,482,287; 10,037,983]</w:t>
            </w:r>
          </w:p>
        </w:tc>
        <w:tc>
          <w:tcPr>
            <w:tcW w:w="1559" w:type="dxa"/>
            <w:vAlign w:val="center"/>
          </w:tcPr>
          <w:p w14:paraId="2FC89859"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50.7%</w:t>
            </w:r>
          </w:p>
          <w:p w14:paraId="3D894DF2"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[50.1%; 51.3%]</w:t>
            </w:r>
          </w:p>
        </w:tc>
        <w:tc>
          <w:tcPr>
            <w:tcW w:w="2126" w:type="dxa"/>
            <w:vAlign w:val="center"/>
          </w:tcPr>
          <w:p w14:paraId="57801EEB"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19,504,874 </w:t>
            </w:r>
          </w:p>
          <w:p w14:paraId="692F0DB0"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[19,096,100; 19,919,665]</w:t>
            </w:r>
          </w:p>
        </w:tc>
        <w:tc>
          <w:tcPr>
            <w:tcW w:w="1670" w:type="dxa"/>
            <w:vAlign w:val="center"/>
          </w:tcPr>
          <w:p w14:paraId="4D2CFD7E"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50.8% </w:t>
            </w:r>
          </w:p>
          <w:p w14:paraId="52059B78"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[50.4%; 51.3%]</w:t>
            </w:r>
          </w:p>
        </w:tc>
      </w:tr>
      <w:tr w:rsidR="00B32827" w14:paraId="2EF41B95" w14:textId="77777777" w:rsidTr="00115971">
        <w:trPr>
          <w:jc w:val="center"/>
        </w:trPr>
        <w:tc>
          <w:tcPr>
            <w:tcW w:w="1949" w:type="dxa"/>
            <w:vAlign w:val="center"/>
          </w:tcPr>
          <w:p w14:paraId="3B5F3E7C"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Dynamic</w:t>
            </w:r>
          </w:p>
        </w:tc>
        <w:tc>
          <w:tcPr>
            <w:tcW w:w="2441" w:type="dxa"/>
            <w:vAlign w:val="center"/>
          </w:tcPr>
          <w:p w14:paraId="4FECE1EE"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6,878,926</w:t>
            </w:r>
          </w:p>
          <w:p w14:paraId="4DA43ADB"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[6,696,326; 7,087,911]</w:t>
            </w:r>
          </w:p>
        </w:tc>
        <w:tc>
          <w:tcPr>
            <w:tcW w:w="1559" w:type="dxa"/>
            <w:vAlign w:val="center"/>
          </w:tcPr>
          <w:p w14:paraId="3072C3C5"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65.8%</w:t>
            </w:r>
          </w:p>
          <w:p w14:paraId="3DCD18BC"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[65.5%; 66.2%]</w:t>
            </w:r>
          </w:p>
        </w:tc>
        <w:tc>
          <w:tcPr>
            <w:tcW w:w="2126" w:type="dxa"/>
            <w:vAlign w:val="center"/>
          </w:tcPr>
          <w:p w14:paraId="003AB8AC"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13,301,446 </w:t>
            </w:r>
          </w:p>
          <w:p w14:paraId="67CB3FD3"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[12,981,501; 13,618,843]</w:t>
            </w:r>
          </w:p>
        </w:tc>
        <w:tc>
          <w:tcPr>
            <w:tcW w:w="1670" w:type="dxa"/>
            <w:vAlign w:val="center"/>
          </w:tcPr>
          <w:p w14:paraId="7B5C7B56"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66.4% </w:t>
            </w:r>
          </w:p>
          <w:p w14:paraId="25F479DF"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[66.2%; 66.7%]</w:t>
            </w:r>
          </w:p>
        </w:tc>
      </w:tr>
      <w:tr w:rsidR="00B32827" w14:paraId="44235CA4" w14:textId="77777777" w:rsidTr="00115971">
        <w:trPr>
          <w:jc w:val="center"/>
        </w:trPr>
        <w:tc>
          <w:tcPr>
            <w:tcW w:w="1949" w:type="dxa"/>
            <w:vAlign w:val="center"/>
          </w:tcPr>
          <w:p w14:paraId="65D2E61D"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Dynamic + Forecast</w:t>
            </w:r>
          </w:p>
        </w:tc>
        <w:tc>
          <w:tcPr>
            <w:tcW w:w="2441" w:type="dxa"/>
            <w:vAlign w:val="center"/>
          </w:tcPr>
          <w:p w14:paraId="66D2CF35"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780,448</w:t>
            </w:r>
          </w:p>
          <w:p w14:paraId="40641AF1"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[705,885; 852,952]</w:t>
            </w:r>
          </w:p>
        </w:tc>
        <w:tc>
          <w:tcPr>
            <w:tcW w:w="1559" w:type="dxa"/>
            <w:vAlign w:val="center"/>
          </w:tcPr>
          <w:p w14:paraId="5B6A5E99"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96.4%</w:t>
            </w:r>
          </w:p>
          <w:p w14:paraId="1ABC05A0"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[96.1%; 96.6%]</w:t>
            </w:r>
          </w:p>
        </w:tc>
        <w:tc>
          <w:tcPr>
            <w:tcW w:w="2126" w:type="dxa"/>
            <w:vAlign w:val="center"/>
          </w:tcPr>
          <w:p w14:paraId="3A309022"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1,039,416 </w:t>
            </w:r>
          </w:p>
          <w:p w14:paraId="74164D5A"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[935,245; 1,147,698]</w:t>
            </w:r>
          </w:p>
        </w:tc>
        <w:tc>
          <w:tcPr>
            <w:tcW w:w="1670" w:type="dxa"/>
            <w:vAlign w:val="center"/>
          </w:tcPr>
          <w:p w14:paraId="16A27035"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97.6% </w:t>
            </w:r>
          </w:p>
          <w:p w14:paraId="70B75421"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[97.5%; 97.8%]</w:t>
            </w:r>
          </w:p>
        </w:tc>
      </w:tr>
      <w:tr w:rsidR="00B32827" w14:paraId="3CC951CB" w14:textId="77777777" w:rsidTr="00115971">
        <w:trPr>
          <w:jc w:val="center"/>
        </w:trPr>
        <w:tc>
          <w:tcPr>
            <w:tcW w:w="1949" w:type="dxa"/>
            <w:vAlign w:val="center"/>
          </w:tcPr>
          <w:p w14:paraId="1BA5D3BA"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Base-stock (Uncertain)</w:t>
            </w:r>
          </w:p>
        </w:tc>
        <w:tc>
          <w:tcPr>
            <w:tcW w:w="2441" w:type="dxa"/>
            <w:vAlign w:val="center"/>
          </w:tcPr>
          <w:p w14:paraId="43B8395F"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788,148</w:t>
            </w:r>
          </w:p>
          <w:p w14:paraId="0D7DD133"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[706,980; 881,357]</w:t>
            </w:r>
          </w:p>
        </w:tc>
        <w:tc>
          <w:tcPr>
            <w:tcW w:w="1559" w:type="dxa"/>
            <w:vAlign w:val="center"/>
          </w:tcPr>
          <w:p w14:paraId="2ECF4348"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96.4%</w:t>
            </w:r>
          </w:p>
          <w:p w14:paraId="6054EC02"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[96.1%; 96.7%]</w:t>
            </w:r>
          </w:p>
        </w:tc>
        <w:tc>
          <w:tcPr>
            <w:tcW w:w="2126" w:type="dxa"/>
            <w:vAlign w:val="center"/>
          </w:tcPr>
          <w:p w14:paraId="34EEF42D"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1,002,794 </w:t>
            </w:r>
          </w:p>
          <w:p w14:paraId="4E1A27F5"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[897,941; 1,107,095]</w:t>
            </w:r>
          </w:p>
        </w:tc>
        <w:tc>
          <w:tcPr>
            <w:tcW w:w="1670" w:type="dxa"/>
            <w:vAlign w:val="center"/>
          </w:tcPr>
          <w:p w14:paraId="5C7BB207"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97.7% </w:t>
            </w:r>
          </w:p>
          <w:p w14:paraId="10699016"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[97.5%; 97.9%]</w:t>
            </w:r>
          </w:p>
        </w:tc>
      </w:tr>
      <w:tr w:rsidR="00B32827" w14:paraId="1EBC751E" w14:textId="77777777" w:rsidTr="00115971">
        <w:trPr>
          <w:jc w:val="center"/>
        </w:trPr>
        <w:tc>
          <w:tcPr>
            <w:tcW w:w="1949" w:type="dxa"/>
            <w:vAlign w:val="center"/>
          </w:tcPr>
          <w:p w14:paraId="12539C42"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Hybrid AI</w:t>
            </w:r>
          </w:p>
        </w:tc>
        <w:tc>
          <w:tcPr>
            <w:tcW w:w="2441" w:type="dxa"/>
            <w:vAlign w:val="center"/>
          </w:tcPr>
          <w:p w14:paraId="2C9E5CB4"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655,184</w:t>
            </w:r>
          </w:p>
          <w:p w14:paraId="52573F3B"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[581,752; 730,121]</w:t>
            </w:r>
          </w:p>
        </w:tc>
        <w:tc>
          <w:tcPr>
            <w:tcW w:w="1559" w:type="dxa"/>
            <w:vAlign w:val="center"/>
          </w:tcPr>
          <w:p w14:paraId="78218C1A"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97.1%</w:t>
            </w:r>
          </w:p>
          <w:p w14:paraId="3A08C133"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[96.9%; 97.4%]</w:t>
            </w:r>
          </w:p>
        </w:tc>
        <w:tc>
          <w:tcPr>
            <w:tcW w:w="2126" w:type="dxa"/>
            <w:vAlign w:val="center"/>
          </w:tcPr>
          <w:p w14:paraId="7CE88FD3"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706,278 </w:t>
            </w:r>
          </w:p>
          <w:p w14:paraId="00E28ABE"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[642,599; 772,531]</w:t>
            </w:r>
          </w:p>
        </w:tc>
        <w:tc>
          <w:tcPr>
            <w:tcW w:w="1670" w:type="dxa"/>
            <w:vAlign w:val="center"/>
          </w:tcPr>
          <w:p w14:paraId="0DF13C85"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98.5% </w:t>
            </w:r>
          </w:p>
          <w:p w14:paraId="7AAB7535"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[98.4%; 98.6%]</w:t>
            </w:r>
          </w:p>
        </w:tc>
      </w:tr>
    </w:tbl>
    <w:p>
      <w:r>
        <w:rPr>
          <w:i/>
        </w:rPr>
        <w:t>Note: Costs and service metrics are computed over the evaluation window only (days 29 through T). Warm-up days 1–28 are excluded from all reported summaries.</w:t>
      </w:r>
    </w:p>
    <w:p w14:paraId="3EE5CFB3" w14:textId="77777777" w:rsidR="0047501B" w:rsidRDefault="00000000" w:rsidP="005B3AE7">
      <w:pPr>
        <w:pStyle w:val="text-base"/>
        <w:jc w:val="both"/>
        <w:rPr>
          <w:lang w:val="en-US"/>
        </w:rPr>
      </w:pPr>
      <w:r w:rsidRPr="00A25014">
        <w:rPr>
          <w:lang w:val="en-US"/>
        </w:rPr>
        <w:t>In HIGH_VOLATILITY (Table 2), Base-stock has the lowest mean cost at 90 days; AI is about 5% higher cost and is not statistically different from Base-stock or Dynamic + Forecast after Holm correction. At 180 days, AI has the lowest mean cost (≈0.7% below Base-stock), but differences versus Base-stock and Dynamic + Forecast remain non-significant after Holm correction.</w:t>
      </w:r>
    </w:p>
    <w:p w14:paraId="115DCAAA" w14:textId="77777777" w:rsidR="00B32827" w:rsidRPr="0073558D" w:rsidRDefault="00B32827" w:rsidP="00B32827">
      <w:pPr>
        <w:pStyle w:val="ng-star-inserted"/>
        <w:spacing w:after="120" w:afterAutospacing="0"/>
        <w:ind w:left="216" w:right="14"/>
        <w:jc w:val="center"/>
        <w:rPr>
          <w:b/>
          <w:bCs/>
          <w:lang w:val="en-US"/>
        </w:rPr>
      </w:pPr>
      <w:r w:rsidRPr="0073558D">
        <w:rPr>
          <w:b/>
          <w:bCs/>
          <w:lang w:val="en-US"/>
        </w:rPr>
        <w:t>Table 2 – Comparative Performance Metrics: High-Volatility Demand Scenario (GA on; 90d and 180d).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2155"/>
        <w:gridCol w:w="1739"/>
        <w:gridCol w:w="2084"/>
        <w:gridCol w:w="1810"/>
      </w:tblGrid>
      <w:tr w:rsidR="00B32827" w14:paraId="4A47D94A" w14:textId="77777777" w:rsidTr="00115971">
        <w:trPr>
          <w:jc w:val="center"/>
        </w:trPr>
        <w:tc>
          <w:tcPr>
            <w:tcW w:w="1949" w:type="dxa"/>
            <w:vAlign w:val="center"/>
          </w:tcPr>
          <w:p w14:paraId="56349DEB" w14:textId="77777777" w:rsidR="00B32827" w:rsidRPr="000361F7" w:rsidRDefault="00B32827" w:rsidP="00115971">
            <w:pPr>
              <w:rPr>
                <w:rFonts w:ascii="Times New Roman" w:hAnsi="Times New Roman" w:cs="Times New Roman"/>
              </w:rPr>
            </w:pPr>
            <w:r w:rsidRPr="000361F7">
              <w:rPr>
                <w:rFonts w:ascii="Times New Roman" w:hAnsi="Times New Roman" w:cs="Times New Roman"/>
                <w:b/>
                <w:sz w:val="18"/>
              </w:rPr>
              <w:lastRenderedPageBreak/>
              <w:t>Policy</w:t>
            </w:r>
          </w:p>
        </w:tc>
        <w:tc>
          <w:tcPr>
            <w:tcW w:w="2157" w:type="dxa"/>
            <w:vAlign w:val="center"/>
          </w:tcPr>
          <w:p w14:paraId="3B9B291F"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b/>
                <w:sz w:val="18"/>
              </w:rPr>
              <w:t>Total cost (90d), mean [95% CI]</w:t>
            </w:r>
          </w:p>
        </w:tc>
        <w:tc>
          <w:tcPr>
            <w:tcW w:w="1741" w:type="dxa"/>
            <w:vAlign w:val="center"/>
          </w:tcPr>
          <w:p w14:paraId="4A85618E"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b/>
                <w:sz w:val="18"/>
              </w:rPr>
              <w:t>Fill rate (90d), mean [95% CI]</w:t>
            </w:r>
          </w:p>
        </w:tc>
        <w:tc>
          <w:tcPr>
            <w:tcW w:w="2086" w:type="dxa"/>
            <w:vAlign w:val="center"/>
          </w:tcPr>
          <w:p w14:paraId="79FC4F83"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b/>
                <w:sz w:val="18"/>
              </w:rPr>
              <w:t>Total cost (180d), mean [95% CI]</w:t>
            </w:r>
          </w:p>
        </w:tc>
        <w:tc>
          <w:tcPr>
            <w:tcW w:w="1812" w:type="dxa"/>
            <w:vAlign w:val="center"/>
          </w:tcPr>
          <w:p w14:paraId="5F834701"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b/>
                <w:sz w:val="18"/>
              </w:rPr>
              <w:t>Fill rate (180d), mean [95% CI]</w:t>
            </w:r>
          </w:p>
        </w:tc>
      </w:tr>
      <w:tr w:rsidR="00B32827" w14:paraId="168D5C52" w14:textId="77777777" w:rsidTr="00115971">
        <w:trPr>
          <w:jc w:val="center"/>
        </w:trPr>
        <w:tc>
          <w:tcPr>
            <w:tcW w:w="1949" w:type="dxa"/>
            <w:vAlign w:val="center"/>
          </w:tcPr>
          <w:p w14:paraId="4167C340"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Static</w:t>
            </w:r>
          </w:p>
        </w:tc>
        <w:tc>
          <w:tcPr>
            <w:tcW w:w="2157" w:type="dxa"/>
            <w:vAlign w:val="center"/>
          </w:tcPr>
          <w:p w14:paraId="44BA4026"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10,346,572 </w:t>
            </w:r>
          </w:p>
          <w:p w14:paraId="383BB9BD"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[10,033,245; 10,672,573]</w:t>
            </w:r>
          </w:p>
        </w:tc>
        <w:tc>
          <w:tcPr>
            <w:tcW w:w="1741" w:type="dxa"/>
            <w:vAlign w:val="center"/>
          </w:tcPr>
          <w:p w14:paraId="66514985"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49.0% </w:t>
            </w:r>
          </w:p>
          <w:p w14:paraId="577E668E"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[48.1%; 49.8%]</w:t>
            </w:r>
          </w:p>
        </w:tc>
        <w:tc>
          <w:tcPr>
            <w:tcW w:w="2086" w:type="dxa"/>
            <w:vAlign w:val="center"/>
          </w:tcPr>
          <w:p w14:paraId="27313D5D"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21,038,242 </w:t>
            </w:r>
          </w:p>
          <w:p w14:paraId="270BE237"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[20,584,973; 21,499,017]</w:t>
            </w:r>
          </w:p>
        </w:tc>
        <w:tc>
          <w:tcPr>
            <w:tcW w:w="1812" w:type="dxa"/>
            <w:vAlign w:val="center"/>
          </w:tcPr>
          <w:p w14:paraId="0DF2321F"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48.9% </w:t>
            </w:r>
          </w:p>
          <w:p w14:paraId="1F799672"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[48.4%; 49.3%]</w:t>
            </w:r>
          </w:p>
        </w:tc>
      </w:tr>
      <w:tr w:rsidR="00B32827" w14:paraId="67F0A496" w14:textId="77777777" w:rsidTr="00115971">
        <w:trPr>
          <w:jc w:val="center"/>
        </w:trPr>
        <w:tc>
          <w:tcPr>
            <w:tcW w:w="1949" w:type="dxa"/>
            <w:vAlign w:val="center"/>
          </w:tcPr>
          <w:p w14:paraId="481B8583"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Dynamic</w:t>
            </w:r>
          </w:p>
        </w:tc>
        <w:tc>
          <w:tcPr>
            <w:tcW w:w="2157" w:type="dxa"/>
            <w:vAlign w:val="center"/>
          </w:tcPr>
          <w:p w14:paraId="62DDD69E"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6,516,111 </w:t>
            </w:r>
          </w:p>
          <w:p w14:paraId="737F580B"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[6,272,927; 6,774,782]</w:t>
            </w:r>
          </w:p>
        </w:tc>
        <w:tc>
          <w:tcPr>
            <w:tcW w:w="1741" w:type="dxa"/>
            <w:vAlign w:val="center"/>
          </w:tcPr>
          <w:p w14:paraId="7761865E"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68.5% </w:t>
            </w:r>
          </w:p>
          <w:p w14:paraId="736CC566"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[68.1%; 68.9%]</w:t>
            </w:r>
          </w:p>
        </w:tc>
        <w:tc>
          <w:tcPr>
            <w:tcW w:w="2086" w:type="dxa"/>
            <w:vAlign w:val="center"/>
          </w:tcPr>
          <w:p w14:paraId="2EDDC0A2"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12,634,834 </w:t>
            </w:r>
          </w:p>
          <w:p w14:paraId="0C33D3F5"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[12,309,847; 12,996,835]</w:t>
            </w:r>
          </w:p>
        </w:tc>
        <w:tc>
          <w:tcPr>
            <w:tcW w:w="1812" w:type="dxa"/>
            <w:vAlign w:val="center"/>
          </w:tcPr>
          <w:p w14:paraId="3B570DF5"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69.8% </w:t>
            </w:r>
          </w:p>
          <w:p w14:paraId="15BF5370"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[69.4%; 70.1%]</w:t>
            </w:r>
          </w:p>
        </w:tc>
      </w:tr>
      <w:tr w:rsidR="00B32827" w14:paraId="38F6B041" w14:textId="77777777" w:rsidTr="00115971">
        <w:trPr>
          <w:jc w:val="center"/>
        </w:trPr>
        <w:tc>
          <w:tcPr>
            <w:tcW w:w="1949" w:type="dxa"/>
            <w:vAlign w:val="center"/>
          </w:tcPr>
          <w:p w14:paraId="15E6F17A"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Dynamic + Forecast</w:t>
            </w:r>
          </w:p>
        </w:tc>
        <w:tc>
          <w:tcPr>
            <w:tcW w:w="2157" w:type="dxa"/>
            <w:vAlign w:val="center"/>
          </w:tcPr>
          <w:p w14:paraId="57CA86C6"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1,003,714 </w:t>
            </w:r>
          </w:p>
          <w:p w14:paraId="0FA12F47"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[907,356; 1,101,321]</w:t>
            </w:r>
          </w:p>
        </w:tc>
        <w:tc>
          <w:tcPr>
            <w:tcW w:w="1741" w:type="dxa"/>
            <w:vAlign w:val="center"/>
          </w:tcPr>
          <w:p w14:paraId="359F6600"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95.5% </w:t>
            </w:r>
          </w:p>
          <w:p w14:paraId="3F18D21C"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[95.1%; 95.8%]</w:t>
            </w:r>
          </w:p>
        </w:tc>
        <w:tc>
          <w:tcPr>
            <w:tcW w:w="2086" w:type="dxa"/>
            <w:vAlign w:val="center"/>
          </w:tcPr>
          <w:p w14:paraId="36415A48"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1,190,446 </w:t>
            </w:r>
          </w:p>
          <w:p w14:paraId="04315B65"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[1,056,514; 1,332,388]</w:t>
            </w:r>
          </w:p>
        </w:tc>
        <w:tc>
          <w:tcPr>
            <w:tcW w:w="1812" w:type="dxa"/>
            <w:vAlign w:val="center"/>
          </w:tcPr>
          <w:p w14:paraId="748BDFFF"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97.5% </w:t>
            </w:r>
          </w:p>
          <w:p w14:paraId="351D1D38"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[97.3%; 97.7%]</w:t>
            </w:r>
          </w:p>
        </w:tc>
      </w:tr>
      <w:tr w:rsidR="00B32827" w14:paraId="4098A350" w14:textId="77777777" w:rsidTr="00115971">
        <w:trPr>
          <w:jc w:val="center"/>
        </w:trPr>
        <w:tc>
          <w:tcPr>
            <w:tcW w:w="1949" w:type="dxa"/>
            <w:vAlign w:val="center"/>
          </w:tcPr>
          <w:p w14:paraId="6AD48F51"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Base-stock (Uncertain)</w:t>
            </w:r>
          </w:p>
        </w:tc>
        <w:tc>
          <w:tcPr>
            <w:tcW w:w="2157" w:type="dxa"/>
            <w:vAlign w:val="center"/>
          </w:tcPr>
          <w:p w14:paraId="778B113B"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995,125 </w:t>
            </w:r>
          </w:p>
          <w:p w14:paraId="2D20F98C"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[895,660; 1,104,238]</w:t>
            </w:r>
          </w:p>
        </w:tc>
        <w:tc>
          <w:tcPr>
            <w:tcW w:w="1741" w:type="dxa"/>
            <w:vAlign w:val="center"/>
          </w:tcPr>
          <w:p w14:paraId="6512461A"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95.5% </w:t>
            </w:r>
          </w:p>
          <w:p w14:paraId="09182FE9"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[95.2%; 95.9%]</w:t>
            </w:r>
          </w:p>
        </w:tc>
        <w:tc>
          <w:tcPr>
            <w:tcW w:w="2086" w:type="dxa"/>
            <w:vAlign w:val="center"/>
          </w:tcPr>
          <w:p w14:paraId="7FF2B6A9"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1,118,782 </w:t>
            </w:r>
          </w:p>
          <w:p w14:paraId="1D567A5E"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[1,001,882; 1,250,873]</w:t>
            </w:r>
          </w:p>
        </w:tc>
        <w:tc>
          <w:tcPr>
            <w:tcW w:w="1812" w:type="dxa"/>
            <w:vAlign w:val="center"/>
          </w:tcPr>
          <w:p w14:paraId="19A11D20"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97.7% </w:t>
            </w:r>
          </w:p>
          <w:p w14:paraId="54E71836"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[97.4%; 97.9%]</w:t>
            </w:r>
          </w:p>
        </w:tc>
      </w:tr>
      <w:tr w:rsidR="00B32827" w14:paraId="3E869B3A" w14:textId="77777777" w:rsidTr="00115971">
        <w:trPr>
          <w:jc w:val="center"/>
        </w:trPr>
        <w:tc>
          <w:tcPr>
            <w:tcW w:w="1949" w:type="dxa"/>
            <w:vAlign w:val="center"/>
          </w:tcPr>
          <w:p w14:paraId="3ABE09C8" w14:textId="77777777" w:rsidR="00B32827" w:rsidRPr="000361F7" w:rsidRDefault="00B32827" w:rsidP="00115971">
            <w:pPr>
              <w:rPr>
                <w:rFonts w:ascii="Times New Roman" w:hAnsi="Times New Roman" w:cs="Times New Roman"/>
              </w:rPr>
            </w:pPr>
            <w:r w:rsidRPr="000361F7">
              <w:rPr>
                <w:rFonts w:ascii="Times New Roman" w:hAnsi="Times New Roman" w:cs="Times New Roman"/>
                <w:sz w:val="18"/>
              </w:rPr>
              <w:t>Hybrid AI</w:t>
            </w:r>
          </w:p>
        </w:tc>
        <w:tc>
          <w:tcPr>
            <w:tcW w:w="2157" w:type="dxa"/>
            <w:vAlign w:val="center"/>
          </w:tcPr>
          <w:p w14:paraId="278A0FB4"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1,045,249 </w:t>
            </w:r>
          </w:p>
          <w:p w14:paraId="76894241"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[948,960; 1,150,847]</w:t>
            </w:r>
          </w:p>
        </w:tc>
        <w:tc>
          <w:tcPr>
            <w:tcW w:w="1741" w:type="dxa"/>
            <w:vAlign w:val="center"/>
          </w:tcPr>
          <w:p w14:paraId="0ABFBDF7"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95.3% </w:t>
            </w:r>
          </w:p>
          <w:p w14:paraId="78E75411"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[95.0%; 95.6%]</w:t>
            </w:r>
          </w:p>
        </w:tc>
        <w:tc>
          <w:tcPr>
            <w:tcW w:w="2086" w:type="dxa"/>
            <w:vAlign w:val="center"/>
          </w:tcPr>
          <w:p w14:paraId="5D90F7E0"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1,110,667 </w:t>
            </w:r>
          </w:p>
          <w:p w14:paraId="1D823534"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[995,162; 1,233,528]</w:t>
            </w:r>
          </w:p>
        </w:tc>
        <w:tc>
          <w:tcPr>
            <w:tcW w:w="1812" w:type="dxa"/>
            <w:vAlign w:val="center"/>
          </w:tcPr>
          <w:p w14:paraId="273FC3CA" w14:textId="77777777" w:rsidR="00B32827" w:rsidRDefault="00B32827" w:rsidP="00115971">
            <w:pPr>
              <w:jc w:val="center"/>
              <w:rPr>
                <w:rFonts w:ascii="Times New Roman" w:hAnsi="Times New Roman" w:cs="Times New Roman"/>
                <w:sz w:val="18"/>
              </w:rPr>
            </w:pPr>
            <w:r w:rsidRPr="000361F7">
              <w:rPr>
                <w:rFonts w:ascii="Times New Roman" w:hAnsi="Times New Roman" w:cs="Times New Roman"/>
                <w:sz w:val="18"/>
              </w:rPr>
              <w:t xml:space="preserve">97.7% </w:t>
            </w:r>
          </w:p>
          <w:p w14:paraId="5446E330" w14:textId="77777777" w:rsidR="00B32827" w:rsidRPr="000361F7" w:rsidRDefault="00B32827" w:rsidP="00115971">
            <w:pPr>
              <w:jc w:val="center"/>
              <w:rPr>
                <w:rFonts w:ascii="Times New Roman" w:hAnsi="Times New Roman" w:cs="Times New Roman"/>
              </w:rPr>
            </w:pPr>
            <w:r w:rsidRPr="000361F7">
              <w:rPr>
                <w:rFonts w:ascii="Times New Roman" w:hAnsi="Times New Roman" w:cs="Times New Roman"/>
                <w:sz w:val="18"/>
              </w:rPr>
              <w:t>[97.5%; 97.9%]</w:t>
            </w:r>
          </w:p>
        </w:tc>
      </w:tr>
    </w:tbl>
    <w:p>
      <w:r>
        <w:rPr>
          <w:i/>
        </w:rPr>
        <w:t>Note: Costs and service metrics are computed over the evaluation window only (days 29 through T). Warm-up days 1–28 are excluded from all reported summaries.</w:t>
      </w:r>
    </w:p>
    <w:p w14:paraId="4CFDE466" w14:textId="77777777" w:rsidR="00076B08" w:rsidRDefault="00076B08" w:rsidP="00076B08">
      <w:pPr>
        <w:pStyle w:val="text-base"/>
        <w:jc w:val="both"/>
        <w:rPr>
          <w:lang w:val="en-US"/>
        </w:rPr>
      </w:pPr>
      <w:r w:rsidRPr="00A25014">
        <w:rPr>
          <w:lang w:val="en-US"/>
        </w:rPr>
        <w:t>In SUPPLY_DISRUPTION (Table 3), Dynamic is the lowest-cost policy at both horizons. Hybrid AI collapses: ordering and routing costs approach zero, fill rates remain below 2%, and total cost increases by about 85% (90d) to 94% (180d) relative to the best baseline (Holm p &lt; 0.001).</w:t>
      </w:r>
    </w:p>
    <w:p w14:paraId="432FFF36" w14:textId="77777777" w:rsidR="00B32827" w:rsidRPr="0073558D" w:rsidRDefault="00B32827" w:rsidP="00B32827">
      <w:pPr>
        <w:pStyle w:val="ng-star-inserted"/>
        <w:spacing w:after="120" w:afterAutospacing="0"/>
        <w:ind w:left="216" w:right="14"/>
        <w:jc w:val="center"/>
        <w:rPr>
          <w:b/>
          <w:bCs/>
          <w:lang w:val="en-US"/>
        </w:rPr>
      </w:pPr>
      <w:r w:rsidRPr="0073558D">
        <w:rPr>
          <w:b/>
          <w:bCs/>
          <w:lang w:val="en-US"/>
        </w:rPr>
        <w:t>Table 3 – Comparative Performance Metrics: Supply Disruption Scenario (GA on; 90d and 180d).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7"/>
        <w:gridCol w:w="2155"/>
        <w:gridCol w:w="1558"/>
        <w:gridCol w:w="2129"/>
        <w:gridCol w:w="1947"/>
      </w:tblGrid>
      <w:tr w:rsidR="00B32827" w14:paraId="415AEFCB" w14:textId="77777777" w:rsidTr="00115971">
        <w:trPr>
          <w:jc w:val="center"/>
        </w:trPr>
        <w:tc>
          <w:tcPr>
            <w:tcW w:w="1949" w:type="dxa"/>
            <w:vAlign w:val="center"/>
          </w:tcPr>
          <w:p w14:paraId="235E9283"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Policy</w:t>
            </w:r>
          </w:p>
        </w:tc>
        <w:tc>
          <w:tcPr>
            <w:tcW w:w="2157" w:type="dxa"/>
            <w:vAlign w:val="center"/>
          </w:tcPr>
          <w:p w14:paraId="7E276189"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Total cost (90d), mean [95% CI]</w:t>
            </w:r>
          </w:p>
        </w:tc>
        <w:tc>
          <w:tcPr>
            <w:tcW w:w="1559" w:type="dxa"/>
            <w:vAlign w:val="center"/>
          </w:tcPr>
          <w:p w14:paraId="47D5BC94"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Fill rate (90d), mean [95% CI]</w:t>
            </w:r>
          </w:p>
        </w:tc>
        <w:tc>
          <w:tcPr>
            <w:tcW w:w="2131" w:type="dxa"/>
            <w:vAlign w:val="center"/>
          </w:tcPr>
          <w:p w14:paraId="6DB064B0"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Total cost (180d), mean [95% CI]</w:t>
            </w:r>
          </w:p>
        </w:tc>
        <w:tc>
          <w:tcPr>
            <w:tcW w:w="1949" w:type="dxa"/>
            <w:vAlign w:val="center"/>
          </w:tcPr>
          <w:p w14:paraId="2313957F"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Fill rate (180d), mean [95% CI]</w:t>
            </w:r>
          </w:p>
        </w:tc>
      </w:tr>
      <w:tr w:rsidR="00B32827" w14:paraId="4BC4BF0A" w14:textId="77777777" w:rsidTr="00115971">
        <w:trPr>
          <w:jc w:val="center"/>
        </w:trPr>
        <w:tc>
          <w:tcPr>
            <w:tcW w:w="1949" w:type="dxa"/>
            <w:vAlign w:val="center"/>
          </w:tcPr>
          <w:p w14:paraId="58AE2399" w14:textId="77777777" w:rsidR="00B32827" w:rsidRPr="007B218B" w:rsidRDefault="00B32827" w:rsidP="00115971">
            <w:pPr>
              <w:rPr>
                <w:rFonts w:ascii="Times New Roman" w:hAnsi="Times New Roman" w:cs="Times New Roman"/>
                <w:sz w:val="18"/>
              </w:rPr>
            </w:pPr>
            <w:r w:rsidRPr="007B218B">
              <w:rPr>
                <w:rFonts w:ascii="Times New Roman" w:hAnsi="Times New Roman" w:cs="Times New Roman"/>
                <w:sz w:val="18"/>
              </w:rPr>
              <w:t>Static</w:t>
            </w:r>
          </w:p>
        </w:tc>
        <w:tc>
          <w:tcPr>
            <w:tcW w:w="2157" w:type="dxa"/>
            <w:vAlign w:val="center"/>
          </w:tcPr>
          <w:p w14:paraId="2B989128"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12,406,027</w:t>
            </w:r>
          </w:p>
          <w:p w14:paraId="17056694"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[12,090,553; 12,744,667]</w:t>
            </w:r>
          </w:p>
        </w:tc>
        <w:tc>
          <w:tcPr>
            <w:tcW w:w="1559" w:type="dxa"/>
            <w:vAlign w:val="center"/>
          </w:tcPr>
          <w:p w14:paraId="453CF456"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42.8%</w:t>
            </w:r>
          </w:p>
          <w:p w14:paraId="4E766667"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[42.5%; 43.2%]</w:t>
            </w:r>
          </w:p>
        </w:tc>
        <w:tc>
          <w:tcPr>
            <w:tcW w:w="2131" w:type="dxa"/>
            <w:vAlign w:val="center"/>
          </w:tcPr>
          <w:p w14:paraId="2F434B1F"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24,159,402 [23,710,592; 24,620,273]</w:t>
            </w:r>
          </w:p>
        </w:tc>
        <w:tc>
          <w:tcPr>
            <w:tcW w:w="1949" w:type="dxa"/>
            <w:vAlign w:val="center"/>
          </w:tcPr>
          <w:p w14:paraId="43A5A599"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43.8%</w:t>
            </w:r>
          </w:p>
          <w:p w14:paraId="44CEC768"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[43.5%; 44.0%]</w:t>
            </w:r>
          </w:p>
        </w:tc>
      </w:tr>
      <w:tr w:rsidR="00B32827" w14:paraId="22BBDC3C" w14:textId="77777777" w:rsidTr="00115971">
        <w:trPr>
          <w:jc w:val="center"/>
        </w:trPr>
        <w:tc>
          <w:tcPr>
            <w:tcW w:w="1949" w:type="dxa"/>
            <w:vAlign w:val="center"/>
          </w:tcPr>
          <w:p w14:paraId="55E1CFCD" w14:textId="77777777" w:rsidR="00B32827" w:rsidRPr="007B218B" w:rsidRDefault="00B32827" w:rsidP="00115971">
            <w:pPr>
              <w:rPr>
                <w:rFonts w:ascii="Times New Roman" w:hAnsi="Times New Roman" w:cs="Times New Roman"/>
                <w:sz w:val="18"/>
              </w:rPr>
            </w:pPr>
            <w:r w:rsidRPr="007B218B">
              <w:rPr>
                <w:rFonts w:ascii="Times New Roman" w:hAnsi="Times New Roman" w:cs="Times New Roman"/>
                <w:sz w:val="18"/>
              </w:rPr>
              <w:t>Dynamic</w:t>
            </w:r>
          </w:p>
        </w:tc>
        <w:tc>
          <w:tcPr>
            <w:tcW w:w="2157" w:type="dxa"/>
            <w:vAlign w:val="center"/>
          </w:tcPr>
          <w:p w14:paraId="52EDDE43"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11,449,069</w:t>
            </w:r>
          </w:p>
          <w:p w14:paraId="0A7494AC"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[11,117,358; 11,790,057]</w:t>
            </w:r>
          </w:p>
        </w:tc>
        <w:tc>
          <w:tcPr>
            <w:tcW w:w="1559" w:type="dxa"/>
            <w:vAlign w:val="center"/>
          </w:tcPr>
          <w:p w14:paraId="35784647"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47.2%</w:t>
            </w:r>
          </w:p>
          <w:p w14:paraId="622CE9AF"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[46.7%; 47.6%]</w:t>
            </w:r>
          </w:p>
        </w:tc>
        <w:tc>
          <w:tcPr>
            <w:tcW w:w="2131" w:type="dxa"/>
            <w:vAlign w:val="center"/>
          </w:tcPr>
          <w:p w14:paraId="700DBAE2"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21,893,702 [21,428,378; 22,382,376]</w:t>
            </w:r>
          </w:p>
        </w:tc>
        <w:tc>
          <w:tcPr>
            <w:tcW w:w="1949" w:type="dxa"/>
            <w:vAlign w:val="center"/>
          </w:tcPr>
          <w:p w14:paraId="59C767E9"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49.3%</w:t>
            </w:r>
          </w:p>
          <w:p w14:paraId="51EA4091"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[49.0%; 49.6%]</w:t>
            </w:r>
          </w:p>
        </w:tc>
      </w:tr>
      <w:tr w:rsidR="00B32827" w14:paraId="10ACBD0A" w14:textId="77777777" w:rsidTr="00115971">
        <w:trPr>
          <w:jc w:val="center"/>
        </w:trPr>
        <w:tc>
          <w:tcPr>
            <w:tcW w:w="1949" w:type="dxa"/>
            <w:vAlign w:val="center"/>
          </w:tcPr>
          <w:p w14:paraId="1BFCB04F" w14:textId="77777777" w:rsidR="00B32827" w:rsidRPr="007B218B" w:rsidRDefault="00B32827" w:rsidP="00115971">
            <w:pPr>
              <w:rPr>
                <w:rFonts w:ascii="Times New Roman" w:hAnsi="Times New Roman" w:cs="Times New Roman"/>
                <w:sz w:val="18"/>
              </w:rPr>
            </w:pPr>
            <w:r w:rsidRPr="007B218B">
              <w:rPr>
                <w:rFonts w:ascii="Times New Roman" w:hAnsi="Times New Roman" w:cs="Times New Roman"/>
                <w:sz w:val="18"/>
              </w:rPr>
              <w:t>Dynamic + Forecast</w:t>
            </w:r>
          </w:p>
        </w:tc>
        <w:tc>
          <w:tcPr>
            <w:tcW w:w="2157" w:type="dxa"/>
            <w:vAlign w:val="center"/>
          </w:tcPr>
          <w:p w14:paraId="48047741"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14,712,293</w:t>
            </w:r>
          </w:p>
          <w:p w14:paraId="6E5FC710"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[14,373,888; 15,069,346]</w:t>
            </w:r>
          </w:p>
        </w:tc>
        <w:tc>
          <w:tcPr>
            <w:tcW w:w="1559" w:type="dxa"/>
            <w:vAlign w:val="center"/>
          </w:tcPr>
          <w:p w14:paraId="6B649178"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51.1%</w:t>
            </w:r>
          </w:p>
          <w:p w14:paraId="0C2D8EB9"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[50.6%; 51.6%]</w:t>
            </w:r>
          </w:p>
        </w:tc>
        <w:tc>
          <w:tcPr>
            <w:tcW w:w="2131" w:type="dxa"/>
            <w:vAlign w:val="center"/>
          </w:tcPr>
          <w:p w14:paraId="4AC918DC"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24,175,303 [23,648,320; 24,682,242]</w:t>
            </w:r>
          </w:p>
        </w:tc>
        <w:tc>
          <w:tcPr>
            <w:tcW w:w="1949" w:type="dxa"/>
            <w:vAlign w:val="center"/>
          </w:tcPr>
          <w:p w14:paraId="1FCB9EF8"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75.5%</w:t>
            </w:r>
          </w:p>
          <w:p w14:paraId="619E4AE9"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[75.2%; 75.7%]</w:t>
            </w:r>
          </w:p>
        </w:tc>
      </w:tr>
      <w:tr w:rsidR="00B32827" w14:paraId="1F08AA53" w14:textId="77777777" w:rsidTr="00115971">
        <w:trPr>
          <w:jc w:val="center"/>
        </w:trPr>
        <w:tc>
          <w:tcPr>
            <w:tcW w:w="1949" w:type="dxa"/>
            <w:vAlign w:val="center"/>
          </w:tcPr>
          <w:p w14:paraId="4DDCEDCB" w14:textId="77777777" w:rsidR="00B32827" w:rsidRPr="007B218B" w:rsidRDefault="00B32827" w:rsidP="00115971">
            <w:pPr>
              <w:rPr>
                <w:rFonts w:ascii="Times New Roman" w:hAnsi="Times New Roman" w:cs="Times New Roman"/>
                <w:sz w:val="18"/>
              </w:rPr>
            </w:pPr>
            <w:r w:rsidRPr="007B218B">
              <w:rPr>
                <w:rFonts w:ascii="Times New Roman" w:hAnsi="Times New Roman" w:cs="Times New Roman"/>
                <w:sz w:val="18"/>
              </w:rPr>
              <w:t>Base-stock (Uncertain)</w:t>
            </w:r>
          </w:p>
        </w:tc>
        <w:tc>
          <w:tcPr>
            <w:tcW w:w="2157" w:type="dxa"/>
            <w:vAlign w:val="center"/>
          </w:tcPr>
          <w:p w14:paraId="2F9B5153"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14,832,752</w:t>
            </w:r>
          </w:p>
          <w:p w14:paraId="748BA90D"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[14,439,809; 15,263,267]</w:t>
            </w:r>
          </w:p>
        </w:tc>
        <w:tc>
          <w:tcPr>
            <w:tcW w:w="1559" w:type="dxa"/>
            <w:vAlign w:val="center"/>
          </w:tcPr>
          <w:p w14:paraId="2CE15800"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51.0%</w:t>
            </w:r>
          </w:p>
          <w:p w14:paraId="5BF9D0A4"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[50.5%; 51.5%]</w:t>
            </w:r>
          </w:p>
        </w:tc>
        <w:tc>
          <w:tcPr>
            <w:tcW w:w="2131" w:type="dxa"/>
            <w:vAlign w:val="center"/>
          </w:tcPr>
          <w:p w14:paraId="19C5F8D9"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24,391,523 [23,884,653; 24,904,111]</w:t>
            </w:r>
          </w:p>
        </w:tc>
        <w:tc>
          <w:tcPr>
            <w:tcW w:w="1949" w:type="dxa"/>
            <w:vAlign w:val="center"/>
          </w:tcPr>
          <w:p w14:paraId="5AE86B6E"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75.3%</w:t>
            </w:r>
          </w:p>
          <w:p w14:paraId="216E498F"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[75.0%; 75.6%]</w:t>
            </w:r>
          </w:p>
        </w:tc>
      </w:tr>
      <w:tr w:rsidR="00B32827" w14:paraId="6C834282" w14:textId="77777777" w:rsidTr="00115971">
        <w:trPr>
          <w:jc w:val="center"/>
        </w:trPr>
        <w:tc>
          <w:tcPr>
            <w:tcW w:w="1949" w:type="dxa"/>
            <w:vAlign w:val="center"/>
          </w:tcPr>
          <w:p w14:paraId="2A7AEE8C" w14:textId="77777777" w:rsidR="00B32827" w:rsidRPr="007B218B" w:rsidRDefault="00B32827" w:rsidP="00115971">
            <w:pPr>
              <w:rPr>
                <w:rFonts w:ascii="Times New Roman" w:hAnsi="Times New Roman" w:cs="Times New Roman"/>
                <w:sz w:val="18"/>
              </w:rPr>
            </w:pPr>
            <w:r w:rsidRPr="007B218B">
              <w:rPr>
                <w:rFonts w:ascii="Times New Roman" w:hAnsi="Times New Roman" w:cs="Times New Roman"/>
                <w:sz w:val="18"/>
              </w:rPr>
              <w:t>Hybrid AI</w:t>
            </w:r>
          </w:p>
        </w:tc>
        <w:tc>
          <w:tcPr>
            <w:tcW w:w="2157" w:type="dxa"/>
            <w:vAlign w:val="center"/>
          </w:tcPr>
          <w:p w14:paraId="491E33C5"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21,139,616</w:t>
            </w:r>
          </w:p>
          <w:p w14:paraId="26B4EE46"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[20,749,118; 21,535,272]</w:t>
            </w:r>
          </w:p>
        </w:tc>
        <w:tc>
          <w:tcPr>
            <w:tcW w:w="1559" w:type="dxa"/>
            <w:vAlign w:val="center"/>
          </w:tcPr>
          <w:p w14:paraId="0625C7E1"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1.7%</w:t>
            </w:r>
          </w:p>
          <w:p w14:paraId="7271AB0C"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[1.7%; 1.7%]</w:t>
            </w:r>
          </w:p>
        </w:tc>
        <w:tc>
          <w:tcPr>
            <w:tcW w:w="2131" w:type="dxa"/>
            <w:vAlign w:val="center"/>
          </w:tcPr>
          <w:p w14:paraId="0DBBE0ED"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42,453,194 [41,802,375; 43,102,411]</w:t>
            </w:r>
          </w:p>
        </w:tc>
        <w:tc>
          <w:tcPr>
            <w:tcW w:w="1949" w:type="dxa"/>
            <w:vAlign w:val="center"/>
          </w:tcPr>
          <w:p w14:paraId="7BB0976C" w14:textId="77777777" w:rsidR="00B32827" w:rsidRDefault="00B32827" w:rsidP="00115971">
            <w:pPr>
              <w:jc w:val="center"/>
              <w:rPr>
                <w:rFonts w:ascii="Times New Roman" w:hAnsi="Times New Roman" w:cs="Times New Roman"/>
                <w:sz w:val="18"/>
              </w:rPr>
            </w:pPr>
            <w:r w:rsidRPr="007B218B">
              <w:rPr>
                <w:rFonts w:ascii="Times New Roman" w:hAnsi="Times New Roman" w:cs="Times New Roman"/>
                <w:sz w:val="18"/>
              </w:rPr>
              <w:t>0.9%</w:t>
            </w:r>
          </w:p>
          <w:p w14:paraId="40ADF455" w14:textId="77777777" w:rsidR="00B32827" w:rsidRPr="007B218B" w:rsidRDefault="00B32827" w:rsidP="00115971">
            <w:pPr>
              <w:jc w:val="center"/>
              <w:rPr>
                <w:rFonts w:ascii="Times New Roman" w:hAnsi="Times New Roman" w:cs="Times New Roman"/>
                <w:sz w:val="18"/>
              </w:rPr>
            </w:pPr>
            <w:r w:rsidRPr="007B218B">
              <w:rPr>
                <w:rFonts w:ascii="Times New Roman" w:hAnsi="Times New Roman" w:cs="Times New Roman"/>
                <w:sz w:val="18"/>
              </w:rPr>
              <w:t>[0.8%; 0.9%]</w:t>
            </w:r>
          </w:p>
        </w:tc>
      </w:tr>
    </w:tbl>
    <w:p>
      <w:r>
        <w:rPr>
          <w:i/>
        </w:rPr>
        <w:t>Note: Costs and service metrics are computed over the evaluation window only (days 29 through T). Warm-up days 1–28 are excluded from all reported summaries.</w:t>
      </w:r>
    </w:p>
    <w:p w14:paraId="029B6912" w14:textId="77777777" w:rsidR="00B32827" w:rsidRPr="007B218B" w:rsidRDefault="00B32827" w:rsidP="00B32827">
      <w:pPr>
        <w:pStyle w:val="text-base"/>
        <w:jc w:val="both"/>
        <w:rPr>
          <w:lang w:val="en-US"/>
        </w:rPr>
      </w:pPr>
      <w:r w:rsidRPr="00A25014">
        <w:rPr>
          <w:lang w:val="en-US"/>
        </w:rPr>
        <w:t>In SEASONAL_SURGE (Table 4), Base-stock yields the lowest mean cost at both horizons. Hybrid AI improves over Static and Dynamic, but it remains worse than Base-stock and Dynamic + Forecast. Relative to Base-stock, AI increases mean cost by about 29% at 90 days and 20% at 180 days (Holm p &lt; 0.01).</w:t>
      </w:r>
    </w:p>
    <w:p w14:paraId="1F1A8420" w14:textId="77777777" w:rsidR="00B32827" w:rsidRPr="0073558D" w:rsidRDefault="00B32827" w:rsidP="00B32827">
      <w:pPr>
        <w:pStyle w:val="ng-star-inserted"/>
        <w:spacing w:after="120" w:afterAutospacing="0"/>
        <w:ind w:left="216" w:right="14"/>
        <w:jc w:val="center"/>
        <w:rPr>
          <w:b/>
          <w:bCs/>
          <w:lang w:val="en-US"/>
        </w:rPr>
      </w:pPr>
      <w:r w:rsidRPr="0073558D">
        <w:rPr>
          <w:b/>
          <w:bCs/>
          <w:lang w:val="en-US"/>
        </w:rPr>
        <w:t>Table 4 – Comparative Performance Metrics: Seasonal Surge Scenario (GA on; 90d and 180d).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2155"/>
        <w:gridCol w:w="1739"/>
        <w:gridCol w:w="2084"/>
        <w:gridCol w:w="1810"/>
      </w:tblGrid>
      <w:tr w:rsidR="00B32827" w14:paraId="66DF13B5" w14:textId="77777777" w:rsidTr="00115971">
        <w:trPr>
          <w:jc w:val="center"/>
        </w:trPr>
        <w:tc>
          <w:tcPr>
            <w:tcW w:w="1949" w:type="dxa"/>
            <w:vAlign w:val="center"/>
          </w:tcPr>
          <w:p w14:paraId="574B7606"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Policy</w:t>
            </w:r>
          </w:p>
        </w:tc>
        <w:tc>
          <w:tcPr>
            <w:tcW w:w="2157" w:type="dxa"/>
            <w:vAlign w:val="center"/>
          </w:tcPr>
          <w:p w14:paraId="04FBB015"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Total cost (90d), mean [95% CI]</w:t>
            </w:r>
          </w:p>
        </w:tc>
        <w:tc>
          <w:tcPr>
            <w:tcW w:w="1741" w:type="dxa"/>
            <w:vAlign w:val="center"/>
          </w:tcPr>
          <w:p w14:paraId="469EB852"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Fill rate (90d), mean [95% CI]</w:t>
            </w:r>
          </w:p>
        </w:tc>
        <w:tc>
          <w:tcPr>
            <w:tcW w:w="2086" w:type="dxa"/>
            <w:vAlign w:val="center"/>
          </w:tcPr>
          <w:p w14:paraId="5211FF73"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Total cost (180d), mean [95% CI]</w:t>
            </w:r>
          </w:p>
        </w:tc>
        <w:tc>
          <w:tcPr>
            <w:tcW w:w="1812" w:type="dxa"/>
            <w:vAlign w:val="center"/>
          </w:tcPr>
          <w:p w14:paraId="1781BA91" w14:textId="77777777" w:rsidR="00B32827" w:rsidRPr="007B218B" w:rsidRDefault="00B32827" w:rsidP="00115971">
            <w:pPr>
              <w:rPr>
                <w:rFonts w:ascii="Times New Roman" w:hAnsi="Times New Roman" w:cs="Times New Roman"/>
                <w:b/>
                <w:sz w:val="18"/>
              </w:rPr>
            </w:pPr>
            <w:r w:rsidRPr="007B218B">
              <w:rPr>
                <w:rFonts w:ascii="Times New Roman" w:hAnsi="Times New Roman" w:cs="Times New Roman"/>
                <w:b/>
                <w:sz w:val="18"/>
              </w:rPr>
              <w:t>Fill rate (180d), mean [95% CI]</w:t>
            </w:r>
          </w:p>
        </w:tc>
      </w:tr>
      <w:tr w:rsidR="00B32827" w14:paraId="2AC11E70" w14:textId="77777777" w:rsidTr="00115971">
        <w:trPr>
          <w:jc w:val="center"/>
        </w:trPr>
        <w:tc>
          <w:tcPr>
            <w:tcW w:w="1949" w:type="dxa"/>
            <w:vAlign w:val="center"/>
          </w:tcPr>
          <w:p w14:paraId="1703E817" w14:textId="77777777" w:rsidR="00B32827" w:rsidRPr="007B218B" w:rsidRDefault="00B32827" w:rsidP="00115971">
            <w:pPr>
              <w:rPr>
                <w:rFonts w:ascii="Times New Roman" w:hAnsi="Times New Roman" w:cs="Times New Roman"/>
                <w:bCs/>
                <w:sz w:val="18"/>
              </w:rPr>
            </w:pPr>
            <w:r w:rsidRPr="007B218B">
              <w:rPr>
                <w:rFonts w:ascii="Times New Roman" w:hAnsi="Times New Roman" w:cs="Times New Roman"/>
                <w:bCs/>
                <w:sz w:val="18"/>
              </w:rPr>
              <w:t>Static</w:t>
            </w:r>
          </w:p>
        </w:tc>
        <w:tc>
          <w:tcPr>
            <w:tcW w:w="2157" w:type="dxa"/>
            <w:vAlign w:val="center"/>
          </w:tcPr>
          <w:p w14:paraId="0BEB6BF6"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13,484,951</w:t>
            </w:r>
          </w:p>
          <w:p w14:paraId="61997948"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[13,062,807; 13,916,450]</w:t>
            </w:r>
          </w:p>
        </w:tc>
        <w:tc>
          <w:tcPr>
            <w:tcW w:w="1741" w:type="dxa"/>
            <w:vAlign w:val="center"/>
          </w:tcPr>
          <w:p w14:paraId="57CEB2D8"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48.3%</w:t>
            </w:r>
          </w:p>
          <w:p w14:paraId="2FAFF3B1"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[47.5%; 48.9%]</w:t>
            </w:r>
          </w:p>
        </w:tc>
        <w:tc>
          <w:tcPr>
            <w:tcW w:w="2086" w:type="dxa"/>
            <w:vAlign w:val="center"/>
          </w:tcPr>
          <w:p w14:paraId="0C24A45F"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25,658,384</w:t>
            </w:r>
          </w:p>
          <w:p w14:paraId="74C28688"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[25,160,511; 26,223,922]</w:t>
            </w:r>
          </w:p>
        </w:tc>
        <w:tc>
          <w:tcPr>
            <w:tcW w:w="1812" w:type="dxa"/>
            <w:vAlign w:val="center"/>
          </w:tcPr>
          <w:p w14:paraId="65B00E2F"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49.6%</w:t>
            </w:r>
          </w:p>
          <w:p w14:paraId="2E1D07CD"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[49.1%; 50.1%]</w:t>
            </w:r>
          </w:p>
        </w:tc>
      </w:tr>
      <w:tr w:rsidR="00B32827" w14:paraId="1ECE4F43" w14:textId="77777777" w:rsidTr="00115971">
        <w:trPr>
          <w:jc w:val="center"/>
        </w:trPr>
        <w:tc>
          <w:tcPr>
            <w:tcW w:w="1949" w:type="dxa"/>
            <w:vAlign w:val="center"/>
          </w:tcPr>
          <w:p w14:paraId="4DB975CB" w14:textId="77777777" w:rsidR="00B32827" w:rsidRPr="007B218B" w:rsidRDefault="00B32827" w:rsidP="00115971">
            <w:pPr>
              <w:rPr>
                <w:rFonts w:ascii="Times New Roman" w:hAnsi="Times New Roman" w:cs="Times New Roman"/>
                <w:bCs/>
                <w:sz w:val="18"/>
              </w:rPr>
            </w:pPr>
            <w:r w:rsidRPr="007B218B">
              <w:rPr>
                <w:rFonts w:ascii="Times New Roman" w:hAnsi="Times New Roman" w:cs="Times New Roman"/>
                <w:bCs/>
                <w:sz w:val="18"/>
              </w:rPr>
              <w:t>Dynamic</w:t>
            </w:r>
          </w:p>
        </w:tc>
        <w:tc>
          <w:tcPr>
            <w:tcW w:w="2157" w:type="dxa"/>
            <w:vAlign w:val="center"/>
          </w:tcPr>
          <w:p w14:paraId="5EE8D50B"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8,832,438</w:t>
            </w:r>
          </w:p>
          <w:p w14:paraId="25420135"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[8,491,625; 9,173,063]</w:t>
            </w:r>
          </w:p>
        </w:tc>
        <w:tc>
          <w:tcPr>
            <w:tcW w:w="1741" w:type="dxa"/>
            <w:vAlign w:val="center"/>
          </w:tcPr>
          <w:p w14:paraId="70350B8B"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66.3%</w:t>
            </w:r>
          </w:p>
          <w:p w14:paraId="3E08C3AA"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[65.8%; 66.8%]</w:t>
            </w:r>
          </w:p>
        </w:tc>
        <w:tc>
          <w:tcPr>
            <w:tcW w:w="2086" w:type="dxa"/>
            <w:vAlign w:val="center"/>
          </w:tcPr>
          <w:p w14:paraId="71472772"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16,144,028</w:t>
            </w:r>
          </w:p>
          <w:p w14:paraId="51C146AF"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[15,723,680; 16,589,276]</w:t>
            </w:r>
          </w:p>
        </w:tc>
        <w:tc>
          <w:tcPr>
            <w:tcW w:w="1812" w:type="dxa"/>
            <w:vAlign w:val="center"/>
          </w:tcPr>
          <w:p w14:paraId="7EC19497"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68.3%</w:t>
            </w:r>
          </w:p>
          <w:p w14:paraId="636E7012"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[67.9%; 68.6%]</w:t>
            </w:r>
          </w:p>
        </w:tc>
      </w:tr>
      <w:tr w:rsidR="00B32827" w14:paraId="54BD6C17" w14:textId="77777777" w:rsidTr="00115971">
        <w:trPr>
          <w:jc w:val="center"/>
        </w:trPr>
        <w:tc>
          <w:tcPr>
            <w:tcW w:w="1949" w:type="dxa"/>
            <w:vAlign w:val="center"/>
          </w:tcPr>
          <w:p w14:paraId="6BC38651" w14:textId="77777777" w:rsidR="00B32827" w:rsidRPr="007B218B" w:rsidRDefault="00B32827" w:rsidP="00115971">
            <w:pPr>
              <w:rPr>
                <w:rFonts w:ascii="Times New Roman" w:hAnsi="Times New Roman" w:cs="Times New Roman"/>
                <w:bCs/>
                <w:sz w:val="18"/>
              </w:rPr>
            </w:pPr>
            <w:r w:rsidRPr="007B218B">
              <w:rPr>
                <w:rFonts w:ascii="Times New Roman" w:hAnsi="Times New Roman" w:cs="Times New Roman"/>
                <w:bCs/>
                <w:sz w:val="18"/>
              </w:rPr>
              <w:t>Dynamic + Forecast</w:t>
            </w:r>
          </w:p>
        </w:tc>
        <w:tc>
          <w:tcPr>
            <w:tcW w:w="2157" w:type="dxa"/>
            <w:vAlign w:val="center"/>
          </w:tcPr>
          <w:p w14:paraId="4704CE7B"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2,027,499</w:t>
            </w:r>
          </w:p>
          <w:p w14:paraId="1E7224AB"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[1,844,194; 2,228,878]</w:t>
            </w:r>
          </w:p>
        </w:tc>
        <w:tc>
          <w:tcPr>
            <w:tcW w:w="1741" w:type="dxa"/>
            <w:vAlign w:val="center"/>
          </w:tcPr>
          <w:p w14:paraId="1BF581C0"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93.6%</w:t>
            </w:r>
          </w:p>
          <w:p w14:paraId="347F5D1F"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[93.2%; 94.0%]</w:t>
            </w:r>
          </w:p>
        </w:tc>
        <w:tc>
          <w:tcPr>
            <w:tcW w:w="2086" w:type="dxa"/>
            <w:vAlign w:val="center"/>
          </w:tcPr>
          <w:p w14:paraId="152434D9"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1,961,911</w:t>
            </w:r>
          </w:p>
          <w:p w14:paraId="290C205B"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[1,825,802; 2,094,761]</w:t>
            </w:r>
          </w:p>
        </w:tc>
        <w:tc>
          <w:tcPr>
            <w:tcW w:w="1812" w:type="dxa"/>
            <w:vAlign w:val="center"/>
          </w:tcPr>
          <w:p w14:paraId="51420D63"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96.7%</w:t>
            </w:r>
          </w:p>
          <w:p w14:paraId="6E086FFF"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[96.5%; 96.9%]</w:t>
            </w:r>
          </w:p>
        </w:tc>
      </w:tr>
      <w:tr w:rsidR="00B32827" w14:paraId="6A26D838" w14:textId="77777777" w:rsidTr="00115971">
        <w:trPr>
          <w:jc w:val="center"/>
        </w:trPr>
        <w:tc>
          <w:tcPr>
            <w:tcW w:w="1949" w:type="dxa"/>
            <w:vAlign w:val="center"/>
          </w:tcPr>
          <w:p w14:paraId="01E8A246" w14:textId="77777777" w:rsidR="00B32827" w:rsidRPr="007B218B" w:rsidRDefault="00B32827" w:rsidP="00115971">
            <w:pPr>
              <w:rPr>
                <w:rFonts w:ascii="Times New Roman" w:hAnsi="Times New Roman" w:cs="Times New Roman"/>
                <w:bCs/>
                <w:sz w:val="18"/>
              </w:rPr>
            </w:pPr>
            <w:r w:rsidRPr="007B218B">
              <w:rPr>
                <w:rFonts w:ascii="Times New Roman" w:hAnsi="Times New Roman" w:cs="Times New Roman"/>
                <w:bCs/>
                <w:sz w:val="18"/>
              </w:rPr>
              <w:t>Base-stock (Uncertain)</w:t>
            </w:r>
          </w:p>
        </w:tc>
        <w:tc>
          <w:tcPr>
            <w:tcW w:w="2157" w:type="dxa"/>
            <w:vAlign w:val="center"/>
          </w:tcPr>
          <w:p w14:paraId="54A60AD4"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1,904,367</w:t>
            </w:r>
          </w:p>
          <w:p w14:paraId="00FA5817"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[1,740,334; 2,089,007]</w:t>
            </w:r>
          </w:p>
        </w:tc>
        <w:tc>
          <w:tcPr>
            <w:tcW w:w="1741" w:type="dxa"/>
            <w:vAlign w:val="center"/>
          </w:tcPr>
          <w:p w14:paraId="1F121225"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94.0%</w:t>
            </w:r>
          </w:p>
          <w:p w14:paraId="134EDA3B"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[93.6%; 94.3%]</w:t>
            </w:r>
          </w:p>
        </w:tc>
        <w:tc>
          <w:tcPr>
            <w:tcW w:w="2086" w:type="dxa"/>
            <w:vAlign w:val="center"/>
          </w:tcPr>
          <w:p w14:paraId="5316BEAB"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1,932,887</w:t>
            </w:r>
          </w:p>
          <w:p w14:paraId="2A9D9547"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[1,791,865; 2,075,153]</w:t>
            </w:r>
          </w:p>
        </w:tc>
        <w:tc>
          <w:tcPr>
            <w:tcW w:w="1812" w:type="dxa"/>
            <w:vAlign w:val="center"/>
          </w:tcPr>
          <w:p w14:paraId="7A749D35"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96.9%</w:t>
            </w:r>
          </w:p>
          <w:p w14:paraId="66BFE0FB"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[96.7%; 97.1%]</w:t>
            </w:r>
          </w:p>
        </w:tc>
      </w:tr>
      <w:tr w:rsidR="00B32827" w14:paraId="78816B51" w14:textId="77777777" w:rsidTr="00115971">
        <w:trPr>
          <w:jc w:val="center"/>
        </w:trPr>
        <w:tc>
          <w:tcPr>
            <w:tcW w:w="1949" w:type="dxa"/>
            <w:vAlign w:val="center"/>
          </w:tcPr>
          <w:p w14:paraId="6F41D0C8" w14:textId="77777777" w:rsidR="00B32827" w:rsidRPr="007B218B" w:rsidRDefault="00B32827" w:rsidP="00115971">
            <w:pPr>
              <w:rPr>
                <w:rFonts w:ascii="Times New Roman" w:hAnsi="Times New Roman" w:cs="Times New Roman"/>
                <w:bCs/>
                <w:sz w:val="18"/>
              </w:rPr>
            </w:pPr>
            <w:r w:rsidRPr="007B218B">
              <w:rPr>
                <w:rFonts w:ascii="Times New Roman" w:hAnsi="Times New Roman" w:cs="Times New Roman"/>
                <w:bCs/>
                <w:sz w:val="18"/>
              </w:rPr>
              <w:t>Hybrid AI</w:t>
            </w:r>
          </w:p>
        </w:tc>
        <w:tc>
          <w:tcPr>
            <w:tcW w:w="2157" w:type="dxa"/>
            <w:vAlign w:val="center"/>
          </w:tcPr>
          <w:p w14:paraId="4AF36CD6"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2,460,174</w:t>
            </w:r>
          </w:p>
          <w:p w14:paraId="77A32209"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[2,218,107; 2,711,996]</w:t>
            </w:r>
          </w:p>
        </w:tc>
        <w:tc>
          <w:tcPr>
            <w:tcW w:w="1741" w:type="dxa"/>
            <w:vAlign w:val="center"/>
          </w:tcPr>
          <w:p w14:paraId="485D9A5F"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91.9%</w:t>
            </w:r>
          </w:p>
          <w:p w14:paraId="49F805F4"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[91.0%; 92.6%]</w:t>
            </w:r>
          </w:p>
        </w:tc>
        <w:tc>
          <w:tcPr>
            <w:tcW w:w="2086" w:type="dxa"/>
            <w:vAlign w:val="center"/>
          </w:tcPr>
          <w:p w14:paraId="4B093A81"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2,317,754</w:t>
            </w:r>
          </w:p>
          <w:p w14:paraId="3C16510A"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[2,138,756; 2,486,459]</w:t>
            </w:r>
          </w:p>
        </w:tc>
        <w:tc>
          <w:tcPr>
            <w:tcW w:w="1812" w:type="dxa"/>
            <w:vAlign w:val="center"/>
          </w:tcPr>
          <w:p w14:paraId="3F2FAEDF" w14:textId="77777777" w:rsidR="00B32827"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96.2%</w:t>
            </w:r>
          </w:p>
          <w:p w14:paraId="23546A5E" w14:textId="77777777" w:rsidR="00B32827" w:rsidRPr="007B218B" w:rsidRDefault="00B32827" w:rsidP="00115971">
            <w:pPr>
              <w:jc w:val="center"/>
              <w:rPr>
                <w:rFonts w:ascii="Times New Roman" w:hAnsi="Times New Roman" w:cs="Times New Roman"/>
                <w:bCs/>
                <w:sz w:val="18"/>
              </w:rPr>
            </w:pPr>
            <w:r w:rsidRPr="007B218B">
              <w:rPr>
                <w:rFonts w:ascii="Times New Roman" w:hAnsi="Times New Roman" w:cs="Times New Roman"/>
                <w:bCs/>
                <w:sz w:val="18"/>
              </w:rPr>
              <w:t>[95.9%; 96.5%]</w:t>
            </w:r>
          </w:p>
        </w:tc>
      </w:tr>
    </w:tbl>
    <w:p>
      <w:r>
        <w:rPr>
          <w:i/>
        </w:rPr>
        <w:t>Note: Costs and service metrics are computed over the evaluation window only (days 29 through T). Warm-up days 1–28 are excluded from all reported summaries.</w:t>
      </w:r>
    </w:p>
    <w:p w14:paraId="17FEF418" w14:textId="77777777" w:rsidR="006B14D8" w:rsidRPr="00B32827" w:rsidRDefault="006B14D8" w:rsidP="00B32827">
      <w:pPr>
        <w:pStyle w:val="text-base"/>
        <w:jc w:val="both"/>
        <w:rPr>
          <w:lang w:val="en-US"/>
        </w:rPr>
      </w:pPr>
      <w:r w:rsidRPr="00A25014">
        <w:rPr>
          <w:lang w:val="en-US"/>
        </w:rPr>
        <w:t>Taken together, the results do not support system-wide replacement of tuned classical inventory controls with the evaluated hybrid policy. Hybrid AI is best under stable demand, competitive under high volatility at 180 days, but it fails under supply disruption and is worse than tuned baselines under seasonal surges.</w:t>
      </w:r>
    </w:p>
    <w:p w14:paraId="2AE70553" w14:textId="77777777" w:rsidR="00962BAA" w:rsidRPr="00A70916" w:rsidRDefault="00962BAA" w:rsidP="001A4386">
      <w:pPr>
        <w:pStyle w:val="Ttulo1"/>
        <w:numPr>
          <w:ilvl w:val="0"/>
          <w:numId w:val="32"/>
        </w:numPr>
      </w:pPr>
      <w:r w:rsidRPr="00A70916">
        <w:lastRenderedPageBreak/>
        <w:t>Discussion</w:t>
      </w:r>
    </w:p>
    <w:p w14:paraId="7BC41B5D" w14:textId="77777777" w:rsidR="00D7664A" w:rsidRPr="00A70916" w:rsidRDefault="004B2673" w:rsidP="00962BAA">
      <w:pPr>
        <w:pStyle w:val="text-base"/>
        <w:jc w:val="both"/>
        <w:rPr>
          <w:color w:val="000000" w:themeColor="text1"/>
          <w:lang w:val="en-US"/>
        </w:rPr>
      </w:pPr>
      <w:r w:rsidRPr="004B2673">
        <w:rPr>
          <w:color w:val="000000" w:themeColor="text1"/>
          <w:lang w:val="en-US"/>
        </w:rPr>
        <w:t>This section discusses the findings from an inventory and production</w:t>
      </w:r>
      <w:r w:rsidR="00B45941">
        <w:rPr>
          <w:color w:val="000000" w:themeColor="text1"/>
          <w:lang w:val="en-US"/>
        </w:rPr>
        <w:t xml:space="preserve"> economics perspective, focusing on total logistics costs</w:t>
      </w:r>
      <w:r w:rsidRPr="004B2673">
        <w:rPr>
          <w:color w:val="000000" w:themeColor="text1"/>
          <w:lang w:val="en-US"/>
        </w:rPr>
        <w:t xml:space="preserve">, service levels, and resilience </w:t>
      </w:r>
      <w:r w:rsidR="004C1558">
        <w:rPr>
          <w:color w:val="000000" w:themeColor="text1"/>
          <w:lang w:val="en-US"/>
        </w:rPr>
        <w:t>in the event of</w:t>
      </w:r>
      <w:r w:rsidRPr="004B2673">
        <w:rPr>
          <w:color w:val="000000" w:themeColor="text1"/>
          <w:lang w:val="en-US"/>
        </w:rPr>
        <w:t xml:space="preserve"> disruption. It addresses the primary research question: under what operating conditions does a hybrid AI inventory policy generate superior cost–resilience performance relative to classical stochastic inventory policies</w:t>
      </w:r>
      <w:r w:rsidR="003650F0" w:rsidRPr="00A70916">
        <w:rPr>
          <w:color w:val="000000" w:themeColor="text1"/>
          <w:lang w:val="en-US"/>
        </w:rPr>
        <w:t xml:space="preserve">? The discussion is organized to </w:t>
      </w:r>
      <w:r w:rsidR="0078707B" w:rsidRPr="00A70916">
        <w:rPr>
          <w:color w:val="000000" w:themeColor="text1"/>
          <w:lang w:val="en-US"/>
        </w:rPr>
        <w:t>provide empirical answers to the research questions (Section 5.1), to position the findings in relation to the current literature (Section 5.2), and to offer implications for operations management (S</w:t>
      </w:r>
      <w:r w:rsidR="003650F0" w:rsidRPr="00A70916">
        <w:rPr>
          <w:color w:val="000000" w:themeColor="text1"/>
          <w:lang w:val="en-US"/>
        </w:rPr>
        <w:t>ection 5.3).</w:t>
      </w:r>
    </w:p>
    <w:p w14:paraId="2D5AB34D" w14:textId="77777777" w:rsidR="00962BAA" w:rsidRPr="00A70916" w:rsidRDefault="001A4386" w:rsidP="00B40008">
      <w:pPr>
        <w:pStyle w:val="Ttulo2"/>
      </w:pPr>
      <w:r>
        <w:t xml:space="preserve">5.1 </w:t>
      </w:r>
      <w:r w:rsidR="00D7664A" w:rsidRPr="00A70916">
        <w:t>Research Questions: Empirical Answers</w:t>
      </w:r>
    </w:p>
    <w:p w14:paraId="0B9D55D6" w14:textId="77777777" w:rsidR="00D7664A" w:rsidRPr="00A70916" w:rsidRDefault="00D7664A" w:rsidP="00D7664A">
      <w:pPr>
        <w:pStyle w:val="text-base"/>
        <w:jc w:val="both"/>
        <w:rPr>
          <w:color w:val="000000" w:themeColor="text1"/>
          <w:lang w:val="en-US"/>
        </w:rPr>
      </w:pPr>
      <w:r w:rsidRPr="00A70916">
        <w:rPr>
          <w:color w:val="000000" w:themeColor="text1"/>
          <w:lang w:val="en-US"/>
        </w:rPr>
        <w:t>RQ1: How does AI performance compare to static, dynamic, and analytical OR methods under stable and disruptive conditions?</w:t>
      </w:r>
    </w:p>
    <w:p w14:paraId="2DF2A372" w14:textId="77777777" w:rsidR="00D7664A" w:rsidRPr="00A70916" w:rsidRDefault="00A17646" w:rsidP="00D7664A">
      <w:pPr>
        <w:pStyle w:val="text-base"/>
        <w:jc w:val="both"/>
        <w:rPr>
          <w:color w:val="000000" w:themeColor="text1"/>
          <w:lang w:val="en-US"/>
        </w:rPr>
      </w:pPr>
      <w:r w:rsidRPr="00F34B55">
        <w:rPr>
          <w:lang w:val="en-US"/>
        </w:rPr>
        <w:t>Under stable demand, Hybrid AI attains the lowest mean cost at both horizons and is significantly better than all baselines after Holm correction. Under high volatility, Base-stock is best at 90 days, while Hybrid AI is best at 180 days, but differences versus Base-stock and Dynamic + Forecast are not significant after Holm correction. Under supply disruption, Hybrid AI under-orders and is significantly worse than all baselines. Under seasonal surges, Base-stock remains best, and Hybrid AI is significantly worse than Base-stock and Dynamic + Forecast.</w:t>
      </w:r>
    </w:p>
    <w:p w14:paraId="507528CD" w14:textId="77777777" w:rsidR="00D7664A" w:rsidRPr="00A70916" w:rsidRDefault="00D7664A" w:rsidP="00D7664A">
      <w:pPr>
        <w:pStyle w:val="text-base"/>
        <w:jc w:val="both"/>
        <w:rPr>
          <w:color w:val="000000" w:themeColor="text1"/>
          <w:lang w:val="en-US"/>
        </w:rPr>
      </w:pPr>
      <w:r w:rsidRPr="00FD0529">
        <w:rPr>
          <w:lang w:val="en-US"/>
        </w:rPr>
        <w:t>RQ2: Does demand volatility alone predict when Hybrid AI outperforms tuned baselines?</w:t>
      </w:r>
    </w:p>
    <w:p w14:paraId="39AB18E4" w14:textId="77777777" w:rsidR="00A014D1" w:rsidRPr="00A70916" w:rsidRDefault="005A7219" w:rsidP="00D7664A">
      <w:pPr>
        <w:pStyle w:val="text-base"/>
        <w:jc w:val="both"/>
        <w:rPr>
          <w:color w:val="000000" w:themeColor="text1"/>
          <w:lang w:val="en-US"/>
        </w:rPr>
      </w:pPr>
      <w:r w:rsidRPr="00FD0529">
        <w:rPr>
          <w:lang w:val="en-US"/>
        </w:rPr>
        <w:t xml:space="preserve">We use </w:t>
      </w:r>
      <w:r w:rsidR="00C4482E">
        <w:rPr>
          <w:lang w:val="en-US"/>
        </w:rPr>
        <w:t xml:space="preserve">the </w:t>
      </w:r>
      <w:r w:rsidRPr="00FD0529">
        <w:rPr>
          <w:lang w:val="en-US"/>
        </w:rPr>
        <w:t xml:space="preserve">CV of daily demand to parameterize the HIGH_VOLATILITY scenario. In this benchmark, volatility alone does not </w:t>
      </w:r>
      <w:r w:rsidR="008E66BF">
        <w:rPr>
          <w:lang w:val="en-US"/>
        </w:rPr>
        <w:t>distinguish between regimes in which</w:t>
      </w:r>
      <w:r w:rsidRPr="00FD0529">
        <w:rPr>
          <w:lang w:val="en-US"/>
        </w:rPr>
        <w:t xml:space="preserve"> Hybrid AI dominates tuned baselines. Candidate deployment gates should combine volatility with lead-time variability, penalty structure, and validated forecast uncertainty.</w:t>
      </w:r>
    </w:p>
    <w:p w14:paraId="73E6A330" w14:textId="77777777" w:rsidR="00D7664A" w:rsidRPr="00A70916" w:rsidRDefault="00D7664A" w:rsidP="00D7664A">
      <w:pPr>
        <w:pStyle w:val="text-base"/>
        <w:jc w:val="both"/>
        <w:rPr>
          <w:color w:val="000000" w:themeColor="text1"/>
          <w:lang w:val="en-US"/>
        </w:rPr>
      </w:pPr>
      <w:r w:rsidRPr="00A70916">
        <w:rPr>
          <w:color w:val="000000" w:themeColor="text1"/>
          <w:lang w:val="en-US"/>
        </w:rPr>
        <w:t>RQ3: What cost-resilience trade-offs characterize policy selection?</w:t>
      </w:r>
    </w:p>
    <w:p w14:paraId="720F69C3" w14:textId="77777777" w:rsidR="00564CF8" w:rsidRPr="00564CF8" w:rsidRDefault="00564CF8" w:rsidP="00564CF8">
      <w:pPr>
        <w:pStyle w:val="text-base"/>
        <w:jc w:val="both"/>
        <w:rPr>
          <w:color w:val="000000" w:themeColor="text1"/>
          <w:lang w:val="en-US"/>
        </w:rPr>
      </w:pPr>
      <w:r w:rsidRPr="00F34B55">
        <w:rPr>
          <w:lang w:val="en-US"/>
        </w:rPr>
        <w:t>Cost-resilience trade-offs depend on which cost component dominates. Under stable demand, Hybrid AI achieves the lowest mean total cost while maintaining high fill rates (Table 1). Under supply disruption, stockout penalties dominate, and Hybrid AI under-orders (fill &lt; 2%), which drives extreme total cost (Table 3). During seasonal surges, tuned baselines manage the trade-off better than Hybrid AI, which remains more expensive despite improving over untuned rules (Table 4).</w:t>
      </w:r>
    </w:p>
    <w:p w14:paraId="54594B76" w14:textId="77777777" w:rsidR="00A06318" w:rsidRPr="00A70916" w:rsidRDefault="001A4386" w:rsidP="00B40008">
      <w:pPr>
        <w:pStyle w:val="Ttulo2"/>
      </w:pPr>
      <w:r>
        <w:t xml:space="preserve">5.2 </w:t>
      </w:r>
      <w:r w:rsidR="001D6AC5" w:rsidRPr="00A70916">
        <w:t>Positioning Against Literature</w:t>
      </w:r>
    </w:p>
    <w:p w14:paraId="00B0BDD2" w14:textId="2AB59C8F" w:rsidR="002507C0" w:rsidRPr="002507C0" w:rsidRDefault="002507C0" w:rsidP="002507C0">
      <w:pPr>
        <w:pStyle w:val="text-base"/>
        <w:jc w:val="both"/>
        <w:rPr>
          <w:color w:val="000000" w:themeColor="text1"/>
          <w:lang w:val="en-US"/>
        </w:rPr>
      </w:pPr>
      <w:r w:rsidRPr="00653ACC">
        <w:rPr>
          <w:lang w:val="en-US"/>
        </w:rPr>
        <w:t xml:space="preserve">Our </w:t>
      </w:r>
      <w:r w:rsidR="00E91D70" w:rsidRPr="00E91D70">
        <w:rPr>
          <w:lang w:val="en-US"/>
        </w:rPr>
        <w:t xml:space="preserve">approach </w:t>
      </w:r>
      <w:r w:rsidRPr="00653ACC">
        <w:rPr>
          <w:lang w:val="en-US"/>
        </w:rPr>
        <w:t xml:space="preserve">differs from much of the applied AI literature, where comparisons often rely on weak or untuned baselines and where stress-tested failure modes are rarely reported. By using tuned analytical baselines, paired replications, and scenario stress tests, </w:t>
      </w:r>
      <w:r w:rsidR="00E91D70" w:rsidRPr="00E91D70">
        <w:rPr>
          <w:lang w:val="en-US"/>
        </w:rPr>
        <w:t xml:space="preserve">our findings suggest </w:t>
      </w:r>
      <w:r w:rsidRPr="00653ACC">
        <w:rPr>
          <w:lang w:val="en-US"/>
        </w:rPr>
        <w:t>that gains can be regime-specific and that disruption can trigger catastrophic failure when the learning policy under-orders.</w:t>
      </w:r>
    </w:p>
    <w:p w14:paraId="176ECD80" w14:textId="77777777" w:rsidR="0047501B" w:rsidRPr="00A141B3" w:rsidRDefault="00000000" w:rsidP="007144EB">
      <w:pPr>
        <w:pStyle w:val="text-base"/>
        <w:jc w:val="both"/>
        <w:rPr>
          <w:color w:val="0D0D0D" w:themeColor="text1" w:themeTint="F2"/>
          <w:lang w:val="en-US"/>
        </w:rPr>
      </w:pPr>
      <w:r w:rsidRPr="00653ACC">
        <w:rPr>
          <w:lang w:val="en-US"/>
        </w:rPr>
        <w:t>The collapse observed under supply disruption is not treated as a statistical anomaly but as a structural failure mode of the unconstrained RL formulation. This result highlights that, in healthcare supply chains, learning-based policies without safety constraints or fallback mechanisms are not suitable for deployment without safety constraints, even when their average performance is high in nominal regimes.</w:t>
      </w:r>
    </w:p>
    <w:p w14:paraId="10CE616D" w14:textId="77777777" w:rsidR="0047501B" w:rsidRPr="00A25014" w:rsidRDefault="00000000" w:rsidP="007144EB">
      <w:pPr>
        <w:pStyle w:val="text-base"/>
        <w:jc w:val="both"/>
        <w:rPr>
          <w:lang w:val="en-US"/>
        </w:rPr>
      </w:pPr>
      <w:r w:rsidRPr="00653ACC">
        <w:rPr>
          <w:lang w:val="en-US"/>
        </w:rPr>
        <w:lastRenderedPageBreak/>
        <w:t xml:space="preserve">Transferability beyond healthcare depends on separating domain-invariant decision logic from context-specific calibration. We formalize this separation in Table B8.1 (Appendix B.8) and summarize healthcare adaptation </w:t>
      </w:r>
      <w:r w:rsidR="00D508F7">
        <w:rPr>
          <w:lang w:val="en-US"/>
        </w:rPr>
        <w:t>requirement</w:t>
      </w:r>
      <w:r w:rsidRPr="00653ACC">
        <w:rPr>
          <w:lang w:val="en-US"/>
        </w:rPr>
        <w:t>s in Table B9.1 (Appendix B.9).</w:t>
      </w:r>
    </w:p>
    <w:p w14:paraId="587C3ADF" w14:textId="77777777" w:rsidR="002507C0" w:rsidRPr="002507C0" w:rsidRDefault="002507C0" w:rsidP="002507C0">
      <w:pPr>
        <w:pStyle w:val="text-base"/>
        <w:jc w:val="both"/>
        <w:rPr>
          <w:color w:val="000000" w:themeColor="text1"/>
          <w:lang w:val="en-US"/>
        </w:rPr>
      </w:pPr>
      <w:r w:rsidRPr="00F34B55">
        <w:rPr>
          <w:lang w:val="en-US"/>
        </w:rPr>
        <w:t>The results support evaluating adaptive policies under operational safety constraints and against tuned baselines. Without such constraints, learning policies can converge to actions that reduce ordering effort but violate service targets during disruptions.</w:t>
      </w:r>
    </w:p>
    <w:p w14:paraId="30EB5BE9" w14:textId="2C8696C4" w:rsidR="00400BA3" w:rsidRPr="00A70916" w:rsidRDefault="002507C0" w:rsidP="002507C0">
      <w:pPr>
        <w:pStyle w:val="text-base"/>
        <w:jc w:val="both"/>
        <w:rPr>
          <w:color w:val="000000" w:themeColor="text1"/>
          <w:lang w:val="en-US"/>
        </w:rPr>
      </w:pPr>
      <w:r w:rsidRPr="00F34B55">
        <w:rPr>
          <w:lang w:val="en-US"/>
        </w:rPr>
        <w:t xml:space="preserve">Our multi-baseline comparison approach also addresses a common methodological problem in AI papers. Many technology-oriented studies rely on weak baselines for comparison, which can inflate apparent gains. By benchmarking against contemporary OR methods, we provide a fair operational comparator set for the hybrid policy. The regime-specific evidence here does not support a general claim that AI dominates under volatility or disruption: the tested hybrid policy improves under Stable demand, appears similar to tuned baselines under High Volatility, degrades under Seasonal Surge, and collapses under Supply Disruption. This pattern </w:t>
      </w:r>
      <w:r w:rsidR="002B74AA">
        <w:rPr>
          <w:lang w:val="en-US"/>
        </w:rPr>
        <w:t>aligns with resilience work that distinguish</w:t>
      </w:r>
      <w:r w:rsidRPr="00F34B55">
        <w:rPr>
          <w:lang w:val="en-US"/>
        </w:rPr>
        <w:t>es routine uncertainty from structural shocks and frames disruption response as a safety-constrained control problem rather than a pure expected-cost objective.</w:t>
      </w:r>
    </w:p>
    <w:p w14:paraId="5031C22D" w14:textId="77777777" w:rsidR="0047501B" w:rsidRPr="007144EB" w:rsidRDefault="00000000" w:rsidP="007144EB">
      <w:pPr>
        <w:pStyle w:val="text-base"/>
        <w:jc w:val="both"/>
        <w:rPr>
          <w:color w:val="000000" w:themeColor="text1"/>
          <w:lang w:val="en-US"/>
        </w:rPr>
      </w:pPr>
      <w:r w:rsidRPr="007144EB">
        <w:rPr>
          <w:color w:val="000000" w:themeColor="text1"/>
          <w:lang w:val="en-US"/>
        </w:rPr>
        <w:t>Baseline policies are tuned using structured parameter grids rather than black-box simulation optimization. This choice reflects common operational practice</w:t>
      </w:r>
      <w:r w:rsidR="00136957">
        <w:rPr>
          <w:color w:val="000000" w:themeColor="text1"/>
          <w:lang w:val="en-US"/>
        </w:rPr>
        <w:t xml:space="preserve"> but favors interpretability over maximal baseline performance, motivating</w:t>
      </w:r>
      <w:r w:rsidRPr="007144EB">
        <w:rPr>
          <w:color w:val="000000" w:themeColor="text1"/>
          <w:lang w:val="en-US"/>
        </w:rPr>
        <w:t xml:space="preserve"> future work on surrogate-assisted tuning of (s,</w:t>
      </w:r>
      <w:r w:rsidR="00136957">
        <w:rPr>
          <w:color w:val="000000" w:themeColor="text1"/>
          <w:lang w:val="en-US"/>
        </w:rPr>
        <w:t xml:space="preserve"> </w:t>
      </w:r>
      <w:r w:rsidRPr="007144EB">
        <w:rPr>
          <w:color w:val="000000" w:themeColor="text1"/>
          <w:lang w:val="en-US"/>
        </w:rPr>
        <w:t>S) and related controls.</w:t>
      </w:r>
    </w:p>
    <w:p w14:paraId="1FF30B98" w14:textId="77777777" w:rsidR="00884D0D" w:rsidRPr="00653ACC" w:rsidRDefault="00C24D2F" w:rsidP="005B3AE7">
      <w:pPr>
        <w:pStyle w:val="text-base"/>
        <w:jc w:val="both"/>
        <w:rPr>
          <w:lang w:val="en-US"/>
        </w:rPr>
      </w:pPr>
      <w:r>
        <w:t>Non-learning baselines. Distributionally inventory control models provide service-level guarantees against demand ambiguity and offer natural comparators for healthcare systems with mandated service floors (Sun et al., 2024; Xin and Goldberg, 2022). Our current baseline set does not include Distributionally Robust Optimization (DRO) (Metzker et al., 2025) or chance-constrained (s, S)/(r, Q) formulations; we did not implement them in the current study due to computational and engineering constraints, and we outline a minimal implementation plan in Appendix E.10.</w:t>
      </w:r>
    </w:p>
    <w:p w14:paraId="4A10987D" w14:textId="77777777" w:rsidR="0047501B" w:rsidRPr="007144EB" w:rsidRDefault="00000000" w:rsidP="007144EB">
      <w:pPr>
        <w:pStyle w:val="text-base"/>
        <w:jc w:val="both"/>
        <w:rPr>
          <w:color w:val="000000" w:themeColor="text1"/>
          <w:lang w:val="en-US"/>
        </w:rPr>
      </w:pPr>
      <w:r w:rsidRPr="005B3AE7">
        <w:rPr>
          <w:b/>
          <w:bCs/>
          <w:lang w:val="en-US"/>
        </w:rPr>
        <w:t>Safety-constrained and structure-guided RL context</w:t>
      </w:r>
      <w:r w:rsidRPr="00653ACC">
        <w:rPr>
          <w:lang w:val="en-US"/>
        </w:rPr>
        <w:t xml:space="preserve">. The disruption-driven collapse observed here reflects a limitation of unconstrained RL in operational settings: optimizing expected return without service constraints can yield unacceptable tail outcomes. Constrained and distributional RL methods encode service-level or stockout-rate budgets through Lagrangian constraint handling, exact-penalty objectives, or distributional value estimation </w:t>
      </w:r>
      <w:r w:rsidR="00653ACC">
        <w:rPr>
          <w:lang w:val="en-US"/>
        </w:rPr>
        <w:fldChar w:fldCharType="begin"/>
      </w:r>
      <w:r w:rsidR="00653ACC">
        <w:rPr>
          <w:lang w:val="en-US"/>
        </w:rPr>
        <w:instrText xml:space="preserve"> ADDIN ZOTERO_ITEM CSL_CITATION {"citationID":"LT7XL6BO","properties":{"formattedCitation":"(Berm\\uc0\\u250{}dez et al., 2023; Jayant and Bhatnagar, 2022; Zhang et al., 2022)","plainCitation":"(Bermúdez et al., 2023; Jayant and Bhatnagar, 2022; Zhang et al., 2022)","noteIndex":0},"citationItems":[{"id":3533,"uris":["http://zotero.org/users/12903205/items/TRMAJC8W"],"itemData":{"id":3533,"type":"article","abstract":"This work studies reinforcement learning (RL) in the context of multi-period supply chains subject to constraints, e.g., on production and inventory. We introduce Distributional Constrained Policy Optimization (DCPO), a novel approach for reliable constraint satisfaction in RL. Our approach is based on Constrained Policy Optimization (CPO), which is subject to approximation errors that in practice lead it to converge to infeasible policies. We address this issue by incorporating aspects of distributional RL into DCPO. Specifically, we represent the return and cost value functions using neural networks that output discrete distributions, and we reshape costs based on the associated confidence. Using a supply chain case study, we show that DCPO improves the rate at which the RL policy converges and ensures reliable constraint satisfaction by the end of training. The proposed method also improves predictability, greatly reducing the variance of returns between runs, respectively; this result is significant in the context of policy gradient methods, which intrinsically introduce significant variance during training.","DOI":"10.48550/ARXIV.2302.01727","license":"arXiv.org perpetual, non-exclusive license","note":"version: 1","publisher":"arXiv","source":"DOI.org (Datacite)","title":"Distributional constrained reinforcement learning for supply chain optimization","URL":"https://arxiv.org/abs/2302.01727","author":[{"family":"Bermúdez","given":"Jaime Sabal"},{"family":"Chanona","given":"Antonio del Rio"},{"family":"Tsay","given":"Calvin"}],"accessed":{"date-parts":[["2026",2,5]]},"issued":{"date-parts":[["2023"]]}},"label":"page"},{"id":3531,"uris":["http://zotero.org/users/12903205/items/EQSIGE7R"],"itemData":{"id":3531,"type":"article","abstract":"During initial iterations of training in most Reinforcement Learning (RL) algorithms, agents perform a significant number of random exploratory steps. In the real world, this can limit the practicality of these algorithms as it can lead to potentially dangerous behavior. Hence safe exploration is a critical issue in applying RL algorithms in the real world. This problem has been recently well studied under the Constrained Markov Decision Process (CMDP) Framework, where in addition to single-stage rewards, an agent receives single-stage costs or penalties as well depending on the state transitions. The prescribed cost functions are responsible for mapping undesirable behavior at any given time-step to a scalar value. The goal then is to find a feasible policy that maximizes reward returns while constraining the cost returns to be below a prescribed threshold during training as well as deployment. We propose an On-policy Model-based Safe Deep RL algorithm in which we learn the transition dynamics of the environment in an online manner as well as find a feasible optimal policy using the Lagrangian Relaxation-based Proximal Policy Optimization. We use an ensemble of neural networks with different initializations to tackle epistemic and aleatoric uncertainty issues faced during environment model learning. We compare our approach with relevant model-free and model-based approaches in Constrained RL using the challenging Safe Reinforcement Learning benchmark - the Open AI Safety Gym. We demonstrate that our algorithm is more sample efficient and results in lower cumulative hazard violations as compared to constrained model-free approaches. Further, our approach shows better reward performance than other constrained model-based approaches in the literature.","DOI":"10.48550/ARXIV.2210.07573","license":"Creative Commons Attribution Non Commercial Share Alike 4.0 International","note":"version: 1","publisher":"arXiv","source":"DOI.org (Datacite)","title":"Model-based Safe Deep Reinforcement Learning via a Constrained Proximal Policy Optimization Algorithm","URL":"https://arxiv.org/abs/2210.07573","author":[{"family":"Jayant","given":"Ashish Kumar"},{"family":"Bhatnagar","given":"Shalabh"}],"accessed":{"date-parts":[["2026",2,5]]},"issued":{"date-parts":[["2022"]]}},"label":"page"},{"id":3522,"uris":["http://zotero.org/users/12903205/items/WLTSR2Q5"],"itemData":{"id":3522,"type":"article","abstract":"Safe reinforcement learning aims to learn the optimal policy while satisfying safety constraints, which is essential in real-world applications. However, current algorithms still struggle for efficient policy updates with hard constraint satisfaction. In this paper, we propose Penalized Proximal Policy Optimization (P3O), which solves the cumbersome constrained policy iteration via a single minimization of an equivalent unconstrained problem. Specifically, P3O utilizes a simple-yet-effective penalty function to eliminate cost constraints and removes the trust-region constraint by the clipped surrogate objective. We theoretically prove the exactness of the proposed method with a finite penalty factor and provide a worst-case analysis for approximate error when evaluated on sample trajectories. Moreover, we extend P3O to more challenging multi-constraint and multi-agent scenarios which are less studied in previous work. Extensive experiments show that P3O outperforms state-of-the-art algorithms with respect to both reward improvement and constraint satisfaction on a set of constrained locomotive tasks.","DOI":"10.48550/ARXIV.2205.11814","license":"Creative Commons Attribution 4.0 International","note":"version: 2","publisher":"arXiv","source":"DOI.org (Datacite)","title":"Penalized Proximal Policy Optimization for Safe Reinforcement Learning","URL":"https://arxiv.org/abs/2205.11814","author":[{"family":"Zhang","given":"Linrui"},{"family":"Shen","given":"Li"},{"family":"Yang","given":"Long"},{"family":"Chen","given":"Shixiang"},{"family":"Yuan","given":"Bo"},{"family":"Wang","given":"Xueqian"},{"family":"Tao","given":"Dacheng"}],"accessed":{"date-parts":[["2026",2,5]]},"issued":{"date-parts":[["2022"]]}},"label":"page"}],"schema":"https://github.com/citation-style-language/schema/raw/master/csl-citation.json"} </w:instrText>
      </w:r>
      <w:r w:rsidR="00653ACC">
        <w:rPr>
          <w:lang w:val="en-US"/>
        </w:rPr>
        <w:fldChar w:fldCharType="separate"/>
      </w:r>
      <w:r w:rsidR="00653ACC" w:rsidRPr="00D222FD">
        <w:rPr>
          <w:lang w:val="en-US"/>
        </w:rPr>
        <w:t>(Bermúdez et al., 2023; Jayant and Bhatnagar, 2022; Zhang et al., 2022)</w:t>
      </w:r>
      <w:r w:rsidR="00653ACC">
        <w:rPr>
          <w:lang w:val="en-US"/>
        </w:rPr>
        <w:fldChar w:fldCharType="end"/>
      </w:r>
      <w:r w:rsidRPr="00653ACC">
        <w:rPr>
          <w:lang w:val="en-US"/>
        </w:rPr>
        <w:t xml:space="preserve">. In parallel, structure-guided approaches that parameterize inventory-theoretic policies (for example, learning adjustments to order-up-to targets rather than outputting unconstrained actions) can reduce exploration burden and improve stability. This study does not implement these approaches; the observed failure mode </w:t>
      </w:r>
      <w:r w:rsidR="00D508F7">
        <w:rPr>
          <w:lang w:val="en-US"/>
        </w:rPr>
        <w:t>requires</w:t>
      </w:r>
      <w:r w:rsidRPr="00653ACC">
        <w:rPr>
          <w:lang w:val="en-US"/>
        </w:rPr>
        <w:t xml:space="preserve"> </w:t>
      </w:r>
      <w:r w:rsidR="00D508F7">
        <w:rPr>
          <w:lang w:val="en-US"/>
        </w:rPr>
        <w:t xml:space="preserve">the implementation of </w:t>
      </w:r>
      <w:r w:rsidRPr="00653ACC">
        <w:rPr>
          <w:lang w:val="en-US"/>
        </w:rPr>
        <w:t>guardrails before any healthcare deployment.</w:t>
      </w:r>
    </w:p>
    <w:p w14:paraId="79B6DE2E" w14:textId="77777777" w:rsidR="0055574B" w:rsidRPr="00A70916" w:rsidRDefault="001A4386" w:rsidP="00B40008">
      <w:pPr>
        <w:pStyle w:val="Ttulo2"/>
      </w:pPr>
      <w:r>
        <w:t xml:space="preserve">5.3 </w:t>
      </w:r>
      <w:r w:rsidR="001A0FF3" w:rsidRPr="001A0FF3">
        <w:t xml:space="preserve">Managerial </w:t>
      </w:r>
      <w:r>
        <w:t>I</w:t>
      </w:r>
      <w:r w:rsidR="001A0FF3" w:rsidRPr="001A0FF3">
        <w:t>mplications</w:t>
      </w:r>
    </w:p>
    <w:p w14:paraId="777684B1" w14:textId="77777777" w:rsidR="0047501B" w:rsidRPr="007144EB" w:rsidRDefault="00000000" w:rsidP="007144EB">
      <w:pPr>
        <w:pStyle w:val="text-base"/>
        <w:jc w:val="both"/>
        <w:rPr>
          <w:color w:val="000000" w:themeColor="text1"/>
          <w:lang w:val="en-US"/>
        </w:rPr>
      </w:pPr>
      <w:r w:rsidRPr="00F34B55">
        <w:rPr>
          <w:lang w:val="en-US"/>
        </w:rPr>
        <w:t>Managerial guidance and the do-no-harm requirement. The results support a regime-dependent policy selection rule rather than a single system-wide recommendation. Under Stable demand, the hybrid AI policy attains the lowest mean total cost among evaluated policies (Table 1). Under High Volatility, the hybrid AI policy is broadly comparable to tuned classical controls within the uncertainty of the paired design (Table 2). Under Supply Disruption, the unconstrained hybrid AI policy can collapse to near-zero service levels, which inflates total cost through stockout penalties (Table 3). This failure mode is operationally unacceptable in healthcare settings and violates the do-no-harm principle: hybrid AI should not be deployed without safety layers.</w:t>
      </w:r>
    </w:p>
    <w:p w14:paraId="18CD6F6B" w14:textId="0D6A14E8" w:rsidR="0047501B" w:rsidRPr="007144EB" w:rsidRDefault="00000000" w:rsidP="007144EB">
      <w:pPr>
        <w:pStyle w:val="text-base"/>
        <w:jc w:val="both"/>
        <w:rPr>
          <w:color w:val="000000" w:themeColor="text1"/>
          <w:lang w:val="en-US"/>
        </w:rPr>
      </w:pPr>
      <w:r w:rsidRPr="007144EB">
        <w:rPr>
          <w:color w:val="000000" w:themeColor="text1"/>
          <w:lang w:val="en-US"/>
        </w:rPr>
        <w:lastRenderedPageBreak/>
        <w:t xml:space="preserve">Practical guardrails (implementation-agnostic). </w:t>
      </w:r>
      <w:r w:rsidR="00E91D70" w:rsidRPr="00E91D70">
        <w:rPr>
          <w:color w:val="000000" w:themeColor="text1"/>
          <w:lang w:val="en-US"/>
        </w:rPr>
        <w:t xml:space="preserve">Organizations considering deployment </w:t>
      </w:r>
      <w:r w:rsidR="00E91D70">
        <w:rPr>
          <w:color w:val="000000" w:themeColor="text1"/>
          <w:lang w:val="en-US"/>
        </w:rPr>
        <w:t>co</w:t>
      </w:r>
      <w:r w:rsidR="00E91D70" w:rsidRPr="00E91D70">
        <w:rPr>
          <w:color w:val="000000" w:themeColor="text1"/>
          <w:lang w:val="en-US"/>
        </w:rPr>
        <w:t>uld include at least</w:t>
      </w:r>
      <w:r w:rsidRPr="007144EB">
        <w:rPr>
          <w:color w:val="000000" w:themeColor="text1"/>
          <w:lang w:val="en-US"/>
        </w:rPr>
        <w:t>:</w:t>
      </w:r>
    </w:p>
    <w:p w14:paraId="1C380BC1" w14:textId="77777777" w:rsidR="0047501B" w:rsidRPr="007144EB" w:rsidRDefault="00000000" w:rsidP="007144EB">
      <w:pPr>
        <w:pStyle w:val="text-base"/>
        <w:numPr>
          <w:ilvl w:val="0"/>
          <w:numId w:val="36"/>
        </w:numPr>
        <w:jc w:val="both"/>
        <w:rPr>
          <w:color w:val="000000" w:themeColor="text1"/>
          <w:lang w:val="en-US"/>
        </w:rPr>
      </w:pPr>
      <w:r w:rsidRPr="00653ACC">
        <w:rPr>
          <w:lang w:val="en-US"/>
        </w:rPr>
        <w:t>a conservative base-stock floor that is intended to guarantee a minimum order-up-to level under long or unreliable lead times;</w:t>
      </w:r>
    </w:p>
    <w:p w14:paraId="2D27A137" w14:textId="77777777" w:rsidR="0047501B" w:rsidRPr="007144EB" w:rsidRDefault="00000000" w:rsidP="007144EB">
      <w:pPr>
        <w:pStyle w:val="text-base"/>
        <w:numPr>
          <w:ilvl w:val="0"/>
          <w:numId w:val="36"/>
        </w:numPr>
        <w:jc w:val="both"/>
        <w:rPr>
          <w:color w:val="000000" w:themeColor="text1"/>
          <w:lang w:val="en-US"/>
        </w:rPr>
      </w:pPr>
      <w:r w:rsidRPr="007144EB">
        <w:rPr>
          <w:color w:val="000000" w:themeColor="text1"/>
          <w:lang w:val="en-US"/>
        </w:rPr>
        <w:t>a fallback rule that switches to Base-stock (Uncertain) (or another conservative control) when disruption indicators are triggered (e.g., persistent lead-time inflation, repeated stockouts, or abnormal forecast residuals);</w:t>
      </w:r>
    </w:p>
    <w:p w14:paraId="64607400" w14:textId="77777777" w:rsidR="0047501B" w:rsidRPr="007144EB" w:rsidRDefault="00000000" w:rsidP="007144EB">
      <w:pPr>
        <w:pStyle w:val="text-base"/>
        <w:numPr>
          <w:ilvl w:val="0"/>
          <w:numId w:val="36"/>
        </w:numPr>
        <w:jc w:val="both"/>
        <w:rPr>
          <w:color w:val="000000" w:themeColor="text1"/>
          <w:lang w:val="en-US"/>
        </w:rPr>
      </w:pPr>
      <w:r w:rsidRPr="007144EB">
        <w:rPr>
          <w:color w:val="000000" w:themeColor="text1"/>
          <w:lang w:val="en-US"/>
        </w:rPr>
        <w:t>monitoring thresholds with predefined escalation (e.g., if fill rate falls below a threshold for k consecutive periods, enforce the fallback policy for the remainder of the episode).</w:t>
      </w:r>
    </w:p>
    <w:p w14:paraId="634F069B" w14:textId="77777777" w:rsidR="0047501B" w:rsidRDefault="00000000" w:rsidP="007144EB">
      <w:pPr>
        <w:pStyle w:val="text-base"/>
        <w:jc w:val="both"/>
        <w:rPr>
          <w:color w:val="000000" w:themeColor="text1"/>
          <w:lang w:val="en-US"/>
        </w:rPr>
      </w:pPr>
      <w:r w:rsidRPr="005B3AE7">
        <w:rPr>
          <w:b/>
          <w:bCs/>
          <w:color w:val="000000" w:themeColor="text1"/>
          <w:lang w:val="en-US"/>
        </w:rPr>
        <w:t>Economic interpretation and scale</w:t>
      </w:r>
      <w:r w:rsidRPr="007144EB">
        <w:rPr>
          <w:color w:val="000000" w:themeColor="text1"/>
          <w:lang w:val="en-US"/>
        </w:rPr>
        <w:t>. Total cost values reported in Tables 1–4 are network-level aggregates over the horizon and include holding, ordering, and stockout components (and routing proxy costs when enabled). Appendix E.8 provides distributional diagnostics (cost and fill rate by policy) for the disruption regime.</w:t>
      </w:r>
    </w:p>
    <w:p w14:paraId="69BD43A5" w14:textId="77777777" w:rsidR="00A141B3" w:rsidRPr="00A141B3" w:rsidRDefault="00A141B3" w:rsidP="00A141B3">
      <w:pPr>
        <w:pStyle w:val="text-base"/>
        <w:spacing w:after="0" w:afterAutospacing="0"/>
        <w:jc w:val="both"/>
        <w:rPr>
          <w:color w:val="000000" w:themeColor="text1"/>
          <w:lang w:val="en-US"/>
        </w:rPr>
      </w:pPr>
    </w:p>
    <w:p w14:paraId="1CD8FAE4" w14:textId="77777777" w:rsidR="00C01751" w:rsidRPr="00A70916" w:rsidRDefault="001A4386" w:rsidP="00B40008">
      <w:pPr>
        <w:pStyle w:val="Ttulo2"/>
      </w:pPr>
      <w:r>
        <w:t xml:space="preserve">5.4 </w:t>
      </w:r>
      <w:r w:rsidR="00FF3C6B" w:rsidRPr="00A70916">
        <w:t>Limitations and Operational Boundaries</w:t>
      </w:r>
    </w:p>
    <w:p w14:paraId="4B1DD086" w14:textId="77777777" w:rsidR="0093787F" w:rsidRDefault="0093787F" w:rsidP="007144EB">
      <w:pPr>
        <w:pStyle w:val="text-base"/>
        <w:spacing w:after="0" w:afterAutospacing="0"/>
        <w:jc w:val="both"/>
        <w:rPr>
          <w:lang w:val="en-US"/>
        </w:rPr>
      </w:pPr>
      <w:r w:rsidRPr="00FD0529">
        <w:rPr>
          <w:lang w:val="en-US"/>
        </w:rPr>
        <w:t xml:space="preserve">This study uses n = 100 paired replications per condition, which yields limited power for medium effects. The design detects large regime-level gaps, yet it treats near-ties as exploratory. The 90-day horizon truncates long disruption dynamics and can place long-lead arrivals near the evaluation boundary, which </w:t>
      </w:r>
      <w:r w:rsidR="008E66BF">
        <w:rPr>
          <w:lang w:val="en-US"/>
        </w:rPr>
        <w:t>induces</w:t>
      </w:r>
      <w:r w:rsidRPr="00FD0529">
        <w:rPr>
          <w:lang w:val="en-US"/>
        </w:rPr>
        <w:t xml:space="preserve"> horizon-sensitivity checks.</w:t>
      </w:r>
    </w:p>
    <w:p w14:paraId="51D57A66" w14:textId="77777777" w:rsidR="0093787F" w:rsidRPr="00A70916" w:rsidRDefault="0093787F" w:rsidP="0093787F">
      <w:pPr>
        <w:pStyle w:val="text-base"/>
        <w:jc w:val="both"/>
        <w:rPr>
          <w:color w:val="000000" w:themeColor="text1"/>
          <w:lang w:val="en-US"/>
        </w:rPr>
      </w:pPr>
      <w:r w:rsidRPr="00653ACC">
        <w:rPr>
          <w:lang w:val="en-US"/>
        </w:rPr>
        <w:t xml:space="preserve">The RL controller uses value-based Double Q-learning with coarse discretization and bounded adjustments around an order-up-to target. This choice supports interpretability and tractable training, yet it restricts policy expressiveness </w:t>
      </w:r>
      <w:r w:rsidR="00D508F7">
        <w:rPr>
          <w:lang w:val="en-US"/>
        </w:rPr>
        <w:t>during regime shifts and</w:t>
      </w:r>
      <w:r w:rsidRPr="00653ACC">
        <w:rPr>
          <w:lang w:val="en-US"/>
        </w:rPr>
        <w:t xml:space="preserve"> does not enforce service-floor constraints. The reward includes a discontinuous daily zero-lost-sales term, which can create sparse gradients and interact with action bounds to amplify under-ordering under disruption. The cost model assumes linear per-unit ordering cost</w:t>
      </w:r>
      <w:r w:rsidR="00D508F7">
        <w:rPr>
          <w:lang w:val="en-US"/>
        </w:rPr>
        <w:t>s and omits fixed setup/order</w:t>
      </w:r>
      <w:r w:rsidRPr="00653ACC">
        <w:rPr>
          <w:lang w:val="en-US"/>
        </w:rPr>
        <w:t xml:space="preserve"> costs and procurement capacity constraints; this limits comparability with common (r,</w:t>
      </w:r>
      <w:r w:rsidR="00D508F7">
        <w:rPr>
          <w:lang w:val="en-US"/>
        </w:rPr>
        <w:t xml:space="preserve"> </w:t>
      </w:r>
      <w:r w:rsidRPr="00653ACC">
        <w:rPr>
          <w:lang w:val="en-US"/>
        </w:rPr>
        <w:t>Q) and (s,</w:t>
      </w:r>
      <w:r w:rsidR="00D508F7">
        <w:rPr>
          <w:lang w:val="en-US"/>
        </w:rPr>
        <w:t xml:space="preserve"> </w:t>
      </w:r>
      <w:r w:rsidRPr="00653ACC">
        <w:rPr>
          <w:lang w:val="en-US"/>
        </w:rPr>
        <w:t xml:space="preserve">S) formulations in healthcare procurement. The model aggregates items into SKU-equivalent units and can mask per-SKU heterogeneity in demand intermittency and criticality. The GA routing proxy introduces a network-level cost component with low variance in our experiments; it improves realism but can distract from </w:t>
      </w:r>
      <w:r w:rsidR="00D508F7">
        <w:rPr>
          <w:lang w:val="en-US"/>
        </w:rPr>
        <w:t>the interpretation of inventory policy</w:t>
      </w:r>
      <w:r w:rsidRPr="00653ACC">
        <w:rPr>
          <w:lang w:val="en-US"/>
        </w:rPr>
        <w:t xml:space="preserve">. Finally, the current version reports point forecast errors but not </w:t>
      </w:r>
      <w:r w:rsidR="008E66BF">
        <w:rPr>
          <w:lang w:val="en-US"/>
        </w:rPr>
        <w:t>complete</w:t>
      </w:r>
      <w:r w:rsidRPr="00653ACC">
        <w:rPr>
          <w:lang w:val="en-US"/>
        </w:rPr>
        <w:t xml:space="preserve"> interval-calibration diagnostics (coverage, CRPS, PIT) for all regimes, so uncertainty-aware baseline comparisons depend on dispersion estimates that may be miscalibrated.</w:t>
      </w:r>
    </w:p>
    <w:p w14:paraId="05C56D1B" w14:textId="77777777" w:rsidR="0047501B" w:rsidRPr="007144EB" w:rsidRDefault="00000000" w:rsidP="007144EB">
      <w:pPr>
        <w:pStyle w:val="text-base"/>
        <w:spacing w:after="0" w:afterAutospacing="0"/>
        <w:jc w:val="both"/>
        <w:rPr>
          <w:color w:val="000000" w:themeColor="text1"/>
          <w:lang w:val="en-US"/>
        </w:rPr>
      </w:pPr>
      <w:r w:rsidRPr="00653ACC">
        <w:rPr>
          <w:lang w:val="en-US"/>
        </w:rPr>
        <w:t>The study fixes the random seed (seed = 42) to ensure reproducibility across the 100 Monte Carlo replications and learning runs. Alternative seeds can alter realized demand paths and reinforcement learning trajectories, thereby shifting scenario-level cost gaps. Multi-seed replication (n_seeds ≥ 5) can quantify this sensitivity in confirmatory studies.</w:t>
      </w:r>
    </w:p>
    <w:p w14:paraId="01F75451" w14:textId="77777777" w:rsidR="00791356" w:rsidRPr="00A70916" w:rsidRDefault="00791356" w:rsidP="009C5FF5">
      <w:pPr>
        <w:pStyle w:val="Ttulo1"/>
        <w:numPr>
          <w:ilvl w:val="0"/>
          <w:numId w:val="32"/>
        </w:numPr>
      </w:pPr>
      <w:r>
        <w:t>Conclusion</w:t>
      </w:r>
    </w:p>
    <w:p w14:paraId="086A610D" w14:textId="77777777" w:rsidR="00791356" w:rsidRPr="00A70916" w:rsidRDefault="009C5FF5" w:rsidP="00B40008">
      <w:pPr>
        <w:pStyle w:val="Ttulo2"/>
      </w:pPr>
      <w:r>
        <w:t xml:space="preserve">6.1 </w:t>
      </w:r>
      <w:r w:rsidR="00791356" w:rsidRPr="00A70916">
        <w:t>Summary of Findings</w:t>
      </w:r>
    </w:p>
    <w:p w14:paraId="7419D6FC" w14:textId="77777777" w:rsidR="009F3C08" w:rsidRPr="00A70916" w:rsidRDefault="009F3C08" w:rsidP="009F3C08">
      <w:pPr>
        <w:pStyle w:val="text-base"/>
        <w:jc w:val="both"/>
        <w:rPr>
          <w:color w:val="000000" w:themeColor="text1"/>
          <w:lang w:val="en-US"/>
        </w:rPr>
      </w:pPr>
      <w:r w:rsidRPr="00F34B55">
        <w:rPr>
          <w:lang w:val="en-US"/>
        </w:rPr>
        <w:t xml:space="preserve">Across 1,600 paired replications (8,000 policy evaluations), the hybrid policy attains the lowest mean total cost under Stable demand at both horizons. Under High Volatility, the hybrid policy matches tuned base-stock controls within sampling uncertainty. Under Supply Disruption, the hybrid policy collapses to near-zero service in the evaluated configuration, and stockout penalties dominate total </w:t>
      </w:r>
      <w:r w:rsidRPr="00F34B55">
        <w:rPr>
          <w:lang w:val="en-US"/>
        </w:rPr>
        <w:lastRenderedPageBreak/>
        <w:t>cost. Under Seasonal Surge, tuned base-stock policies outperform the hybrid policy. The regime-dependent patterns indicate that hybrid AI can deliver gains under nominal conditions, yet it can fail under a shift unless deployment includes safety layers.</w:t>
      </w:r>
    </w:p>
    <w:p w14:paraId="1E597946" w14:textId="77777777" w:rsidR="009F3C08" w:rsidRPr="00A70916" w:rsidRDefault="004B492D" w:rsidP="009F3C08">
      <w:pPr>
        <w:pStyle w:val="text-base"/>
        <w:jc w:val="both"/>
        <w:rPr>
          <w:color w:val="000000" w:themeColor="text1"/>
          <w:lang w:val="en-US"/>
        </w:rPr>
      </w:pPr>
      <w:r w:rsidRPr="00FD0529">
        <w:rPr>
          <w:lang w:val="en-US"/>
        </w:rPr>
        <w:t>Generalizability is constrained by computational limits, a short horizon, and partially synthetic supply parameters. The paired common-random-number design controls stochastic noise, yet it does not replace external validity. Non-significant differences after Holm correction remain exploratory.</w:t>
      </w:r>
    </w:p>
    <w:p w14:paraId="698E472C" w14:textId="77777777" w:rsidR="009F3C08" w:rsidRPr="00A70916" w:rsidRDefault="009C5FF5" w:rsidP="00B40008">
      <w:pPr>
        <w:pStyle w:val="Ttulo2"/>
      </w:pPr>
      <w:r>
        <w:t>6.2 Contributions and Implications</w:t>
      </w:r>
    </w:p>
    <w:p w14:paraId="124D4D89" w14:textId="2AE3FBFF" w:rsidR="00DE46E7" w:rsidRPr="00DE46E7" w:rsidRDefault="00E91D70" w:rsidP="00DE46E7">
      <w:pPr>
        <w:pStyle w:val="text-base"/>
        <w:jc w:val="both"/>
        <w:rPr>
          <w:color w:val="000000" w:themeColor="text1"/>
          <w:lang w:val="en-US"/>
        </w:rPr>
      </w:pPr>
      <w:r w:rsidRPr="00E91D70">
        <w:rPr>
          <w:lang w:val="en-US"/>
        </w:rPr>
        <w:t>This study contributes in three ways</w:t>
      </w:r>
      <w:r w:rsidR="00DE46E7" w:rsidRPr="00653ACC">
        <w:rPr>
          <w:lang w:val="en-US"/>
        </w:rPr>
        <w:t xml:space="preserve">. First, it evaluates a hybrid ML–RL–GA controller against tuned classical baselines under paired Monte Carlo simulation with an audit layer and full-scenario reporting. Second, it documents a regime-dependent performance profile, including catastrophic collapse under supply disruption, which evaluations often omit. Third, it translates these findings into deployment </w:t>
      </w:r>
      <w:r w:rsidR="00D508F7">
        <w:rPr>
          <w:lang w:val="en-US"/>
        </w:rPr>
        <w:t>requirement</w:t>
      </w:r>
      <w:r w:rsidR="00DE46E7" w:rsidRPr="00653ACC">
        <w:rPr>
          <w:lang w:val="en-US"/>
        </w:rPr>
        <w:t>s that treat service floors as primary constraints and motivate guardrails such as base-stock fallback rules and runtime monitors.</w:t>
      </w:r>
    </w:p>
    <w:p w14:paraId="3AA43F7C" w14:textId="77777777" w:rsidR="00DE46E7" w:rsidRPr="003C7A4F" w:rsidRDefault="00DE46E7" w:rsidP="00DE46E7">
      <w:pPr>
        <w:pStyle w:val="text-base"/>
        <w:jc w:val="both"/>
        <w:rPr>
          <w:color w:val="000000" w:themeColor="text1"/>
          <w:lang w:val="en-US"/>
        </w:rPr>
      </w:pPr>
      <w:r w:rsidRPr="00A25014">
        <w:rPr>
          <w:lang w:val="en-US"/>
        </w:rPr>
        <w:t>The findings describe how a hybrid RL policy behaves across demand regimes in a SUS-like inventory setting. Given the exploratory design (n = 100; ≈45% power for medium effects), results should be treated as preliminary, especially when differences are not significant after Holm correction.</w:t>
      </w:r>
    </w:p>
    <w:p w14:paraId="4A245329" w14:textId="77777777" w:rsidR="002576E9" w:rsidRDefault="00DE46E7" w:rsidP="00DE46E7">
      <w:pPr>
        <w:pStyle w:val="text-base"/>
        <w:jc w:val="both"/>
        <w:rPr>
          <w:color w:val="000000" w:themeColor="text1"/>
          <w:lang w:val="en-US"/>
        </w:rPr>
      </w:pPr>
      <w:r w:rsidRPr="00FD0529">
        <w:rPr>
          <w:lang w:val="en-US"/>
        </w:rPr>
        <w:t>Institutional adoption depends on governance capacity, data availability, and tolerance for service risk. Stable-regime gains do not justify deployment when plausible disruption scenarios can trigger service collapse. Health systems should treat learning-based inventory controllers as candidates for controlled pilots with fallback policies, rather than as replacements for tuned base-stock controls. Confirmatory replication with longer horizons, multi-seed training, and service constraints should precede any operational rollout.</w:t>
      </w:r>
    </w:p>
    <w:p w14:paraId="6E9720F0" w14:textId="781A2BA0" w:rsidR="0047501B" w:rsidRPr="00A25014" w:rsidRDefault="00000000" w:rsidP="00136957">
      <w:pPr>
        <w:pStyle w:val="text-base"/>
        <w:jc w:val="both"/>
        <w:rPr>
          <w:lang w:val="en-US"/>
        </w:rPr>
      </w:pPr>
      <w:r>
        <w:t>The manuscript treats deployment gates as hypotheses rather than decision rules. The empirical panel exhibits a CV above 0.40, yet volatility alone does not predict hybrid-policy advantage over tuned baselines. Throughput and penalty gates motivate unit-consistent definitions tied to line-volume and clinical criticality. Confirmatory studies should estimate these gates using out-of-sample policy deltas across broader lead-time and disruption settings. Observed SUS facility-day volumes in Appendix C.4 suggest that 20–50 lines/day defines a realistic facility-scale range (90th percentile ≈22), so any throughput gate should match the operational aggregation used in deployment.</w:t>
      </w:r>
    </w:p>
    <w:p w14:paraId="36D7773F" w14:textId="77777777" w:rsidR="002437B6" w:rsidRPr="002437B6" w:rsidRDefault="002437B6" w:rsidP="00B40008">
      <w:pPr>
        <w:pStyle w:val="Ttulo2"/>
      </w:pPr>
      <w:r w:rsidRPr="002437B6">
        <w:t>6.3 Methodological Recommendations for Future Studies</w:t>
      </w:r>
    </w:p>
    <w:p w14:paraId="030680A2" w14:textId="77777777" w:rsidR="00486F25" w:rsidRPr="00486F25" w:rsidRDefault="00486F25" w:rsidP="00486F25">
      <w:pPr>
        <w:pStyle w:val="text-base"/>
        <w:jc w:val="both"/>
        <w:rPr>
          <w:color w:val="000000" w:themeColor="text1"/>
          <w:lang w:val="en-US"/>
        </w:rPr>
      </w:pPr>
      <w:r w:rsidRPr="00FD0529">
        <w:rPr>
          <w:lang w:val="en-US"/>
        </w:rPr>
        <w:t>Future studies should pre-register a paired simulation design that reuses identical demand and lead-time trajectories across policies, reports paired effect sizes with bootstrap confidence intervals, and controls family-wise error within each regime.</w:t>
      </w:r>
    </w:p>
    <w:p w14:paraId="2B818B0A" w14:textId="77777777" w:rsidR="002437B6" w:rsidRDefault="00655EA7" w:rsidP="00655EA7">
      <w:pPr>
        <w:pStyle w:val="text-base"/>
        <w:jc w:val="both"/>
        <w:rPr>
          <w:color w:val="000000" w:themeColor="text1"/>
          <w:lang w:val="en-US"/>
        </w:rPr>
      </w:pPr>
      <w:r w:rsidRPr="00FD0529">
        <w:rPr>
          <w:lang w:val="en-US"/>
        </w:rPr>
        <w:t xml:space="preserve">Researchers should generate exogenous trajectories centrally, pass them to all policies, and </w:t>
      </w:r>
      <w:r w:rsidR="00136957">
        <w:rPr>
          <w:lang w:val="en-US"/>
        </w:rPr>
        <w:t>turn off</w:t>
      </w:r>
      <w:r w:rsidRPr="00FD0529">
        <w:rPr>
          <w:lang w:val="en-US"/>
        </w:rPr>
        <w:t xml:space="preserve"> within-policy random sampling. Multi-seed replication and longer horizons can quantify </w:t>
      </w:r>
      <w:r w:rsidR="00136957">
        <w:rPr>
          <w:lang w:val="en-US"/>
        </w:rPr>
        <w:t xml:space="preserve">the </w:t>
      </w:r>
      <w:r w:rsidRPr="00FD0529">
        <w:rPr>
          <w:lang w:val="en-US"/>
        </w:rPr>
        <w:t>sensitivity of learned policies to training randomness and disruption timing.</w:t>
      </w:r>
    </w:p>
    <w:p w14:paraId="23BFBD5A" w14:textId="77777777" w:rsidR="00EC3723" w:rsidRPr="00A70916" w:rsidRDefault="00EC3723" w:rsidP="00E51839">
      <w:pPr>
        <w:pStyle w:val="Ttulo1"/>
      </w:pPr>
      <w:r w:rsidRPr="00A70916">
        <w:t>Acknowledgments</w:t>
      </w:r>
    </w:p>
    <w:p w14:paraId="0DCFF174" w14:textId="05D611B0" w:rsidR="00EC3723" w:rsidRPr="00A70916" w:rsidRDefault="00EC3723" w:rsidP="00EC3723">
      <w:pPr>
        <w:pStyle w:val="text-base"/>
        <w:jc w:val="both"/>
        <w:rPr>
          <w:color w:val="000000" w:themeColor="text1"/>
          <w:lang w:val="en-US"/>
        </w:rPr>
      </w:pPr>
      <w:r w:rsidRPr="00A70916">
        <w:rPr>
          <w:color w:val="000000" w:themeColor="text1"/>
          <w:lang w:val="en-US"/>
        </w:rPr>
        <w:t xml:space="preserve">The authors thank the Bahia State Health Department and </w:t>
      </w:r>
      <w:r w:rsidR="00CB3415" w:rsidRPr="00A70916">
        <w:rPr>
          <w:color w:val="000000" w:themeColor="text1"/>
          <w:lang w:val="en-US"/>
        </w:rPr>
        <w:t xml:space="preserve">the </w:t>
      </w:r>
      <w:r w:rsidR="006104F6">
        <w:rPr>
          <w:color w:val="000000" w:themeColor="text1"/>
          <w:lang w:val="en-US"/>
        </w:rPr>
        <w:t xml:space="preserve">Federal </w:t>
      </w:r>
      <w:r w:rsidRPr="00A70916">
        <w:rPr>
          <w:color w:val="000000" w:themeColor="text1"/>
          <w:lang w:val="en-US"/>
        </w:rPr>
        <w:t xml:space="preserve">University </w:t>
      </w:r>
      <w:r w:rsidR="006104F6">
        <w:rPr>
          <w:color w:val="000000" w:themeColor="text1"/>
          <w:lang w:val="en-US"/>
        </w:rPr>
        <w:t xml:space="preserve">of Bahia </w:t>
      </w:r>
      <w:r w:rsidRPr="00A70916">
        <w:rPr>
          <w:color w:val="000000" w:themeColor="text1"/>
          <w:lang w:val="en-US"/>
        </w:rPr>
        <w:t xml:space="preserve">Hospital for providing the databases that </w:t>
      </w:r>
      <w:r w:rsidR="00136957">
        <w:rPr>
          <w:color w:val="000000" w:themeColor="text1"/>
          <w:lang w:val="en-US"/>
        </w:rPr>
        <w:t>enabled this study</w:t>
      </w:r>
      <w:r w:rsidRPr="00A70916">
        <w:rPr>
          <w:color w:val="000000" w:themeColor="text1"/>
          <w:lang w:val="en-US"/>
        </w:rPr>
        <w:t>.</w:t>
      </w:r>
    </w:p>
    <w:p w14:paraId="7D6E94C0" w14:textId="77777777" w:rsidR="00EC3723" w:rsidRPr="00A70916" w:rsidRDefault="00EC3723" w:rsidP="00E51839">
      <w:pPr>
        <w:pStyle w:val="Ttulo1"/>
      </w:pPr>
      <w:r w:rsidRPr="00A70916">
        <w:lastRenderedPageBreak/>
        <w:t>Data Availability Statement</w:t>
      </w:r>
    </w:p>
    <w:p w14:paraId="164D9100" w14:textId="77777777" w:rsidR="0047501B" w:rsidRPr="007144EB" w:rsidRDefault="00000000" w:rsidP="007144EB">
      <w:pPr>
        <w:pStyle w:val="text-base"/>
        <w:jc w:val="both"/>
        <w:rPr>
          <w:color w:val="000000" w:themeColor="text1"/>
          <w:lang w:val="en-US"/>
        </w:rPr>
      </w:pPr>
      <w:r w:rsidRPr="007144EB">
        <w:rPr>
          <w:color w:val="000000" w:themeColor="text1"/>
          <w:lang w:val="en-US"/>
        </w:rPr>
        <w:t>The study uses operational demand records from SUS institutions (SESAB and HUPES, 2022–2023), subject to data-sharing constraints under institutional data-use agreements.</w:t>
      </w:r>
    </w:p>
    <w:p w14:paraId="38C05B3B" w14:textId="77777777" w:rsidR="0047501B" w:rsidRPr="007144EB" w:rsidRDefault="00000000" w:rsidP="007144EB">
      <w:pPr>
        <w:pStyle w:val="text-base"/>
        <w:jc w:val="both"/>
        <w:rPr>
          <w:color w:val="000000" w:themeColor="text1"/>
          <w:lang w:val="en-US"/>
        </w:rPr>
      </w:pPr>
      <w:r w:rsidRPr="007144EB">
        <w:rPr>
          <w:color w:val="000000" w:themeColor="text1"/>
          <w:lang w:val="en-US"/>
        </w:rPr>
        <w:t>The authors provide the following materials:</w:t>
      </w:r>
    </w:p>
    <w:p w14:paraId="4678C30B" w14:textId="77777777" w:rsidR="0047501B" w:rsidRPr="007144EB" w:rsidRDefault="00000000" w:rsidP="007144EB">
      <w:pPr>
        <w:pStyle w:val="text-base"/>
        <w:numPr>
          <w:ilvl w:val="0"/>
          <w:numId w:val="37"/>
        </w:numPr>
        <w:jc w:val="both"/>
        <w:rPr>
          <w:color w:val="000000" w:themeColor="text1"/>
          <w:lang w:val="en-US"/>
        </w:rPr>
      </w:pPr>
      <w:r w:rsidRPr="007144EB">
        <w:rPr>
          <w:color w:val="000000" w:themeColor="text1"/>
          <w:lang w:val="en-US"/>
        </w:rPr>
        <w:t xml:space="preserve">Simulation code: Full simulation code for </w:t>
      </w:r>
      <w:r w:rsidRPr="006104F6">
        <w:rPr>
          <w:i/>
          <w:iCs/>
          <w:color w:val="000000" w:themeColor="text1"/>
          <w:lang w:val="en-US"/>
        </w:rPr>
        <w:t>Simulation A</w:t>
      </w:r>
      <w:r w:rsidRPr="007144EB">
        <w:rPr>
          <w:color w:val="000000" w:themeColor="text1"/>
          <w:lang w:val="en-US"/>
        </w:rPr>
        <w:t xml:space="preserve"> (SUS-calibrated discrete-event model), Code/TEST (reproducible validation protocol), and associated environment specifications. The archived, runnable artifact is available as a public repository snapshot (GitHub: </w:t>
      </w:r>
      <w:r w:rsidRPr="002B5D44">
        <w:rPr>
          <w:i/>
          <w:iCs/>
          <w:color w:val="000000" w:themeColor="text1"/>
          <w:lang w:val="en-US"/>
        </w:rPr>
        <w:t>KM20197/SUS_SCM; Zenodo DOI: 10.5281/zenodo</w:t>
      </w:r>
      <w:r w:rsidR="008E66BF" w:rsidRPr="002B5D44">
        <w:rPr>
          <w:i/>
          <w:iCs/>
          <w:color w:val="000000" w:themeColor="text1"/>
          <w:lang w:val="en-US"/>
        </w:rPr>
        <w:t>.</w:t>
      </w:r>
      <w:r w:rsidRPr="002B5D44">
        <w:rPr>
          <w:i/>
          <w:iCs/>
          <w:color w:val="000000" w:themeColor="text1"/>
          <w:lang w:val="en-US"/>
        </w:rPr>
        <w:t>17420367</w:t>
      </w:r>
      <w:r w:rsidRPr="007144EB">
        <w:rPr>
          <w:color w:val="000000" w:themeColor="text1"/>
          <w:lang w:val="en-US"/>
        </w:rPr>
        <w:t>), including environment specifications and table-generation scripts.</w:t>
      </w:r>
    </w:p>
    <w:p w14:paraId="21DF6A52" w14:textId="77777777" w:rsidR="0047501B" w:rsidRPr="007144EB" w:rsidRDefault="00000000" w:rsidP="007144EB">
      <w:pPr>
        <w:pStyle w:val="text-base"/>
        <w:numPr>
          <w:ilvl w:val="0"/>
          <w:numId w:val="37"/>
        </w:numPr>
        <w:jc w:val="both"/>
        <w:rPr>
          <w:color w:val="000000" w:themeColor="text1"/>
          <w:lang w:val="en-US"/>
        </w:rPr>
      </w:pPr>
      <w:r w:rsidRPr="007144EB">
        <w:rPr>
          <w:color w:val="000000" w:themeColor="text1"/>
          <w:lang w:val="en-US"/>
        </w:rPr>
        <w:t>Synthetic parameters: Parameter files, expert-elicited supply distribution specifications, and routing coordinate instances for replication of the experimental design.</w:t>
      </w:r>
    </w:p>
    <w:p w14:paraId="12FE7FCB" w14:textId="77777777" w:rsidR="0047501B" w:rsidRPr="007144EB" w:rsidRDefault="00000000" w:rsidP="007144EB">
      <w:pPr>
        <w:pStyle w:val="text-base"/>
        <w:numPr>
          <w:ilvl w:val="0"/>
          <w:numId w:val="37"/>
        </w:numPr>
        <w:jc w:val="both"/>
        <w:rPr>
          <w:color w:val="000000" w:themeColor="text1"/>
          <w:lang w:val="en-US"/>
        </w:rPr>
      </w:pPr>
      <w:r w:rsidRPr="007144EB">
        <w:rPr>
          <w:color w:val="000000" w:themeColor="text1"/>
          <w:lang w:val="en-US"/>
        </w:rPr>
        <w:t>Validation data: TEST cost arrays (CSV files) for all four scenarios (Stable, High Volatility, Supply Disruption, Seasonal Surge) and all policy comparisons, supporting replication of the signed-rank testing, Holm sequential correction, and bootstrap confidence interval calculations reported in Tables 1–4.</w:t>
      </w:r>
    </w:p>
    <w:p w14:paraId="48794478" w14:textId="77777777" w:rsidR="0047501B" w:rsidRPr="007144EB" w:rsidRDefault="00000000" w:rsidP="007144EB">
      <w:pPr>
        <w:pStyle w:val="text-base"/>
        <w:numPr>
          <w:ilvl w:val="0"/>
          <w:numId w:val="37"/>
        </w:numPr>
        <w:jc w:val="both"/>
        <w:rPr>
          <w:color w:val="000000" w:themeColor="text1"/>
          <w:lang w:val="en-US"/>
        </w:rPr>
      </w:pPr>
      <w:r w:rsidRPr="007144EB">
        <w:rPr>
          <w:color w:val="000000" w:themeColor="text1"/>
          <w:lang w:val="en-US"/>
        </w:rPr>
        <w:t>Supplementary files: Appendices containing sensitivity analyses (Appendix C), parameter specifications (Appendix D), and validation procedures (Appendix E).</w:t>
      </w:r>
    </w:p>
    <w:p w14:paraId="6F44927F" w14:textId="77777777" w:rsidR="0047501B" w:rsidRPr="007144EB" w:rsidRDefault="00000000" w:rsidP="007144EB">
      <w:pPr>
        <w:pStyle w:val="text-base"/>
        <w:jc w:val="both"/>
        <w:rPr>
          <w:color w:val="000000" w:themeColor="text1"/>
          <w:lang w:val="en-US"/>
        </w:rPr>
      </w:pPr>
      <w:r w:rsidRPr="007144EB">
        <w:rPr>
          <w:color w:val="000000" w:themeColor="text1"/>
          <w:lang w:val="en-US"/>
        </w:rPr>
        <w:t>The institution-level raw transaction logs from SUS facilities remain restricted under data-use agreements and cannot be shared publicly. The shared artifacts suffice to replicate the statistical validation pipeline and verify all published numerical results.</w:t>
      </w:r>
    </w:p>
    <w:p w14:paraId="34B50959" w14:textId="77777777" w:rsidR="00747409" w:rsidRPr="00FD0529" w:rsidRDefault="00747409" w:rsidP="00E51839">
      <w:pPr>
        <w:pStyle w:val="Ttulo1"/>
      </w:pPr>
      <w:r w:rsidRPr="00FD0529">
        <w:t>References</w:t>
      </w:r>
    </w:p>
    <w:p w14:paraId="203474E0" w14:textId="77777777" w:rsidR="002B5D44" w:rsidRPr="002B5D44" w:rsidRDefault="002B5D44" w:rsidP="002B5D44">
      <w:pPr>
        <w:pStyle w:val="Bibliografia"/>
        <w:rPr>
          <w:rFonts w:ascii="Times New Roman" w:hAnsi="Times New Roman" w:cs="Times New Roman"/>
          <w:color w:val="000000" w:themeColor="text1"/>
          <w:spacing w:val="-10"/>
          <w:position w:val="6"/>
          <w:sz w:val="2"/>
          <w:szCs w:val="2"/>
          <w:u w:val="single"/>
        </w:rPr>
      </w:pPr>
    </w:p>
    <w:p w14:paraId="76DF8776" w14:textId="77777777" w:rsidR="009B20C1" w:rsidRPr="009B20C1" w:rsidRDefault="002B5D44" w:rsidP="009B20C1">
      <w:pPr>
        <w:pStyle w:val="Bibliografia"/>
        <w:rPr>
          <w:rFonts w:ascii="Times New Roman" w:hAnsi="Times New Roman" w:cs="Times New Roman"/>
          <w:sz w:val="20"/>
        </w:rPr>
      </w:pPr>
      <w:r w:rsidRPr="002B5D44">
        <w:rPr>
          <w:color w:val="000000" w:themeColor="text1"/>
          <w:spacing w:val="-10"/>
          <w:position w:val="6"/>
          <w:sz w:val="20"/>
          <w:szCs w:val="20"/>
          <w:u w:val="single"/>
        </w:rPr>
        <w:fldChar w:fldCharType="begin"/>
      </w:r>
      <w:r w:rsidRPr="002B5D44">
        <w:rPr>
          <w:color w:val="000000" w:themeColor="text1"/>
          <w:spacing w:val="-10"/>
          <w:position w:val="6"/>
          <w:sz w:val="20"/>
          <w:szCs w:val="20"/>
          <w:u w:val="single"/>
        </w:rPr>
        <w:instrText xml:space="preserve"> ADDIN ZOTERO_BIBL {"uncited":[],"omitted":[],"custom":[]} CSL_BIBLIOGRAPHY </w:instrText>
      </w:r>
      <w:r w:rsidRPr="002B5D44">
        <w:rPr>
          <w:color w:val="000000" w:themeColor="text1"/>
          <w:spacing w:val="-10"/>
          <w:position w:val="6"/>
          <w:sz w:val="20"/>
          <w:szCs w:val="20"/>
          <w:u w:val="single"/>
        </w:rPr>
        <w:fldChar w:fldCharType="separate"/>
      </w:r>
      <w:r w:rsidR="009B20C1" w:rsidRPr="009B20C1">
        <w:rPr>
          <w:rFonts w:ascii="Times New Roman" w:hAnsi="Times New Roman" w:cs="Times New Roman"/>
          <w:sz w:val="20"/>
        </w:rPr>
        <w:t>Aldrighetti, R., Battini, D., Ivanov, D., 2023. Efficient resilience portfolio design in the supply chain with consideration of preparedness and recovery investments. Omega 117, 102841. https://doi.org/10.1016/j.omega.2023.102841</w:t>
      </w:r>
    </w:p>
    <w:p w14:paraId="785CC36F"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Arnold, S., Walz, E.-M., Ziegel, J., Gneiting, T., 2024. Decompositions of the mean continuous ranked probability score. Electron. J. Stat. 18. https://doi.org/10.1214/24-EJS2316</w:t>
      </w:r>
    </w:p>
    <w:p w14:paraId="19C2660C"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Batsis, A., Samothrakis, S., 2024. Contextual reinforcement learning for supply chain management. Expert Syst. Appl. 249, 123541. https://doi.org/10.1016/j.eswa.2024.123541</w:t>
      </w:r>
    </w:p>
    <w:p w14:paraId="51D1A36A"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Bermúdez, J.S., Chanona, A. del R., Tsay, C., 2023. Distributional constrained reinforcement learning for supply chain optimization. https://doi.org/10.48550/ARXIV.2302.01727</w:t>
      </w:r>
    </w:p>
    <w:p w14:paraId="7276F72A"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Bogyrbayeva, A., Meraliyev, M., Mustakhov, T., Dauletbayev, B., 2024. Machine Learning to Solve Vehicle Routing Problems: A Survey. IEEE Trans. Intell. Transp. Syst. 25, 4754–4772. https://doi.org/10.1109/TITS.2023.3334976</w:t>
      </w:r>
    </w:p>
    <w:p w14:paraId="58F50868"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Cannas, V.G., Ciano, M.P., Saltalamacchia, M., Secchi, R., 2024. Artificial intelligence in supply chain and operations management: a multiple case study research. Int. J. Prod. Res. 62, 3333–3360. https://doi.org/10.1080/00207543.2023.2232050</w:t>
      </w:r>
    </w:p>
    <w:p w14:paraId="4B506B40"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Chen, Y., Xu, X., Zhang, J.H., 2025. Improving Inventory Management Quality with Reinforcement Learning: AI versus Human Decision-Making. Account. Horiz. 1–18. https://doi.org/10.2308/HORIZONS-2024-121</w:t>
      </w:r>
    </w:p>
    <w:p w14:paraId="672F5E8C"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Correll, R., Weinberg, S.J., Sanches, F., Ide, T., Suzuki, T., 2023. Quantum Neural Networks for a Supply Chain Logistics Application. Adv. Quantum Technol. 6, 2200183. https://doi.org/10.1002/qute.202200183</w:t>
      </w:r>
    </w:p>
    <w:p w14:paraId="1F4B1B12"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Cresswell, K., Rigby, M., Magrabi, F., Scott, P., Brender, J., Craven, C.K., Wong, Z.S.-Y., Kukhareva, P., Ammenwerth, E., Georgiou, A., Medlock, S., De Keizer, N.F., Nykänen, P., Prgomet, M., Williams, R., 2023. The need to strengthen the evaluation of the impact of Artificial Intelligence-based decision support systems on healthcare provision. Health Policy 136, 104889. https://doi.org/10.1016/j.healthpol.2023.104889</w:t>
      </w:r>
    </w:p>
    <w:p w14:paraId="1F5A3ED5"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Dehkhoda, K., Bélanger, V., Cousineau, M., 2025. The effect of visibility on forecast and inventory management performance during the COVID-19 pandemic. Int. J. Prod. Res. 63, 2970–2992. https://doi.org/10.1080/00207543.2024.2414380</w:t>
      </w:r>
    </w:p>
    <w:p w14:paraId="64293B2E"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Esmaeilzadeh, P., 2024. Challenges and strategies for wide-scale artificial intelligence (AI) deployment in healthcare practices: A perspective for healthcare organizations. Artif. Intell. Med. 151, 102861. https://doi.org/10.1016/j.artmed.2024.102861</w:t>
      </w:r>
    </w:p>
    <w:p w14:paraId="1CD050B2"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 xml:space="preserve">Fan, Z., Ghaddar, B., Wang, X., Xing, L., Zhang, Y., Zhou, Z., 2024. Artificial Intelligence for Operations Research: </w:t>
      </w:r>
      <w:r w:rsidRPr="009B20C1">
        <w:rPr>
          <w:rFonts w:ascii="Times New Roman" w:hAnsi="Times New Roman" w:cs="Times New Roman"/>
          <w:sz w:val="20"/>
        </w:rPr>
        <w:lastRenderedPageBreak/>
        <w:t>Revolutionizing the Operations Research Process. https://doi.org/10.48550/ARXIV.2401.03244</w:t>
      </w:r>
    </w:p>
    <w:p w14:paraId="7EB46F3D"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Harsha, P., Jagmohan, A., Kalagnanam, J., Quanz, B., Singhvi, D., 2025. Deep Policy Iteration with Integer Programming for Inventory Management. Manuf. Serv. Oper. Manag. 27, 369–388. https://doi.org/10.1287/msom.2022.0617</w:t>
      </w:r>
    </w:p>
    <w:p w14:paraId="6B1C684D"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Hasni, M., Babai, M.Z., Rostami-Tabar, B., 2024. A hybrid LSTM method for forecasting demands of medical items in humanitarian operations. Int. J. Prod. Res. 62, 6046–6063. https://doi.org/10.1080/00207543.2024.2306904</w:t>
      </w:r>
    </w:p>
    <w:p w14:paraId="3BDA369A"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Helo, P., Hao, Y., 2022. Artificial intelligence in operations management and supply chain management: an exploratory case study. Prod. Plan. Control 33, 1573–1590. https://doi.org/10.1080/09537287.2021.1882690</w:t>
      </w:r>
    </w:p>
    <w:p w14:paraId="3D6D89B0"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Iftikhar, A., Ali, I., Arslan, A., Tarba, S., 2024. Digital Innovation, Data Analytics, and Supply Chain Resiliency: A Bibliometric-based Systematic Literature Review. Ann. Oper. Res. 333, 825–848. https://doi.org/10.1007/s10479-022-04765-6</w:t>
      </w:r>
    </w:p>
    <w:p w14:paraId="2E47F350"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Jayant, A.K., Bhatnagar, S., 2022. Model-based Safe Deep Reinforcement Learning via a Constrained Proximal Policy Optimization Algorithm. https://doi.org/10.48550/ARXIV.2210.07573</w:t>
      </w:r>
    </w:p>
    <w:p w14:paraId="194E1DC1" w14:textId="77777777" w:rsidR="009B20C1" w:rsidRPr="009B20C1" w:rsidRDefault="009B20C1" w:rsidP="009B20C1">
      <w:pPr>
        <w:pStyle w:val="Bibliografia"/>
        <w:rPr>
          <w:rFonts w:ascii="Times New Roman" w:hAnsi="Times New Roman" w:cs="Times New Roman"/>
          <w:sz w:val="20"/>
          <w:lang w:val="pt-BR"/>
        </w:rPr>
      </w:pPr>
      <w:r w:rsidRPr="009B20C1">
        <w:rPr>
          <w:rFonts w:ascii="Times New Roman" w:hAnsi="Times New Roman" w:cs="Times New Roman"/>
          <w:sz w:val="20"/>
        </w:rPr>
        <w:t xml:space="preserve">Kegenbekov, Z., Jackson, I., 2021. Adaptive Supply Chain: Demand–Supply Synchronization Using Deep Reinforcement Learning. </w:t>
      </w:r>
      <w:r w:rsidRPr="009B20C1">
        <w:rPr>
          <w:rFonts w:ascii="Times New Roman" w:hAnsi="Times New Roman" w:cs="Times New Roman"/>
          <w:sz w:val="20"/>
          <w:lang w:val="pt-BR"/>
        </w:rPr>
        <w:t>Algorithms 14, 240. https://doi.org/10.3390/a14080240</w:t>
      </w:r>
    </w:p>
    <w:p w14:paraId="64D838D9"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lang w:val="pt-BR"/>
        </w:rPr>
        <w:t xml:space="preserve">Khan, F.S., Masum, A.A., Adam, J., Karim, M.R., Afrin, S., 2024. </w:t>
      </w:r>
      <w:r w:rsidRPr="009B20C1">
        <w:rPr>
          <w:rFonts w:ascii="Times New Roman" w:hAnsi="Times New Roman" w:cs="Times New Roman"/>
          <w:sz w:val="20"/>
        </w:rPr>
        <w:t>AI in Healthcare Supply Chain Management: Enhancing Efficiency and Reducing Costs with Predictive Analytics. J. Comput. Sci. Technol. Stud. 6, 85–93. https://doi.org/10.32996/jcsts.2024.6.5.8</w:t>
      </w:r>
    </w:p>
    <w:p w14:paraId="5609BE76"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Kotecha, N., Del Rio Chanona, A., 2025. Leveraging graph neural networks and multi-agent reinforcement learning for inventory control in supply chains. Comput. Chem. Eng. 199, 109111. https://doi.org/10.1016/j.compchemeng.2025.109111</w:t>
      </w:r>
    </w:p>
    <w:p w14:paraId="4EDCA8B5"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Kumar, A., Mani, V., Jain, V., Gupta, H., Venkatesh, V.G., 2023. Managing healthcare supply chain through artificial intelligence (AI): A study of critical success factors. Comput. Ind. Eng. 175, 108815. https://doi.org/10.1016/j.cie.2022.108815</w:t>
      </w:r>
    </w:p>
    <w:p w14:paraId="0240FA8E"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Lam, W.H., Lam, W.S., Lee, P.F., 2024. A Bibliometric Analysis of a Genetic Algorithm for Supply Chain Agility. Mathematics 12, 1199. https://doi.org/10.3390/math12081199</w:t>
      </w:r>
    </w:p>
    <w:p w14:paraId="11D8C20D"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Liu, Z., Nishi, T., 2024. Surrogate-assisted evolutionary optimization for perishable inventory management in multi-echelon distribution systems. Expert Syst. Appl. 238, 122179. https://doi.org/10.1016/j.eswa.2023.122179</w:t>
      </w:r>
    </w:p>
    <w:p w14:paraId="4399237F"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Long, P., Lu, L., Chen, Q., Chen, Y., Li, C., Luo, X., 2023. Intelligent selection of healthcare supply chain mode – an applied research based on artificial intelligence. Front. Public Health 11, 1310016. https://doi.org/10.3389/fpubh.2023.1310016</w:t>
      </w:r>
    </w:p>
    <w:p w14:paraId="64F3A783"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Maharjan, R., Kato, H., 2022. Resilient supply chain network design: a systematic literature review. Transp. Rev. 42, 739–761. https://doi.org/10.1080/01441647.2022.2080773</w:t>
      </w:r>
    </w:p>
    <w:p w14:paraId="726E2766"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Metzker, P., Thevenin, S., Adulyasak, Y., Dolgui, A., 2025. Distributionally Robust Optimization for the Multi-Period Multi-Item Lot-Sizing Problems Under Yield Uncertainty. IEEE Trans. Autom. Sci. Eng. 22, 11731–11752. https://doi.org/10.1109/TASE.2025.3535945</w:t>
      </w:r>
    </w:p>
    <w:p w14:paraId="06EA79F5"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Owens, K., Griffen, Z., Damaraju, L., 2025. Managing a “responsibility vacuum” in AI monitoring and governance in healthcare: a qualitative study. BMC Health Serv. Res. 25, 1217. https://doi.org/10.1186/s12913-025-13388-z</w:t>
      </w:r>
    </w:p>
    <w:p w14:paraId="6C554FE4"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Panzarella, E., Beribisky, N., Cribbie, R.A., 2021. Denouncing the use of field-specific effect size distributions to inform magnitude. PeerJ 9, e11383. https://doi.org/10.7717/peerj.11383</w:t>
      </w:r>
    </w:p>
    <w:p w14:paraId="1FE6DE42"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 xml:space="preserve">Perera, S.C., Sethi, S.P., 2023. A survey of stochastic inventory models with fixed costs: Optimality of ( </w:t>
      </w:r>
      <w:r w:rsidRPr="009B20C1">
        <w:rPr>
          <w:rFonts w:ascii="Times New Roman" w:hAnsi="Times New Roman" w:cs="Times New Roman"/>
          <w:i/>
          <w:iCs/>
          <w:sz w:val="20"/>
        </w:rPr>
        <w:t>s</w:t>
      </w:r>
      <w:r w:rsidRPr="009B20C1">
        <w:rPr>
          <w:rFonts w:ascii="Times New Roman" w:hAnsi="Times New Roman" w:cs="Times New Roman"/>
          <w:sz w:val="20"/>
        </w:rPr>
        <w:t xml:space="preserve"> , </w:t>
      </w:r>
      <w:r w:rsidRPr="009B20C1">
        <w:rPr>
          <w:rFonts w:ascii="Times New Roman" w:hAnsi="Times New Roman" w:cs="Times New Roman"/>
          <w:i/>
          <w:iCs/>
          <w:sz w:val="20"/>
        </w:rPr>
        <w:t>S</w:t>
      </w:r>
      <w:r w:rsidRPr="009B20C1">
        <w:rPr>
          <w:rFonts w:ascii="Times New Roman" w:hAnsi="Times New Roman" w:cs="Times New Roman"/>
          <w:sz w:val="20"/>
        </w:rPr>
        <w:t xml:space="preserve"> ) and ( </w:t>
      </w:r>
      <w:r w:rsidRPr="009B20C1">
        <w:rPr>
          <w:rFonts w:ascii="Times New Roman" w:hAnsi="Times New Roman" w:cs="Times New Roman"/>
          <w:i/>
          <w:iCs/>
          <w:sz w:val="20"/>
        </w:rPr>
        <w:t>s</w:t>
      </w:r>
      <w:r w:rsidRPr="009B20C1">
        <w:rPr>
          <w:rFonts w:ascii="Times New Roman" w:hAnsi="Times New Roman" w:cs="Times New Roman"/>
          <w:sz w:val="20"/>
        </w:rPr>
        <w:t xml:space="preserve"> , </w:t>
      </w:r>
      <w:r w:rsidRPr="009B20C1">
        <w:rPr>
          <w:rFonts w:ascii="Times New Roman" w:hAnsi="Times New Roman" w:cs="Times New Roman"/>
          <w:i/>
          <w:iCs/>
          <w:sz w:val="20"/>
        </w:rPr>
        <w:t>S</w:t>
      </w:r>
      <w:r w:rsidRPr="009B20C1">
        <w:rPr>
          <w:rFonts w:ascii="Times New Roman" w:hAnsi="Times New Roman" w:cs="Times New Roman"/>
          <w:sz w:val="20"/>
        </w:rPr>
        <w:t xml:space="preserve"> )‐type policies—Continuous‐time case. Prod. Oper. Manag. 32, 154–169. https://doi.org/10.1111/poms.13819</w:t>
      </w:r>
    </w:p>
    <w:p w14:paraId="76E94A56"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Qiu, R., Sun, Y., Sun, M., 2021. A distributionally robust optimization approach for multi-product inventory decisions with budget constraint and demand and yield uncertainties. Comput. Oper. Res. 126, 105081. https://doi.org/10.1016/j.cor.2020.105081</w:t>
      </w:r>
    </w:p>
    <w:p w14:paraId="6ED5C691"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Rolf, B., Jackson, I., Müller, M., Lang, S., Reggelin, T., Ivanov, D., 2023. A review on reinforcement learning algorithms and applications in supply chain management. Int. J. Prod. Res. 61, 7151–7179. https://doi.org/10.1080/00207543.2022.2140221</w:t>
      </w:r>
    </w:p>
    <w:p w14:paraId="1A2F964C"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Smyth, C., Dennehy, D., Fosso Wamba, S., Scott, M., Harfouche, A., 2024. Artificial intelligence and prescriptive analytics for supply chain resilience: a systematic literature review and research agenda. Int. J. Prod. Res. 62, 8537–8561. https://doi.org/10.1080/00207543.2024.2341415</w:t>
      </w:r>
    </w:p>
    <w:p w14:paraId="2EA5B18F"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Soraya, C., Surwanti, A., Pribadi, F., 2022. Drug Inventory Management Using ABC-VEN and EOQ Analysis for Improving Hospital Efficiency. J. Aisyah J. Ilmu Kesehat. 7, 373–382. https://doi.org/10.30604/jika.v7i1.1319</w:t>
      </w:r>
    </w:p>
    <w:p w14:paraId="25998D86"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Stranieri, F., Fadda, E., Stella, F., 2024. Combining deep reinforcement learning and multi-stage stochastic programming to address the supply chain inventory management problem. Int. J. Prod. Econ. 268, 109099. https://doi.org/10.1016/j.ijpe.2023.109099</w:t>
      </w:r>
    </w:p>
    <w:p w14:paraId="0ED7079A" w14:textId="77777777" w:rsidR="009B20C1" w:rsidRPr="009B20C1" w:rsidRDefault="009B20C1" w:rsidP="009B20C1">
      <w:pPr>
        <w:pStyle w:val="Bibliografia"/>
        <w:rPr>
          <w:rFonts w:ascii="Times New Roman" w:hAnsi="Times New Roman" w:cs="Times New Roman"/>
          <w:sz w:val="20"/>
          <w:lang w:val="es-UY"/>
        </w:rPr>
      </w:pPr>
      <w:r w:rsidRPr="009B20C1">
        <w:rPr>
          <w:rFonts w:ascii="Times New Roman" w:hAnsi="Times New Roman" w:cs="Times New Roman"/>
          <w:sz w:val="20"/>
        </w:rPr>
        <w:t xml:space="preserve">Sun, Y., Qiu, R., Sun, M., 2024. A robust optimization approach for inventory management with limited-time discounts and service-level requirement under demand uncertainty. </w:t>
      </w:r>
      <w:r w:rsidRPr="009B20C1">
        <w:rPr>
          <w:rFonts w:ascii="Times New Roman" w:hAnsi="Times New Roman" w:cs="Times New Roman"/>
          <w:sz w:val="20"/>
          <w:lang w:val="es-UY"/>
        </w:rPr>
        <w:t>Int. J. Prod. Econ. 267, 109096. https://doi.org/10.1016/j.ijpe.2023.109096</w:t>
      </w:r>
    </w:p>
    <w:p w14:paraId="6A4B6214"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lang w:val="es-UY"/>
        </w:rPr>
        <w:t xml:space="preserve">Temizöz, T., Imdahl, C., Dijkman, R., Lamghari-Idrissi, D., Van Jaarsveld, W., 2025. </w:t>
      </w:r>
      <w:r w:rsidRPr="009B20C1">
        <w:rPr>
          <w:rFonts w:ascii="Times New Roman" w:hAnsi="Times New Roman" w:cs="Times New Roman"/>
          <w:sz w:val="20"/>
        </w:rPr>
        <w:t>Deep Controlled Learning for Inventory Control. Eur. J. Oper. Res. 324, 104–117. https://doi.org/10.1016/j.ejor.2025.01.026</w:t>
      </w:r>
    </w:p>
    <w:p w14:paraId="68FE8FE0"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lang w:val="pt-BR"/>
        </w:rPr>
        <w:t xml:space="preserve">Theodorou, E., Spiliotis, E., Assimakopoulos, V., 2025. </w:t>
      </w:r>
      <w:r w:rsidRPr="009B20C1">
        <w:rPr>
          <w:rFonts w:ascii="Times New Roman" w:hAnsi="Times New Roman" w:cs="Times New Roman"/>
          <w:sz w:val="20"/>
        </w:rPr>
        <w:t xml:space="preserve">Forecast accuracy and inventory performance: Insights on their relationship from the M5 competition data. Eur. J. Oper. Res. 322, 414–426. </w:t>
      </w:r>
      <w:r w:rsidRPr="009B20C1">
        <w:rPr>
          <w:rFonts w:ascii="Times New Roman" w:hAnsi="Times New Roman" w:cs="Times New Roman"/>
          <w:sz w:val="20"/>
        </w:rPr>
        <w:lastRenderedPageBreak/>
        <w:t>https://doi.org/10.1016/j.ejor.2024.12.033</w:t>
      </w:r>
    </w:p>
    <w:p w14:paraId="08E272D3" w14:textId="77777777" w:rsidR="009B20C1" w:rsidRPr="009B20C1" w:rsidRDefault="009B20C1" w:rsidP="009B20C1">
      <w:pPr>
        <w:pStyle w:val="Bibliografia"/>
        <w:rPr>
          <w:rFonts w:ascii="Times New Roman" w:hAnsi="Times New Roman" w:cs="Times New Roman"/>
          <w:sz w:val="20"/>
          <w:lang w:val="es-UY"/>
        </w:rPr>
      </w:pPr>
      <w:r w:rsidRPr="009B20C1">
        <w:rPr>
          <w:rFonts w:ascii="Times New Roman" w:hAnsi="Times New Roman" w:cs="Times New Roman"/>
          <w:sz w:val="20"/>
        </w:rPr>
        <w:t xml:space="preserve">Xin, L., Goldberg, D.A., 2022. Distributionally Robust Inventory Control When Demand Is a Martingale. </w:t>
      </w:r>
      <w:r w:rsidRPr="009B20C1">
        <w:rPr>
          <w:rFonts w:ascii="Times New Roman" w:hAnsi="Times New Roman" w:cs="Times New Roman"/>
          <w:sz w:val="20"/>
          <w:lang w:val="es-UY"/>
        </w:rPr>
        <w:t>Math. Oper. Res. 47, 2387–2414. https://doi.org/10.1287/moor.2021.1213</w:t>
      </w:r>
    </w:p>
    <w:p w14:paraId="725BB216"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lang w:val="es-UY"/>
        </w:rPr>
        <w:t xml:space="preserve">Ye, Y., Lu, Y., Robinson, P., Narayanan, A., 2022. </w:t>
      </w:r>
      <w:r w:rsidRPr="009B20C1">
        <w:rPr>
          <w:rFonts w:ascii="Times New Roman" w:hAnsi="Times New Roman" w:cs="Times New Roman"/>
          <w:sz w:val="20"/>
        </w:rPr>
        <w:t>An empirical Bayes approach to incorporating demand intermittency and irregularity into inventory control. Eur. J. Oper. Res. 303, 255–272. https://doi.org/10.1016/j.ejor.2022.02.033</w:t>
      </w:r>
    </w:p>
    <w:p w14:paraId="42CBE0FD" w14:textId="77777777" w:rsidR="009B20C1" w:rsidRPr="009B20C1" w:rsidRDefault="009B20C1" w:rsidP="009B20C1">
      <w:pPr>
        <w:pStyle w:val="Bibliografia"/>
        <w:rPr>
          <w:rFonts w:ascii="Times New Roman" w:hAnsi="Times New Roman" w:cs="Times New Roman"/>
          <w:sz w:val="20"/>
        </w:rPr>
      </w:pPr>
      <w:r w:rsidRPr="009B20C1">
        <w:rPr>
          <w:rFonts w:ascii="Times New Roman" w:hAnsi="Times New Roman" w:cs="Times New Roman"/>
          <w:sz w:val="20"/>
        </w:rPr>
        <w:t>Zhang, L., Shen, L., Yang, L., Chen, S., Yuan, B., Wang, X., Tao, D., 2022. Penalized Proximal Policy Optimization for Safe Reinforcement Learning. https://doi.org/10.48550/ARXIV.2205.11814</w:t>
      </w:r>
    </w:p>
    <w:p w14:paraId="5E147F18" w14:textId="1A597132" w:rsidR="002B5D44" w:rsidRPr="002B5D44" w:rsidRDefault="002B5D44">
      <w:pPr>
        <w:widowControl/>
        <w:autoSpaceDE/>
        <w:autoSpaceDN/>
        <w:spacing w:after="160" w:line="259" w:lineRule="auto"/>
        <w:rPr>
          <w:rFonts w:ascii="Times New Roman" w:hAnsi="Times New Roman" w:cs="Times New Roman"/>
          <w:color w:val="000000" w:themeColor="text1"/>
          <w:spacing w:val="-10"/>
          <w:position w:val="6"/>
          <w:sz w:val="20"/>
          <w:szCs w:val="20"/>
          <w:u w:val="single"/>
        </w:rPr>
      </w:pPr>
      <w:r w:rsidRPr="002B5D44">
        <w:rPr>
          <w:rFonts w:ascii="Times New Roman" w:hAnsi="Times New Roman" w:cs="Times New Roman"/>
          <w:color w:val="000000" w:themeColor="text1"/>
          <w:spacing w:val="-10"/>
          <w:position w:val="6"/>
          <w:sz w:val="20"/>
          <w:szCs w:val="20"/>
          <w:u w:val="single"/>
        </w:rPr>
        <w:fldChar w:fldCharType="end"/>
      </w:r>
    </w:p>
    <w:p w14:paraId="535CA2AB" w14:textId="77777777" w:rsidR="00A70A41" w:rsidRDefault="005B3AE7">
      <w:pPr>
        <w:widowControl/>
        <w:autoSpaceDE/>
        <w:autoSpaceDN/>
        <w:spacing w:after="160" w:line="259" w:lineRule="auto"/>
        <w:rPr>
          <w:rFonts w:ascii="Times New Roman" w:hAnsi="Times New Roman" w:cs="Times New Roman"/>
          <w:color w:val="000000" w:themeColor="text1"/>
          <w:spacing w:val="-10"/>
          <w:position w:val="6"/>
          <w:u w:val="single"/>
        </w:rPr>
      </w:pPr>
      <w:r>
        <w:rPr>
          <w:rFonts w:ascii="Times New Roman" w:hAnsi="Times New Roman" w:cs="Times New Roman"/>
          <w:color w:val="000000" w:themeColor="text1"/>
          <w:spacing w:val="-10"/>
          <w:position w:val="6"/>
          <w:u w:val="single"/>
        </w:rPr>
        <w:br w:type="page"/>
      </w:r>
    </w:p>
    <w:p w14:paraId="23D969FE" w14:textId="77777777" w:rsidR="00450E13" w:rsidRPr="00FD0529" w:rsidRDefault="00450E13" w:rsidP="00450E13">
      <w:pPr>
        <w:pStyle w:val="Ttulo1"/>
      </w:pPr>
      <w:r w:rsidRPr="00FD0529">
        <w:lastRenderedPageBreak/>
        <w:t>Appendices</w:t>
      </w:r>
    </w:p>
    <w:p w14:paraId="66C3F004" w14:textId="77777777" w:rsidR="00747409" w:rsidRPr="00A70916" w:rsidDel="009E4D45" w:rsidRDefault="00747409" w:rsidP="00B40008">
      <w:pPr>
        <w:pStyle w:val="Ttulo2"/>
      </w:pPr>
      <w:r w:rsidRPr="00A70916" w:rsidDel="009E4D45">
        <w:t>Appendix A: Parameter Specifications and Sensitivity Analysis</w:t>
      </w:r>
    </w:p>
    <w:p w14:paraId="05DBB2E2" w14:textId="77777777" w:rsidR="00747409" w:rsidRPr="00A70916" w:rsidRDefault="00747409" w:rsidP="00450E13">
      <w:pPr>
        <w:pStyle w:val="Ttulo3"/>
      </w:pPr>
      <w:r w:rsidRPr="00A70916">
        <w:t>A1: Reinforcement Learning Inventory Policy</w:t>
      </w:r>
    </w:p>
    <w:p w14:paraId="586A2B04" w14:textId="77777777" w:rsidR="00747409" w:rsidRPr="00A70916" w:rsidRDefault="00747409" w:rsidP="008676CE">
      <w:pPr>
        <w:pStyle w:val="text-base"/>
        <w:jc w:val="both"/>
        <w:rPr>
          <w:color w:val="000000" w:themeColor="text1"/>
          <w:lang w:val="en-US"/>
        </w:rPr>
      </w:pPr>
      <w:r w:rsidRPr="00A70916">
        <w:rPr>
          <w:color w:val="000000" w:themeColor="text1"/>
          <w:lang w:val="en-US"/>
        </w:rPr>
        <w:t>A discretization of 10×10 was chosen because it matches facilit</w:t>
      </w:r>
      <w:r w:rsidR="00E63888">
        <w:rPr>
          <w:color w:val="000000" w:themeColor="text1"/>
          <w:lang w:val="en-US"/>
        </w:rPr>
        <w:t>ies’</w:t>
      </w:r>
      <w:r w:rsidRPr="00A70916">
        <w:rPr>
          <w:color w:val="000000" w:themeColor="text1"/>
          <w:lang w:val="en-US"/>
        </w:rPr>
        <w:t xml:space="preserve"> historical deciles (10th-90th percentiles for stock and projected states) and because it is not significantly further from </w:t>
      </w:r>
      <w:r w:rsidR="005C2D98" w:rsidRPr="00A70916">
        <w:rPr>
          <w:color w:val="000000" w:themeColor="text1"/>
          <w:lang w:val="en-US"/>
        </w:rPr>
        <w:t>three</w:t>
      </w:r>
      <w:r w:rsidRPr="00A70916">
        <w:rPr>
          <w:color w:val="000000" w:themeColor="text1"/>
          <w:lang w:val="en-US"/>
        </w:rPr>
        <w:t xml:space="preserve"> times the maximum average daily demand experienced</w:t>
      </w:r>
      <w:r w:rsidR="005C2D98" w:rsidRPr="00A70916">
        <w:rPr>
          <w:color w:val="000000" w:themeColor="text1"/>
          <w:lang w:val="en-US"/>
        </w:rPr>
        <w:t>. It</w:t>
      </w:r>
      <w:r w:rsidRPr="00A70916">
        <w:rPr>
          <w:color w:val="000000" w:themeColor="text1"/>
          <w:lang w:val="en-US"/>
        </w:rPr>
        <w:t xml:space="preserve"> represents a medium between policy minutiae and calculations for a proof-of-concept.</w:t>
      </w:r>
    </w:p>
    <w:p w14:paraId="7C012B04" w14:textId="77777777" w:rsidR="00747409" w:rsidRPr="00B40008" w:rsidRDefault="00747409" w:rsidP="005C2D98">
      <w:pPr>
        <w:pStyle w:val="text-base"/>
        <w:jc w:val="both"/>
        <w:rPr>
          <w:color w:val="000000" w:themeColor="text1"/>
          <w:lang w:val="en-US"/>
        </w:rPr>
      </w:pPr>
      <w:r w:rsidRPr="00653ACC">
        <w:rPr>
          <w:lang w:val="en-US"/>
        </w:rPr>
        <w:t xml:space="preserve">The agent receives </w:t>
      </w:r>
      <w:r w:rsidR="00D508F7">
        <w:rPr>
          <w:lang w:val="en-US"/>
        </w:rPr>
        <w:t xml:space="preserve">a </w:t>
      </w:r>
      <w:r w:rsidRPr="00653ACC">
        <w:rPr>
          <w:lang w:val="en-US"/>
        </w:rPr>
        <w:t>per-period reward r_t equal to the negative of the main cost components and a service-achievement term.</w:t>
      </w:r>
    </w:p>
    <w:p w14:paraId="53DC2E3D" w14:textId="77777777" w:rsidR="00747409" w:rsidRPr="00005EBE" w:rsidRDefault="00747409" w:rsidP="00747409">
      <w:pPr>
        <w:pStyle w:val="Corpodetexto"/>
        <w:spacing w:before="195" w:line="286" w:lineRule="auto"/>
        <w:ind w:left="210" w:right="17"/>
        <w:jc w:val="center"/>
        <w:rPr>
          <w:rFonts w:ascii="Times New Roman" w:eastAsia="Times New Roman" w:hAnsi="Times New Roman" w:cs="Times New Roman"/>
          <w:color w:val="000000" w:themeColor="text1"/>
          <w:sz w:val="22"/>
          <w:szCs w:val="22"/>
          <w:lang w:val="pt-BR" w:eastAsia="pt-BR"/>
        </w:rPr>
      </w:pPr>
      <w:r w:rsidRPr="00005EBE">
        <w:rPr>
          <w:rFonts w:ascii="Times New Roman" w:hAnsi="Times New Roman" w:cs="Times New Roman"/>
          <w:lang w:val="pt-BR"/>
        </w:rPr>
        <w:t>r_t = −(h·C_t)·I_{t+1} − c_o·q_t − p_s·LS_t − p_sq·LS_t^2 − c_r·R_t + b_s·C_t·1{LS_t = 0}.</w:t>
      </w:r>
    </w:p>
    <w:p w14:paraId="40E6C8AE" w14:textId="77777777" w:rsidR="00747409" w:rsidRPr="00B40008" w:rsidRDefault="00747409" w:rsidP="00450E13">
      <w:pPr>
        <w:pStyle w:val="Corpodetexto"/>
        <w:spacing w:before="195" w:line="285" w:lineRule="auto"/>
        <w:ind w:left="0" w:right="15"/>
        <w:jc w:val="both"/>
        <w:rPr>
          <w:rFonts w:ascii="Times New Roman" w:hAnsi="Times New Roman" w:cs="Times New Roman"/>
          <w:color w:val="000000" w:themeColor="text1"/>
          <w:spacing w:val="-2"/>
          <w:sz w:val="22"/>
          <w:szCs w:val="22"/>
        </w:rPr>
      </w:pPr>
      <w:r w:rsidRPr="00B40008">
        <w:rPr>
          <w:rFonts w:ascii="Times New Roman" w:hAnsi="Times New Roman" w:cs="Times New Roman"/>
        </w:rPr>
        <w:t>where:</w:t>
      </w:r>
    </w:p>
    <w:p w14:paraId="70AD91FA" w14:textId="77777777" w:rsidR="00747409" w:rsidRPr="00B40008" w:rsidRDefault="00000000"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r_t: per-period RL reward at day t (BRL-equivalent).</w:t>
      </w:r>
    </w:p>
    <w:p w14:paraId="4DC60AB2" w14:textId="77777777" w:rsidR="00747409" w:rsidRPr="00B40008" w:rsidRDefault="00000000"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I_{t+1}: end-of-day on-hand inventory after demand (units).</w:t>
      </w:r>
    </w:p>
    <w:p w14:paraId="419537A4" w14:textId="77777777" w:rsidR="00747409" w:rsidRPr="00B40008" w:rsidRDefault="00747409"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q_t: order quantity placed at day t (units).</w:t>
      </w:r>
    </w:p>
    <w:p w14:paraId="1484546A" w14:textId="77777777" w:rsidR="00747409" w:rsidRPr="00B40008" w:rsidRDefault="00000000"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LS_t: lost sales at day t (units).</w:t>
      </w:r>
    </w:p>
    <w:p w14:paraId="33A72513" w14:textId="77777777" w:rsidR="00747409" w:rsidRPr="00B40008" w:rsidRDefault="00000000"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R_t: routing-cost proxy returned by the GA module (BRL-equivalent; R_t = 0 when q_t = 0 or GA is off).</w:t>
      </w:r>
    </w:p>
    <w:p w14:paraId="2E461714" w14:textId="77777777" w:rsidR="00747409" w:rsidRPr="00B40008" w:rsidRDefault="00000000"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C_t: unit-cost weight applied to the service bonus at day t (BRL/unit).</w:t>
      </w:r>
    </w:p>
    <w:p w14:paraId="51F0378D" w14:textId="77777777" w:rsidR="00747409" w:rsidRPr="00541F14" w:rsidRDefault="00000000" w:rsidP="00747409">
      <w:pPr>
        <w:widowControl/>
        <w:autoSpaceDE/>
        <w:autoSpaceDN/>
        <w:ind w:left="720"/>
        <w:rPr>
          <w:rFonts w:ascii="Times New Roman" w:hAnsi="Times New Roman" w:cs="Times New Roman"/>
        </w:rPr>
      </w:pPr>
      <w:r w:rsidRPr="00541F14">
        <w:rPr>
          <w:rFonts w:ascii="Times New Roman" w:hAnsi="Times New Roman" w:cs="Times New Roman"/>
        </w:rPr>
        <w:t>h: holding-rate per day (0.003), applied as h·C_t per unit.</w:t>
      </w:r>
    </w:p>
    <w:p w14:paraId="078FFB89" w14:textId="77777777" w:rsidR="00747409" w:rsidRPr="00541F14" w:rsidRDefault="00000000" w:rsidP="00747409">
      <w:pPr>
        <w:widowControl/>
        <w:autoSpaceDE/>
        <w:autoSpaceDN/>
        <w:ind w:left="720"/>
        <w:rPr>
          <w:rFonts w:ascii="Times New Roman" w:hAnsi="Times New Roman" w:cs="Times New Roman"/>
        </w:rPr>
      </w:pPr>
      <w:r w:rsidRPr="00B40008">
        <w:rPr>
          <w:rFonts w:ascii="Times New Roman" w:hAnsi="Times New Roman" w:cs="Times New Roman"/>
        </w:rPr>
        <w:t>c_o: per-unit ordering cost coefficient (1.5).</w:t>
      </w:r>
    </w:p>
    <w:p w14:paraId="39B16C0B" w14:textId="77777777" w:rsidR="00747409" w:rsidRPr="00B40008" w:rsidRDefault="00000000"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p_s: linear stockout penalty coefficient (25.0).</w:t>
      </w:r>
    </w:p>
    <w:p w14:paraId="668AC174" w14:textId="77777777" w:rsidR="00747409" w:rsidRPr="00B40008" w:rsidRDefault="00000000"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p_sq: quadratic stockout penalty coefficient (0.05).</w:t>
      </w:r>
    </w:p>
    <w:p w14:paraId="742C68B6" w14:textId="77777777" w:rsidR="00747409" w:rsidRPr="00B40008" w:rsidRDefault="00000000" w:rsidP="00747409">
      <w:pPr>
        <w:widowControl/>
        <w:autoSpaceDE/>
        <w:autoSpaceDN/>
        <w:ind w:left="720"/>
        <w:rPr>
          <w:rFonts w:ascii="Times New Roman" w:eastAsia="Times New Roman" w:hAnsi="Times New Roman" w:cs="Times New Roman"/>
          <w:color w:val="000000" w:themeColor="text1"/>
          <w:lang w:eastAsia="pt-BR"/>
        </w:rPr>
      </w:pPr>
      <w:r w:rsidRPr="00B40008">
        <w:rPr>
          <w:rFonts w:ascii="Times New Roman" w:hAnsi="Times New Roman" w:cs="Times New Roman"/>
        </w:rPr>
        <w:t>c_r: routing-cost scaling coefficient applied to R_t.</w:t>
      </w:r>
    </w:p>
    <w:p w14:paraId="66BA0BB2" w14:textId="77777777" w:rsidR="00997713" w:rsidRPr="00A70916" w:rsidRDefault="00997713" w:rsidP="001B58AC">
      <w:pPr>
        <w:pStyle w:val="text-base"/>
        <w:jc w:val="both"/>
        <w:rPr>
          <w:color w:val="000000" w:themeColor="text1"/>
          <w:lang w:val="en-US"/>
        </w:rPr>
      </w:pPr>
      <w:r w:rsidRPr="00541F14">
        <w:rPr>
          <w:b/>
          <w:bCs/>
          <w:lang w:val="en-US"/>
        </w:rPr>
        <w:t>Dimensional consistency</w:t>
      </w:r>
      <w:r w:rsidRPr="00653ACC">
        <w:rPr>
          <w:lang w:val="en-US"/>
        </w:rPr>
        <w:t xml:space="preserve">. We measure I_t, q_t, and LS_t in SKU-equivalent units. The coefficient C_t maps units </w:t>
      </w:r>
      <w:r w:rsidR="00D508F7">
        <w:rPr>
          <w:lang w:val="en-US"/>
        </w:rPr>
        <w:t>to a BRL-equivalent value for holding and service terms, thereby making</w:t>
      </w:r>
      <w:r w:rsidRPr="00653ACC">
        <w:rPr>
          <w:lang w:val="en-US"/>
        </w:rPr>
        <w:t xml:space="preserve"> the aggregated controller weight service failures more strongly when the underlying mix contains higher unit values. This scaling interacts with the discontinuous 1{LS_t = 0} term</w:t>
      </w:r>
      <w:r w:rsidR="00D508F7">
        <w:rPr>
          <w:lang w:val="en-US"/>
        </w:rPr>
        <w:t>, motivating</w:t>
      </w:r>
      <w:r w:rsidRPr="00653ACC">
        <w:rPr>
          <w:lang w:val="en-US"/>
        </w:rPr>
        <w:t xml:space="preserve"> the reward ablation reported in Appendix E.8.</w:t>
      </w:r>
    </w:p>
    <w:p w14:paraId="0A5F95FE" w14:textId="77777777" w:rsidR="00747409" w:rsidRPr="00A70916" w:rsidRDefault="00747409" w:rsidP="00997713">
      <w:pPr>
        <w:pStyle w:val="text-base"/>
        <w:jc w:val="both"/>
        <w:rPr>
          <w:color w:val="000000" w:themeColor="text1"/>
          <w:lang w:val="en-US"/>
        </w:rPr>
      </w:pPr>
      <w:r w:rsidRPr="00541F14">
        <w:rPr>
          <w:b/>
          <w:bCs/>
          <w:lang w:val="en-US"/>
        </w:rPr>
        <w:t>Calibration approach</w:t>
      </w:r>
      <w:r w:rsidRPr="00653ACC">
        <w:rPr>
          <w:lang w:val="en-US"/>
        </w:rPr>
        <w:t>. We selected coefficients through pilot sweeps that aimed to (i) keep reward components on comparable numeric ranges, (ii) preserve the intended ordering of penalties (shortage penalties dominate holding and ordering), and (iii) avoid degenerate policies that either rarely order or typically over-order in Stable demand. Appendix E reports targeted ablations and sensitivity checks.</w:t>
      </w:r>
    </w:p>
    <w:p w14:paraId="1009DB16" w14:textId="77777777" w:rsidR="00747409" w:rsidRPr="00A70916" w:rsidRDefault="00747409" w:rsidP="001B58AC">
      <w:pPr>
        <w:pStyle w:val="Ttulo3"/>
      </w:pPr>
      <w:r w:rsidRPr="00A70916">
        <w:t>A2: Economic Parameter Calibration</w:t>
      </w:r>
    </w:p>
    <w:p w14:paraId="65269C1A" w14:textId="77777777" w:rsidR="00747409" w:rsidRPr="00A70916" w:rsidRDefault="00747409" w:rsidP="00997713">
      <w:pPr>
        <w:pStyle w:val="text-base"/>
        <w:jc w:val="both"/>
        <w:rPr>
          <w:color w:val="000000" w:themeColor="text1"/>
          <w:lang w:val="en-US"/>
        </w:rPr>
      </w:pPr>
      <w:r w:rsidRPr="00541F14">
        <w:rPr>
          <w:b/>
          <w:bCs/>
          <w:lang w:val="en-US"/>
        </w:rPr>
        <w:t>Reward and cost coefficients</w:t>
      </w:r>
      <w:r w:rsidRPr="00653ACC">
        <w:rPr>
          <w:lang w:val="en-US"/>
        </w:rPr>
        <w:t>. We set cost and reward coefficients to place holding, ordering, and shortage terms on comparable numeric scales under the SKU-equivalent aggregation</w:t>
      </w:r>
      <w:r w:rsidR="00D508F7">
        <w:rPr>
          <w:lang w:val="en-US"/>
        </w:rPr>
        <w:t>, prioritizing</w:t>
      </w:r>
      <w:r w:rsidRPr="00653ACC">
        <w:rPr>
          <w:lang w:val="en-US"/>
        </w:rPr>
        <w:t xml:space="preserve"> shortage avoidance. The simulator applies a daily holding-rate h = 0.003 to the unit-cost weight C_t, a per-unit ordering cost coefficient c_o = 1.5, linear and quadratic shortage penalties p_s = 25.0 and p_sq = 0.05, and a service-achievement multiplier b_s = 8.0. We report sensitivity checks for reward shaping and action scaling in Appendix E.</w:t>
      </w:r>
    </w:p>
    <w:p w14:paraId="153F8BBB" w14:textId="77777777" w:rsidR="00747409" w:rsidRPr="00A70916" w:rsidRDefault="00747409" w:rsidP="00B40008">
      <w:pPr>
        <w:pStyle w:val="Ttulo2"/>
      </w:pPr>
      <w:r w:rsidRPr="00A70916">
        <w:lastRenderedPageBreak/>
        <w:t>A</w:t>
      </w:r>
      <w:r w:rsidR="00AB3735">
        <w:t>ppendix</w:t>
      </w:r>
      <w:r w:rsidRPr="00A70916">
        <w:t xml:space="preserve"> B: Data Dictionary and Measurement Scales</w:t>
      </w:r>
    </w:p>
    <w:p w14:paraId="41E04932" w14:textId="77777777" w:rsidR="00747409" w:rsidRPr="00A70916" w:rsidRDefault="00747409" w:rsidP="00AB3735">
      <w:pPr>
        <w:pStyle w:val="Ttulo3"/>
      </w:pPr>
      <w:r w:rsidRPr="00A70916">
        <w:t>B.1 Overview</w:t>
      </w:r>
    </w:p>
    <w:p w14:paraId="5464C8D9" w14:textId="77777777" w:rsidR="00747409" w:rsidRPr="00A70916" w:rsidRDefault="00747409" w:rsidP="00747409">
      <w:pPr>
        <w:pStyle w:val="text-base"/>
        <w:jc w:val="both"/>
        <w:rPr>
          <w:color w:val="000000" w:themeColor="text1"/>
          <w:lang w:val="en-US"/>
        </w:rPr>
      </w:pPr>
      <w:r w:rsidRPr="00F34B55">
        <w:rPr>
          <w:lang w:val="en-US"/>
        </w:rPr>
        <w:t>This appendix defines units and aggregation levels for key variables. The main results (Tables 1–4) report total costs in BRL aggregated across the full network and over the evaluation horizon (90d or 180d). Intermediate quantities (e.g., unit-cost weights, daily holding rates, and per-unit ordering costs) operate at finer scales; Table B2 maps each variable to its unit and aggregation level.</w:t>
      </w:r>
    </w:p>
    <w:p w14:paraId="397A03D3" w14:textId="77777777" w:rsidR="00747409" w:rsidRPr="00A70916" w:rsidRDefault="00747409" w:rsidP="00AB3735">
      <w:pPr>
        <w:pStyle w:val="Ttulo3"/>
      </w:pPr>
      <w:r w:rsidRPr="00A70916">
        <w:t>B.2 Variable Definitions and Measurement Scales</w:t>
      </w:r>
    </w:p>
    <w:p w14:paraId="18F18B13" w14:textId="77777777" w:rsidR="00747409" w:rsidRPr="00A70916" w:rsidRDefault="00747409" w:rsidP="001E2130">
      <w:pPr>
        <w:pStyle w:val="Corpodetexto"/>
        <w:spacing w:before="100" w:beforeAutospacing="1" w:after="120" w:line="286" w:lineRule="auto"/>
        <w:ind w:left="216" w:right="14"/>
        <w:jc w:val="center"/>
        <w:rPr>
          <w:rFonts w:ascii="Times New Roman" w:eastAsia="Times New Roman" w:hAnsi="Times New Roman" w:cs="Times New Roman"/>
          <w:b/>
          <w:bCs/>
          <w:color w:val="000000" w:themeColor="text1"/>
          <w:sz w:val="22"/>
          <w:szCs w:val="22"/>
          <w:lang w:eastAsia="pt-BR"/>
        </w:rPr>
      </w:pPr>
      <w:r w:rsidRPr="00A70916">
        <w:rPr>
          <w:rFonts w:ascii="Times New Roman" w:eastAsia="Times New Roman" w:hAnsi="Times New Roman" w:cs="Times New Roman"/>
          <w:b/>
          <w:bCs/>
          <w:color w:val="000000" w:themeColor="text1"/>
          <w:sz w:val="22"/>
          <w:szCs w:val="22"/>
          <w:lang w:eastAsia="pt-BR"/>
        </w:rPr>
        <w:t xml:space="preserve">Table B2: </w:t>
      </w:r>
      <w:r w:rsidRPr="00A70916">
        <w:rPr>
          <w:rFonts w:ascii="Times New Roman" w:hAnsi="Times New Roman" w:cs="Times New Roman"/>
          <w:b/>
          <w:bCs/>
          <w:color w:val="000000" w:themeColor="text1"/>
          <w:spacing w:val="-4"/>
          <w:sz w:val="22"/>
          <w:szCs w:val="22"/>
        </w:rPr>
        <w:t>Variable Definitions and Measurement Scales</w:t>
      </w:r>
    </w:p>
    <w:tbl>
      <w:tblPr>
        <w:tblStyle w:val="Tabelacomgrade"/>
        <w:tblW w:w="0" w:type="auto"/>
        <w:jc w:val="center"/>
        <w:tblLook w:val="04A0" w:firstRow="1" w:lastRow="0" w:firstColumn="1" w:lastColumn="0" w:noHBand="0" w:noVBand="1"/>
      </w:tblPr>
      <w:tblGrid>
        <w:gridCol w:w="1357"/>
        <w:gridCol w:w="1402"/>
        <w:gridCol w:w="998"/>
        <w:gridCol w:w="1558"/>
        <w:gridCol w:w="1419"/>
        <w:gridCol w:w="1681"/>
        <w:gridCol w:w="1321"/>
      </w:tblGrid>
      <w:tr w:rsidR="00A70916" w:rsidRPr="00A70916" w14:paraId="766D5CAB" w14:textId="77777777" w:rsidTr="001E2130">
        <w:trPr>
          <w:jc w:val="center"/>
        </w:trPr>
        <w:tc>
          <w:tcPr>
            <w:tcW w:w="1398" w:type="dxa"/>
            <w:vAlign w:val="center"/>
          </w:tcPr>
          <w:p w14:paraId="05710E14" w14:textId="77777777" w:rsidR="00747409" w:rsidRPr="00A70916" w:rsidRDefault="00747409" w:rsidP="00CE3CB4">
            <w:pPr>
              <w:jc w:val="center"/>
              <w:rPr>
                <w:rFonts w:ascii="Times New Roman" w:eastAsia="Times New Roman" w:hAnsi="Times New Roman" w:cs="Times New Roman"/>
                <w:b/>
                <w:bCs/>
                <w:color w:val="000000" w:themeColor="text1"/>
                <w:sz w:val="20"/>
                <w:szCs w:val="20"/>
                <w:lang w:eastAsia="pt-BR"/>
              </w:rPr>
            </w:pPr>
            <w:r w:rsidRPr="00A70916">
              <w:rPr>
                <w:rFonts w:ascii="Times New Roman" w:eastAsia="Times New Roman" w:hAnsi="Times New Roman" w:cs="Times New Roman"/>
                <w:b/>
                <w:bCs/>
                <w:color w:val="000000" w:themeColor="text1"/>
                <w:sz w:val="20"/>
                <w:szCs w:val="20"/>
                <w:lang w:eastAsia="pt-BR"/>
              </w:rPr>
              <w:t>Variable</w:t>
            </w:r>
          </w:p>
        </w:tc>
        <w:tc>
          <w:tcPr>
            <w:tcW w:w="1443" w:type="dxa"/>
            <w:vAlign w:val="center"/>
          </w:tcPr>
          <w:p w14:paraId="5D35D541" w14:textId="77777777" w:rsidR="00747409" w:rsidRPr="00A70916" w:rsidRDefault="00747409" w:rsidP="00CE3CB4">
            <w:pPr>
              <w:jc w:val="center"/>
              <w:rPr>
                <w:rFonts w:ascii="Times New Roman" w:eastAsia="Times New Roman" w:hAnsi="Times New Roman" w:cs="Times New Roman"/>
                <w:b/>
                <w:bCs/>
                <w:color w:val="000000" w:themeColor="text1"/>
                <w:sz w:val="20"/>
                <w:szCs w:val="20"/>
                <w:lang w:eastAsia="pt-BR"/>
              </w:rPr>
            </w:pPr>
            <w:r w:rsidRPr="00A70916">
              <w:rPr>
                <w:rFonts w:ascii="Times New Roman" w:eastAsia="Times New Roman" w:hAnsi="Times New Roman" w:cs="Times New Roman"/>
                <w:b/>
                <w:bCs/>
                <w:color w:val="000000" w:themeColor="text1"/>
                <w:sz w:val="20"/>
                <w:szCs w:val="20"/>
                <w:lang w:eastAsia="pt-BR"/>
              </w:rPr>
              <w:t>Definition</w:t>
            </w:r>
          </w:p>
        </w:tc>
        <w:tc>
          <w:tcPr>
            <w:tcW w:w="1026" w:type="dxa"/>
            <w:vAlign w:val="center"/>
          </w:tcPr>
          <w:p w14:paraId="7542FD18" w14:textId="77777777" w:rsidR="00747409" w:rsidRPr="00A70916" w:rsidRDefault="00747409" w:rsidP="00CE3CB4">
            <w:pPr>
              <w:jc w:val="center"/>
              <w:rPr>
                <w:rFonts w:ascii="Times New Roman" w:eastAsia="Times New Roman" w:hAnsi="Times New Roman" w:cs="Times New Roman"/>
                <w:b/>
                <w:bCs/>
                <w:color w:val="000000" w:themeColor="text1"/>
                <w:sz w:val="20"/>
                <w:szCs w:val="20"/>
                <w:lang w:eastAsia="pt-BR"/>
              </w:rPr>
            </w:pPr>
            <w:r w:rsidRPr="00A70916">
              <w:rPr>
                <w:rFonts w:ascii="Times New Roman" w:eastAsia="Times New Roman" w:hAnsi="Times New Roman" w:cs="Times New Roman"/>
                <w:b/>
                <w:bCs/>
                <w:color w:val="000000" w:themeColor="text1"/>
                <w:sz w:val="20"/>
                <w:szCs w:val="20"/>
                <w:lang w:eastAsia="pt-BR"/>
              </w:rPr>
              <w:t>Unit</w:t>
            </w:r>
          </w:p>
        </w:tc>
        <w:tc>
          <w:tcPr>
            <w:tcW w:w="1578" w:type="dxa"/>
            <w:vAlign w:val="center"/>
          </w:tcPr>
          <w:p w14:paraId="25F483CC" w14:textId="77777777" w:rsidR="00747409" w:rsidRPr="00A70916" w:rsidRDefault="00747409" w:rsidP="00CE3CB4">
            <w:pPr>
              <w:jc w:val="center"/>
              <w:rPr>
                <w:rFonts w:ascii="Times New Roman" w:eastAsia="Times New Roman" w:hAnsi="Times New Roman" w:cs="Times New Roman"/>
                <w:b/>
                <w:bCs/>
                <w:color w:val="000000" w:themeColor="text1"/>
                <w:sz w:val="20"/>
                <w:szCs w:val="20"/>
                <w:lang w:eastAsia="pt-BR"/>
              </w:rPr>
            </w:pPr>
            <w:r w:rsidRPr="00A70916">
              <w:rPr>
                <w:rFonts w:ascii="Times New Roman" w:eastAsia="Times New Roman" w:hAnsi="Times New Roman" w:cs="Times New Roman"/>
                <w:b/>
                <w:bCs/>
                <w:color w:val="000000" w:themeColor="text1"/>
                <w:sz w:val="20"/>
                <w:szCs w:val="20"/>
                <w:lang w:eastAsia="pt-BR"/>
              </w:rPr>
              <w:t>Measurement Scale</w:t>
            </w:r>
          </w:p>
        </w:tc>
        <w:tc>
          <w:tcPr>
            <w:tcW w:w="1437" w:type="dxa"/>
            <w:vAlign w:val="center"/>
          </w:tcPr>
          <w:p w14:paraId="3070E92D" w14:textId="77777777" w:rsidR="00747409" w:rsidRPr="00A70916" w:rsidRDefault="00747409" w:rsidP="00CE3CB4">
            <w:pPr>
              <w:jc w:val="center"/>
              <w:rPr>
                <w:rFonts w:ascii="Times New Roman" w:eastAsia="Times New Roman" w:hAnsi="Times New Roman" w:cs="Times New Roman"/>
                <w:b/>
                <w:bCs/>
                <w:color w:val="000000" w:themeColor="text1"/>
                <w:sz w:val="20"/>
                <w:szCs w:val="20"/>
                <w:lang w:eastAsia="pt-BR"/>
              </w:rPr>
            </w:pPr>
            <w:r w:rsidRPr="00A70916">
              <w:rPr>
                <w:rFonts w:ascii="Times New Roman" w:eastAsia="Times New Roman" w:hAnsi="Times New Roman" w:cs="Times New Roman"/>
                <w:b/>
                <w:bCs/>
                <w:color w:val="000000" w:themeColor="text1"/>
                <w:sz w:val="20"/>
                <w:szCs w:val="20"/>
                <w:lang w:eastAsia="pt-BR"/>
              </w:rPr>
              <w:t>Aggregation</w:t>
            </w:r>
          </w:p>
        </w:tc>
        <w:tc>
          <w:tcPr>
            <w:tcW w:w="1733" w:type="dxa"/>
            <w:vAlign w:val="center"/>
          </w:tcPr>
          <w:p w14:paraId="76AE226F" w14:textId="77777777" w:rsidR="00747409" w:rsidRPr="00A70916" w:rsidRDefault="00747409" w:rsidP="00CE3CB4">
            <w:pPr>
              <w:jc w:val="center"/>
              <w:rPr>
                <w:rFonts w:ascii="Times New Roman" w:eastAsia="Times New Roman" w:hAnsi="Times New Roman" w:cs="Times New Roman"/>
                <w:b/>
                <w:bCs/>
                <w:color w:val="000000" w:themeColor="text1"/>
                <w:sz w:val="20"/>
                <w:szCs w:val="20"/>
                <w:lang w:eastAsia="pt-BR"/>
              </w:rPr>
            </w:pPr>
            <w:r w:rsidRPr="00A70916">
              <w:rPr>
                <w:rFonts w:ascii="Times New Roman" w:eastAsia="Times New Roman" w:hAnsi="Times New Roman" w:cs="Times New Roman"/>
                <w:b/>
                <w:bCs/>
                <w:color w:val="000000" w:themeColor="text1"/>
                <w:sz w:val="20"/>
                <w:szCs w:val="20"/>
                <w:lang w:eastAsia="pt-BR"/>
              </w:rPr>
              <w:t>Source</w:t>
            </w:r>
          </w:p>
        </w:tc>
        <w:tc>
          <w:tcPr>
            <w:tcW w:w="1347" w:type="dxa"/>
            <w:vAlign w:val="center"/>
          </w:tcPr>
          <w:p w14:paraId="116BFA48" w14:textId="77777777" w:rsidR="00747409" w:rsidRPr="00A70916" w:rsidRDefault="00747409" w:rsidP="00CE3CB4">
            <w:pPr>
              <w:jc w:val="center"/>
              <w:rPr>
                <w:rFonts w:ascii="Times New Roman" w:eastAsia="Times New Roman" w:hAnsi="Times New Roman" w:cs="Times New Roman"/>
                <w:b/>
                <w:bCs/>
                <w:color w:val="000000" w:themeColor="text1"/>
                <w:sz w:val="20"/>
                <w:szCs w:val="20"/>
                <w:lang w:eastAsia="pt-BR"/>
              </w:rPr>
            </w:pPr>
            <w:r w:rsidRPr="00A70916">
              <w:rPr>
                <w:rFonts w:ascii="Times New Roman" w:eastAsia="Times New Roman" w:hAnsi="Times New Roman" w:cs="Times New Roman"/>
                <w:b/>
                <w:bCs/>
                <w:color w:val="000000" w:themeColor="text1"/>
                <w:sz w:val="20"/>
                <w:szCs w:val="20"/>
                <w:lang w:eastAsia="pt-BR"/>
              </w:rPr>
              <w:t>Validation</w:t>
            </w:r>
          </w:p>
        </w:tc>
      </w:tr>
      <w:tr w:rsidR="00A70916" w:rsidRPr="00A70916" w14:paraId="0070BA22" w14:textId="77777777" w:rsidTr="001E2130">
        <w:trPr>
          <w:jc w:val="center"/>
        </w:trPr>
        <w:tc>
          <w:tcPr>
            <w:tcW w:w="1398" w:type="dxa"/>
            <w:vAlign w:val="center"/>
          </w:tcPr>
          <w:p w14:paraId="5C88F505"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Cost (Daily)</w:t>
            </w:r>
          </w:p>
        </w:tc>
        <w:tc>
          <w:tcPr>
            <w:tcW w:w="1443" w:type="dxa"/>
            <w:vAlign w:val="center"/>
          </w:tcPr>
          <w:p w14:paraId="0D2CA60C"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All procurement, holding, ordering, and stockout expenses, single calendar day, all SKUs, one facility</w:t>
            </w:r>
          </w:p>
        </w:tc>
        <w:tc>
          <w:tcPr>
            <w:tcW w:w="1026" w:type="dxa"/>
            <w:vAlign w:val="center"/>
          </w:tcPr>
          <w:p w14:paraId="04EADD0D"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BRL</w:t>
            </w:r>
          </w:p>
        </w:tc>
        <w:tc>
          <w:tcPr>
            <w:tcW w:w="1578" w:type="dxa"/>
            <w:vAlign w:val="center"/>
          </w:tcPr>
          <w:p w14:paraId="412EE229"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Per day</w:t>
            </w:r>
          </w:p>
        </w:tc>
        <w:tc>
          <w:tcPr>
            <w:tcW w:w="1437" w:type="dxa"/>
            <w:vAlign w:val="center"/>
          </w:tcPr>
          <w:p w14:paraId="3EA71FB4"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Single facility</w:t>
            </w:r>
          </w:p>
        </w:tc>
        <w:tc>
          <w:tcPr>
            <w:tcW w:w="1733" w:type="dxa"/>
            <w:vAlign w:val="center"/>
          </w:tcPr>
          <w:p w14:paraId="2C7809F1"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Empirical</w:t>
            </w:r>
          </w:p>
        </w:tc>
        <w:tc>
          <w:tcPr>
            <w:tcW w:w="1347" w:type="dxa"/>
            <w:vAlign w:val="center"/>
          </w:tcPr>
          <w:p w14:paraId="14223C51"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SESAB records audit</w:t>
            </w:r>
          </w:p>
        </w:tc>
      </w:tr>
      <w:tr w:rsidR="00A70916" w:rsidRPr="00A70916" w14:paraId="39F90F19" w14:textId="77777777" w:rsidTr="001E2130">
        <w:trPr>
          <w:jc w:val="center"/>
        </w:trPr>
        <w:tc>
          <w:tcPr>
            <w:tcW w:w="1398" w:type="dxa"/>
            <w:vAlign w:val="center"/>
          </w:tcPr>
          <w:p w14:paraId="7FA1617F"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Cost (90-Day)</w:t>
            </w:r>
          </w:p>
        </w:tc>
        <w:tc>
          <w:tcPr>
            <w:tcW w:w="1443" w:type="dxa"/>
            <w:vAlign w:val="center"/>
          </w:tcPr>
          <w:p w14:paraId="6D263959"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Cumulative costs across 90 consecutive days, all SKUs, three facilities</w:t>
            </w:r>
          </w:p>
        </w:tc>
        <w:tc>
          <w:tcPr>
            <w:tcW w:w="1026" w:type="dxa"/>
            <w:vAlign w:val="center"/>
          </w:tcPr>
          <w:p w14:paraId="6E730C95"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BRL</w:t>
            </w:r>
          </w:p>
        </w:tc>
        <w:tc>
          <w:tcPr>
            <w:tcW w:w="1578" w:type="dxa"/>
            <w:vAlign w:val="center"/>
          </w:tcPr>
          <w:p w14:paraId="4EB696B5"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90-day period</w:t>
            </w:r>
          </w:p>
        </w:tc>
        <w:tc>
          <w:tcPr>
            <w:tcW w:w="1437" w:type="dxa"/>
            <w:vAlign w:val="center"/>
          </w:tcPr>
          <w:p w14:paraId="4DC06ADB"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3 facilities</w:t>
            </w:r>
          </w:p>
        </w:tc>
        <w:tc>
          <w:tcPr>
            <w:tcW w:w="1733" w:type="dxa"/>
            <w:vAlign w:val="center"/>
          </w:tcPr>
          <w:p w14:paraId="69D029E0"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Simulation output</w:t>
            </w:r>
          </w:p>
        </w:tc>
        <w:tc>
          <w:tcPr>
            <w:tcW w:w="1347" w:type="dxa"/>
            <w:vAlign w:val="center"/>
          </w:tcPr>
          <w:p w14:paraId="71E359CD"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Consistency check ±20%</w:t>
            </w:r>
          </w:p>
        </w:tc>
      </w:tr>
      <w:tr w:rsidR="00A70916" w:rsidRPr="00A70916" w14:paraId="2700959A" w14:textId="77777777" w:rsidTr="001E2130">
        <w:trPr>
          <w:jc w:val="center"/>
        </w:trPr>
        <w:tc>
          <w:tcPr>
            <w:tcW w:w="1398" w:type="dxa"/>
            <w:vAlign w:val="center"/>
          </w:tcPr>
          <w:p w14:paraId="22C51537"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Demand (Daily)</w:t>
            </w:r>
          </w:p>
        </w:tc>
        <w:tc>
          <w:tcPr>
            <w:tcW w:w="1443" w:type="dxa"/>
            <w:vAlign w:val="center"/>
          </w:tcPr>
          <w:p w14:paraId="7DCB9E5E"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Quantity of one medication requested in one day, one facility</w:t>
            </w:r>
          </w:p>
        </w:tc>
        <w:tc>
          <w:tcPr>
            <w:tcW w:w="1026" w:type="dxa"/>
            <w:vAlign w:val="center"/>
          </w:tcPr>
          <w:p w14:paraId="07876F9E"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units</w:t>
            </w:r>
          </w:p>
        </w:tc>
        <w:tc>
          <w:tcPr>
            <w:tcW w:w="1578" w:type="dxa"/>
            <w:vAlign w:val="center"/>
          </w:tcPr>
          <w:p w14:paraId="71D1B06D"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Per day, per SKU</w:t>
            </w:r>
          </w:p>
        </w:tc>
        <w:tc>
          <w:tcPr>
            <w:tcW w:w="1437" w:type="dxa"/>
            <w:vAlign w:val="center"/>
          </w:tcPr>
          <w:p w14:paraId="146A3000"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Single occurrence</w:t>
            </w:r>
          </w:p>
        </w:tc>
        <w:tc>
          <w:tcPr>
            <w:tcW w:w="1733" w:type="dxa"/>
            <w:vAlign w:val="center"/>
          </w:tcPr>
          <w:p w14:paraId="48C020C7"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Empirical (n=1,000)</w:t>
            </w:r>
          </w:p>
        </w:tc>
        <w:tc>
          <w:tcPr>
            <w:tcW w:w="1347" w:type="dxa"/>
            <w:vAlign w:val="center"/>
          </w:tcPr>
          <w:p w14:paraId="0DB655A7"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CV literature validation ±12%</w:t>
            </w:r>
          </w:p>
        </w:tc>
      </w:tr>
      <w:tr w:rsidR="00A70916" w:rsidRPr="00A70916" w14:paraId="50F210C1" w14:textId="77777777" w:rsidTr="001E2130">
        <w:trPr>
          <w:jc w:val="center"/>
        </w:trPr>
        <w:tc>
          <w:tcPr>
            <w:tcW w:w="1398" w:type="dxa"/>
            <w:vAlign w:val="center"/>
          </w:tcPr>
          <w:p w14:paraId="5C77F5AF"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Demand CV</w:t>
            </w:r>
          </w:p>
        </w:tc>
        <w:tc>
          <w:tcPr>
            <w:tcW w:w="1443" w:type="dxa"/>
            <w:vAlign w:val="center"/>
          </w:tcPr>
          <w:p w14:paraId="01191205"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Standard deviation / mean demand (relative variability)</w:t>
            </w:r>
          </w:p>
        </w:tc>
        <w:tc>
          <w:tcPr>
            <w:tcW w:w="1026" w:type="dxa"/>
            <w:vAlign w:val="center"/>
          </w:tcPr>
          <w:p w14:paraId="39D4FC52"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Ratio</w:t>
            </w:r>
          </w:p>
        </w:tc>
        <w:tc>
          <w:tcPr>
            <w:tcW w:w="1578" w:type="dxa"/>
            <w:vAlign w:val="center"/>
          </w:tcPr>
          <w:p w14:paraId="3AE0999A"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Aggregate measure</w:t>
            </w:r>
          </w:p>
        </w:tc>
        <w:tc>
          <w:tcPr>
            <w:tcW w:w="1437" w:type="dxa"/>
            <w:vAlign w:val="center"/>
          </w:tcPr>
          <w:p w14:paraId="557176A5"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Per SKU across 90 days</w:t>
            </w:r>
          </w:p>
        </w:tc>
        <w:tc>
          <w:tcPr>
            <w:tcW w:w="1733" w:type="dxa"/>
            <w:vAlign w:val="center"/>
          </w:tcPr>
          <w:p w14:paraId="7CE17FA4"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Calculated</w:t>
            </w:r>
          </w:p>
        </w:tc>
        <w:tc>
          <w:tcPr>
            <w:tcW w:w="1347" w:type="dxa"/>
            <w:vAlign w:val="center"/>
          </w:tcPr>
          <w:p w14:paraId="71EA9F66"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Empirical range 0.18–0.87</w:t>
            </w:r>
          </w:p>
        </w:tc>
      </w:tr>
      <w:tr w:rsidR="00A70916" w:rsidRPr="00E91D70" w14:paraId="6D3B17C5" w14:textId="77777777" w:rsidTr="001E2130">
        <w:trPr>
          <w:jc w:val="center"/>
        </w:trPr>
        <w:tc>
          <w:tcPr>
            <w:tcW w:w="1398" w:type="dxa"/>
            <w:vAlign w:val="center"/>
          </w:tcPr>
          <w:p w14:paraId="717989F6"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Transactions</w:t>
            </w:r>
          </w:p>
        </w:tc>
        <w:tc>
          <w:tcPr>
            <w:tcW w:w="1443" w:type="dxa"/>
            <w:vAlign w:val="center"/>
          </w:tcPr>
          <w:p w14:paraId="5EAE9801"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Individual procurement or withdrawal events</w:t>
            </w:r>
          </w:p>
        </w:tc>
        <w:tc>
          <w:tcPr>
            <w:tcW w:w="1026" w:type="dxa"/>
            <w:vAlign w:val="center"/>
          </w:tcPr>
          <w:p w14:paraId="6B0A3F18"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Count</w:t>
            </w:r>
          </w:p>
        </w:tc>
        <w:tc>
          <w:tcPr>
            <w:tcW w:w="1578" w:type="dxa"/>
            <w:vAlign w:val="center"/>
          </w:tcPr>
          <w:p w14:paraId="032368AB"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Single occurrence</w:t>
            </w:r>
          </w:p>
        </w:tc>
        <w:tc>
          <w:tcPr>
            <w:tcW w:w="1437" w:type="dxa"/>
            <w:vAlign w:val="center"/>
          </w:tcPr>
          <w:p w14:paraId="00731FCC"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Per day per medication</w:t>
            </w:r>
          </w:p>
        </w:tc>
        <w:tc>
          <w:tcPr>
            <w:tcW w:w="1733" w:type="dxa"/>
            <w:vAlign w:val="center"/>
          </w:tcPr>
          <w:p w14:paraId="5B978703"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SESAB/HUPES 2022–2023</w:t>
            </w:r>
          </w:p>
        </w:tc>
        <w:tc>
          <w:tcPr>
            <w:tcW w:w="1347" w:type="dxa"/>
            <w:vAlign w:val="center"/>
          </w:tcPr>
          <w:p w14:paraId="5F236DE0" w14:textId="77777777" w:rsidR="00747409" w:rsidRPr="00A70916" w:rsidRDefault="00747409" w:rsidP="00CE3CB4">
            <w:pPr>
              <w:jc w:val="center"/>
              <w:rPr>
                <w:rFonts w:ascii="Times New Roman" w:eastAsia="Times New Roman" w:hAnsi="Times New Roman" w:cs="Times New Roman"/>
                <w:color w:val="000000" w:themeColor="text1"/>
                <w:sz w:val="16"/>
                <w:szCs w:val="16"/>
                <w:lang w:val="pt-BR" w:eastAsia="pt-BR"/>
              </w:rPr>
            </w:pPr>
            <w:r w:rsidRPr="00A70916">
              <w:rPr>
                <w:rFonts w:ascii="Times New Roman" w:eastAsia="Times New Roman" w:hAnsi="Times New Roman" w:cs="Times New Roman"/>
                <w:color w:val="000000" w:themeColor="text1"/>
                <w:sz w:val="16"/>
                <w:szCs w:val="16"/>
                <w:lang w:val="pt-BR" w:eastAsia="pt-BR"/>
              </w:rPr>
              <w:t>n=1,000 records (n=9,170 complete 2021 database)</w:t>
            </w:r>
          </w:p>
        </w:tc>
      </w:tr>
      <w:tr w:rsidR="00A70916" w:rsidRPr="00A70916" w14:paraId="60ED2C9A" w14:textId="77777777" w:rsidTr="001E2130">
        <w:trPr>
          <w:jc w:val="center"/>
        </w:trPr>
        <w:tc>
          <w:tcPr>
            <w:tcW w:w="1398" w:type="dxa"/>
            <w:vAlign w:val="center"/>
          </w:tcPr>
          <w:p w14:paraId="0F0BC1E7"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Lead Time</w:t>
            </w:r>
          </w:p>
        </w:tc>
        <w:tc>
          <w:tcPr>
            <w:tcW w:w="1443" w:type="dxa"/>
            <w:vAlign w:val="center"/>
          </w:tcPr>
          <w:p w14:paraId="511A6C98"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Days between order placement and receipt</w:t>
            </w:r>
          </w:p>
        </w:tc>
        <w:tc>
          <w:tcPr>
            <w:tcW w:w="1026" w:type="dxa"/>
            <w:vAlign w:val="center"/>
          </w:tcPr>
          <w:p w14:paraId="7DC4ED77"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days</w:t>
            </w:r>
          </w:p>
        </w:tc>
        <w:tc>
          <w:tcPr>
            <w:tcW w:w="1578" w:type="dxa"/>
            <w:vAlign w:val="center"/>
          </w:tcPr>
          <w:p w14:paraId="06D6DDCD"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Per order</w:t>
            </w:r>
          </w:p>
        </w:tc>
        <w:tc>
          <w:tcPr>
            <w:tcW w:w="1437" w:type="dxa"/>
            <w:vAlign w:val="center"/>
          </w:tcPr>
          <w:p w14:paraId="7C07C6C7"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Single procurement event</w:t>
            </w:r>
          </w:p>
        </w:tc>
        <w:tc>
          <w:tcPr>
            <w:tcW w:w="1733" w:type="dxa"/>
            <w:vAlign w:val="center"/>
          </w:tcPr>
          <w:p w14:paraId="5161C12B"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Synthetic + literature</w:t>
            </w:r>
          </w:p>
        </w:tc>
        <w:tc>
          <w:tcPr>
            <w:tcW w:w="1347" w:type="dxa"/>
            <w:vAlign w:val="center"/>
          </w:tcPr>
          <w:p w14:paraId="2E3C78A5"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Expert agreement 94%</w:t>
            </w:r>
          </w:p>
        </w:tc>
      </w:tr>
      <w:tr w:rsidR="00A70916" w:rsidRPr="00A70916" w14:paraId="7CA9ECFA" w14:textId="77777777" w:rsidTr="001E2130">
        <w:trPr>
          <w:jc w:val="center"/>
        </w:trPr>
        <w:tc>
          <w:tcPr>
            <w:tcW w:w="1398" w:type="dxa"/>
            <w:vAlign w:val="center"/>
          </w:tcPr>
          <w:p w14:paraId="05D507E9"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Transport Cost</w:t>
            </w:r>
          </w:p>
        </w:tc>
        <w:tc>
          <w:tcPr>
            <w:tcW w:w="1443" w:type="dxa"/>
            <w:vAlign w:val="center"/>
          </w:tcPr>
          <w:p w14:paraId="589D21B4"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Logistical expense per distance</w:t>
            </w:r>
          </w:p>
        </w:tc>
        <w:tc>
          <w:tcPr>
            <w:tcW w:w="1026" w:type="dxa"/>
            <w:vAlign w:val="center"/>
          </w:tcPr>
          <w:p w14:paraId="1F22C8BD"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BRL/km</w:t>
            </w:r>
          </w:p>
        </w:tc>
        <w:tc>
          <w:tcPr>
            <w:tcW w:w="1578" w:type="dxa"/>
            <w:vAlign w:val="center"/>
          </w:tcPr>
          <w:p w14:paraId="147BC60A"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Per kilometer</w:t>
            </w:r>
          </w:p>
        </w:tc>
        <w:tc>
          <w:tcPr>
            <w:tcW w:w="1437" w:type="dxa"/>
            <w:vAlign w:val="center"/>
          </w:tcPr>
          <w:p w14:paraId="6B693D21"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Single route</w:t>
            </w:r>
          </w:p>
        </w:tc>
        <w:tc>
          <w:tcPr>
            <w:tcW w:w="1733" w:type="dxa"/>
            <w:vAlign w:val="center"/>
          </w:tcPr>
          <w:p w14:paraId="3F5B107A"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Synthetic</w:t>
            </w:r>
          </w:p>
        </w:tc>
        <w:tc>
          <w:tcPr>
            <w:tcW w:w="1347" w:type="dxa"/>
            <w:vAlign w:val="center"/>
          </w:tcPr>
          <w:p w14:paraId="2393EAF8"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Contract validation ±15%</w:t>
            </w:r>
          </w:p>
        </w:tc>
      </w:tr>
      <w:tr w:rsidR="00A70916" w:rsidRPr="00A70916" w14:paraId="154EFD37" w14:textId="77777777" w:rsidTr="001E2130">
        <w:trPr>
          <w:jc w:val="center"/>
        </w:trPr>
        <w:tc>
          <w:tcPr>
            <w:tcW w:w="1398" w:type="dxa"/>
            <w:vAlign w:val="center"/>
          </w:tcPr>
          <w:p w14:paraId="1DF53E90"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Holding Cost Rate</w:t>
            </w:r>
          </w:p>
        </w:tc>
        <w:tc>
          <w:tcPr>
            <w:tcW w:w="1443" w:type="dxa"/>
            <w:vAlign w:val="center"/>
          </w:tcPr>
          <w:p w14:paraId="646DEB02"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Daily expense per unit held</w:t>
            </w:r>
          </w:p>
        </w:tc>
        <w:tc>
          <w:tcPr>
            <w:tcW w:w="1026" w:type="dxa"/>
            <w:vAlign w:val="center"/>
          </w:tcPr>
          <w:p w14:paraId="67DD9D9E"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BRL unit⁻¹ day⁻¹</w:t>
            </w:r>
          </w:p>
        </w:tc>
        <w:tc>
          <w:tcPr>
            <w:tcW w:w="1578" w:type="dxa"/>
            <w:vAlign w:val="center"/>
          </w:tcPr>
          <w:p w14:paraId="3BF493D6"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Per unit daily</w:t>
            </w:r>
          </w:p>
        </w:tc>
        <w:tc>
          <w:tcPr>
            <w:tcW w:w="1437" w:type="dxa"/>
            <w:vAlign w:val="center"/>
          </w:tcPr>
          <w:p w14:paraId="30D83FA0"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Per SKU aggregated</w:t>
            </w:r>
          </w:p>
        </w:tc>
        <w:tc>
          <w:tcPr>
            <w:tcW w:w="1733" w:type="dxa"/>
            <w:vAlign w:val="center"/>
          </w:tcPr>
          <w:p w14:paraId="730DB084" w14:textId="77777777" w:rsidR="00747409" w:rsidRPr="00A70916" w:rsidRDefault="00747409" w:rsidP="00CE3CB4">
            <w:pPr>
              <w:jc w:val="center"/>
              <w:rPr>
                <w:rFonts w:ascii="Times New Roman" w:eastAsia="Times New Roman" w:hAnsi="Times New Roman" w:cs="Times New Roman"/>
                <w:color w:val="000000" w:themeColor="text1"/>
                <w:sz w:val="16"/>
                <w:szCs w:val="16"/>
                <w:lang w:eastAsia="pt-BR"/>
              </w:rPr>
            </w:pPr>
            <w:r w:rsidRPr="00A70916">
              <w:rPr>
                <w:rFonts w:ascii="Times New Roman" w:eastAsia="Times New Roman" w:hAnsi="Times New Roman" w:cs="Times New Roman"/>
                <w:color w:val="000000" w:themeColor="text1"/>
                <w:sz w:val="16"/>
                <w:szCs w:val="16"/>
                <w:lang w:eastAsia="pt-BR"/>
              </w:rPr>
              <w:t>Synthetic</w:t>
            </w:r>
          </w:p>
        </w:tc>
        <w:tc>
          <w:tcPr>
            <w:tcW w:w="1347" w:type="dxa"/>
            <w:vAlign w:val="center"/>
          </w:tcPr>
          <w:p w14:paraId="6F39BE86" w14:textId="77777777" w:rsidR="00747409" w:rsidRPr="00A70916" w:rsidRDefault="00747409" w:rsidP="00CE3CB4">
            <w:pPr>
              <w:jc w:val="center"/>
              <w:rPr>
                <w:rFonts w:ascii="Times New Roman" w:hAnsi="Times New Roman" w:cs="Times New Roman"/>
                <w:color w:val="000000" w:themeColor="text1"/>
                <w:sz w:val="16"/>
                <w:szCs w:val="16"/>
              </w:rPr>
            </w:pPr>
            <w:r w:rsidRPr="00A70916">
              <w:rPr>
                <w:rFonts w:ascii="Times New Roman" w:eastAsia="Times New Roman" w:hAnsi="Times New Roman" w:cs="Times New Roman"/>
                <w:color w:val="000000" w:themeColor="text1"/>
                <w:sz w:val="16"/>
                <w:szCs w:val="16"/>
                <w:lang w:eastAsia="pt-BR"/>
              </w:rPr>
              <w:t>Healthcare benchmarks ±15%</w:t>
            </w:r>
          </w:p>
        </w:tc>
      </w:tr>
    </w:tbl>
    <w:p w14:paraId="1254D511" w14:textId="77777777" w:rsidR="007C3072" w:rsidRPr="007C3072" w:rsidRDefault="007C3072" w:rsidP="007C3072"/>
    <w:p w14:paraId="5B7E957C" w14:textId="77777777" w:rsidR="00747409" w:rsidRPr="00A70916" w:rsidRDefault="00747409" w:rsidP="00AB3735">
      <w:pPr>
        <w:pStyle w:val="Ttulo3"/>
      </w:pPr>
      <w:r w:rsidRPr="00A70916">
        <w:t>B.3 Scale Reconciliation Table</w:t>
      </w:r>
    </w:p>
    <w:p w14:paraId="2239AB9D" w14:textId="77777777" w:rsidR="002B09AA" w:rsidRPr="00A70916" w:rsidRDefault="002B09AA" w:rsidP="00D9647F">
      <w:pPr>
        <w:pStyle w:val="Corpodetexto"/>
        <w:spacing w:before="100" w:beforeAutospacing="1" w:after="120" w:line="286" w:lineRule="auto"/>
        <w:ind w:left="216" w:right="14"/>
        <w:jc w:val="center"/>
        <w:rPr>
          <w:rFonts w:ascii="Times New Roman" w:eastAsia="Times New Roman" w:hAnsi="Times New Roman" w:cs="Times New Roman"/>
          <w:b/>
          <w:bCs/>
          <w:color w:val="000000" w:themeColor="text1"/>
          <w:sz w:val="22"/>
          <w:szCs w:val="22"/>
          <w:lang w:eastAsia="pt-BR"/>
        </w:rPr>
      </w:pPr>
      <w:r w:rsidRPr="00D9647F">
        <w:rPr>
          <w:rFonts w:ascii="Times New Roman" w:eastAsia="Times New Roman" w:hAnsi="Times New Roman" w:cs="Times New Roman"/>
          <w:b/>
          <w:bCs/>
          <w:color w:val="000000" w:themeColor="text1"/>
          <w:sz w:val="22"/>
          <w:szCs w:val="22"/>
          <w:lang w:eastAsia="pt-BR"/>
        </w:rPr>
        <w:t>Table B3: Scale Reconciliation and Optional Annualization (Code4 cost totals).</w:t>
      </w:r>
    </w:p>
    <w:tbl>
      <w:tblPr>
        <w:tblStyle w:val="Tabelacomgrade"/>
        <w:tblW w:w="0" w:type="auto"/>
        <w:jc w:val="center"/>
        <w:tblLook w:val="04A0" w:firstRow="1" w:lastRow="0" w:firstColumn="1" w:lastColumn="0" w:noHBand="0" w:noVBand="1"/>
      </w:tblPr>
      <w:tblGrid>
        <w:gridCol w:w="1946"/>
        <w:gridCol w:w="2013"/>
        <w:gridCol w:w="1661"/>
        <w:gridCol w:w="1038"/>
        <w:gridCol w:w="3078"/>
      </w:tblGrid>
      <w:tr w:rsidR="002B09AA" w:rsidRPr="00D9647F" w14:paraId="514A1E6F" w14:textId="77777777" w:rsidTr="00D9647F">
        <w:trPr>
          <w:jc w:val="center"/>
        </w:trPr>
        <w:tc>
          <w:tcPr>
            <w:tcW w:w="1946" w:type="dxa"/>
            <w:vAlign w:val="center"/>
          </w:tcPr>
          <w:p w14:paraId="1979594A" w14:textId="77777777" w:rsidR="004A70BA" w:rsidRPr="00D9647F" w:rsidRDefault="00000000" w:rsidP="00D9647F">
            <w:pPr>
              <w:rPr>
                <w:rFonts w:ascii="Times New Roman" w:eastAsia="Times New Roman" w:hAnsi="Times New Roman" w:cs="Times New Roman"/>
                <w:b/>
                <w:bCs/>
                <w:color w:val="000000" w:themeColor="text1"/>
                <w:sz w:val="18"/>
                <w:szCs w:val="18"/>
                <w:lang w:eastAsia="pt-BR"/>
              </w:rPr>
            </w:pPr>
            <w:r w:rsidRPr="00D9647F">
              <w:rPr>
                <w:rFonts w:ascii="Times New Roman" w:eastAsia="Times New Roman" w:hAnsi="Times New Roman" w:cs="Times New Roman"/>
                <w:b/>
                <w:bCs/>
                <w:color w:val="000000" w:themeColor="text1"/>
                <w:sz w:val="18"/>
                <w:szCs w:val="18"/>
                <w:lang w:eastAsia="pt-BR"/>
              </w:rPr>
              <w:t>Scale Level</w:t>
            </w:r>
          </w:p>
        </w:tc>
        <w:tc>
          <w:tcPr>
            <w:tcW w:w="2013" w:type="dxa"/>
            <w:vAlign w:val="center"/>
          </w:tcPr>
          <w:p w14:paraId="5F6328A6" w14:textId="77777777" w:rsidR="004A70BA" w:rsidRPr="00D9647F" w:rsidRDefault="00000000" w:rsidP="00D9647F">
            <w:pPr>
              <w:rPr>
                <w:rFonts w:ascii="Times New Roman" w:eastAsia="Times New Roman" w:hAnsi="Times New Roman" w:cs="Times New Roman"/>
                <w:b/>
                <w:bCs/>
                <w:color w:val="000000" w:themeColor="text1"/>
                <w:sz w:val="18"/>
                <w:szCs w:val="18"/>
                <w:lang w:eastAsia="pt-BR"/>
              </w:rPr>
            </w:pPr>
            <w:r w:rsidRPr="00D9647F">
              <w:rPr>
                <w:rFonts w:ascii="Times New Roman" w:eastAsia="Times New Roman" w:hAnsi="Times New Roman" w:cs="Times New Roman"/>
                <w:b/>
                <w:bCs/>
                <w:color w:val="000000" w:themeColor="text1"/>
                <w:sz w:val="18"/>
                <w:szCs w:val="18"/>
                <w:lang w:eastAsia="pt-BR"/>
              </w:rPr>
              <w:t>Cost Magnitude (BRL)</w:t>
            </w:r>
          </w:p>
        </w:tc>
        <w:tc>
          <w:tcPr>
            <w:tcW w:w="1661" w:type="dxa"/>
            <w:vAlign w:val="center"/>
          </w:tcPr>
          <w:p w14:paraId="7A1B4E0E" w14:textId="77777777" w:rsidR="004A70BA" w:rsidRPr="00D9647F" w:rsidRDefault="00000000" w:rsidP="00D9647F">
            <w:pPr>
              <w:rPr>
                <w:rFonts w:ascii="Times New Roman" w:eastAsia="Times New Roman" w:hAnsi="Times New Roman" w:cs="Times New Roman"/>
                <w:b/>
                <w:bCs/>
                <w:color w:val="000000" w:themeColor="text1"/>
                <w:sz w:val="18"/>
                <w:szCs w:val="18"/>
                <w:lang w:eastAsia="pt-BR"/>
              </w:rPr>
            </w:pPr>
            <w:r w:rsidRPr="00D9647F">
              <w:rPr>
                <w:rFonts w:ascii="Times New Roman" w:eastAsia="Times New Roman" w:hAnsi="Times New Roman" w:cs="Times New Roman"/>
                <w:b/>
                <w:bCs/>
                <w:color w:val="000000" w:themeColor="text1"/>
                <w:sz w:val="18"/>
                <w:szCs w:val="18"/>
                <w:lang w:eastAsia="pt-BR"/>
              </w:rPr>
              <w:t>Example (from Tables 1–4)</w:t>
            </w:r>
          </w:p>
        </w:tc>
        <w:tc>
          <w:tcPr>
            <w:tcW w:w="1038" w:type="dxa"/>
            <w:vAlign w:val="center"/>
          </w:tcPr>
          <w:p w14:paraId="048E628E" w14:textId="77777777" w:rsidR="004A70BA" w:rsidRPr="00D9647F" w:rsidRDefault="00000000" w:rsidP="00D9647F">
            <w:pPr>
              <w:rPr>
                <w:rFonts w:ascii="Times New Roman" w:eastAsia="Times New Roman" w:hAnsi="Times New Roman" w:cs="Times New Roman"/>
                <w:b/>
                <w:bCs/>
                <w:color w:val="000000" w:themeColor="text1"/>
                <w:sz w:val="18"/>
                <w:szCs w:val="18"/>
                <w:lang w:eastAsia="pt-BR"/>
              </w:rPr>
            </w:pPr>
            <w:r w:rsidRPr="00D9647F">
              <w:rPr>
                <w:rFonts w:ascii="Times New Roman" w:eastAsia="Times New Roman" w:hAnsi="Times New Roman" w:cs="Times New Roman"/>
                <w:b/>
                <w:bCs/>
                <w:color w:val="000000" w:themeColor="text1"/>
                <w:sz w:val="18"/>
                <w:szCs w:val="18"/>
                <w:lang w:eastAsia="pt-BR"/>
              </w:rPr>
              <w:t>Frequency</w:t>
            </w:r>
          </w:p>
        </w:tc>
        <w:tc>
          <w:tcPr>
            <w:tcW w:w="3078" w:type="dxa"/>
            <w:vAlign w:val="center"/>
          </w:tcPr>
          <w:p w14:paraId="6567919D" w14:textId="77777777" w:rsidR="004A70BA" w:rsidRPr="00D9647F" w:rsidRDefault="00000000" w:rsidP="00D9647F">
            <w:pPr>
              <w:rPr>
                <w:rFonts w:ascii="Times New Roman" w:eastAsia="Times New Roman" w:hAnsi="Times New Roman" w:cs="Times New Roman"/>
                <w:b/>
                <w:bCs/>
                <w:color w:val="000000" w:themeColor="text1"/>
                <w:sz w:val="18"/>
                <w:szCs w:val="18"/>
                <w:lang w:eastAsia="pt-BR"/>
              </w:rPr>
            </w:pPr>
            <w:r w:rsidRPr="00D9647F">
              <w:rPr>
                <w:rFonts w:ascii="Times New Roman" w:eastAsia="Times New Roman" w:hAnsi="Times New Roman" w:cs="Times New Roman"/>
                <w:b/>
                <w:bCs/>
                <w:color w:val="000000" w:themeColor="text1"/>
                <w:sz w:val="18"/>
                <w:szCs w:val="18"/>
                <w:lang w:eastAsia="pt-BR"/>
              </w:rPr>
              <w:t>Notes</w:t>
            </w:r>
          </w:p>
        </w:tc>
      </w:tr>
      <w:tr w:rsidR="002B09AA" w14:paraId="3D9E4542" w14:textId="77777777" w:rsidTr="00D9647F">
        <w:trPr>
          <w:jc w:val="center"/>
        </w:trPr>
        <w:tc>
          <w:tcPr>
            <w:tcW w:w="1946" w:type="dxa"/>
            <w:vAlign w:val="center"/>
          </w:tcPr>
          <w:p w14:paraId="237E5F78" w14:textId="77777777"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90-day total cost (network, one policy)</w:t>
            </w:r>
          </w:p>
        </w:tc>
        <w:tc>
          <w:tcPr>
            <w:tcW w:w="2013" w:type="dxa"/>
            <w:vAlign w:val="center"/>
          </w:tcPr>
          <w:p w14:paraId="42213B96"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655,184–21,139,616</w:t>
            </w:r>
          </w:p>
        </w:tc>
        <w:tc>
          <w:tcPr>
            <w:tcW w:w="1661" w:type="dxa"/>
            <w:vAlign w:val="center"/>
          </w:tcPr>
          <w:p w14:paraId="0FF7BDCA"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Stable, Hybrid AI: 655,184</w:t>
            </w:r>
          </w:p>
        </w:tc>
        <w:tc>
          <w:tcPr>
            <w:tcW w:w="1038" w:type="dxa"/>
            <w:vAlign w:val="center"/>
          </w:tcPr>
          <w:p w14:paraId="2E38AF1F" w14:textId="1F088E9D"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Tables 1–4 mean</w:t>
            </w:r>
          </w:p>
        </w:tc>
        <w:tc>
          <w:tcPr>
            <w:tcW w:w="3078" w:type="dxa"/>
            <w:vAlign w:val="center"/>
          </w:tcPr>
          <w:p w14:paraId="4FA30FB4" w14:textId="77777777"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Network-level totals aggregated across facilities and time over the horizon (GA on; reward = inventory_plus_routing).</w:t>
            </w:r>
          </w:p>
        </w:tc>
      </w:tr>
      <w:tr w:rsidR="002B09AA" w14:paraId="09F11201" w14:textId="77777777" w:rsidTr="00D9647F">
        <w:trPr>
          <w:jc w:val="center"/>
        </w:trPr>
        <w:tc>
          <w:tcPr>
            <w:tcW w:w="1946" w:type="dxa"/>
            <w:vAlign w:val="center"/>
          </w:tcPr>
          <w:p w14:paraId="7BD3B8C9" w14:textId="77777777"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Annualized cost (network, one policy)</w:t>
            </w:r>
          </w:p>
        </w:tc>
        <w:tc>
          <w:tcPr>
            <w:tcW w:w="2013" w:type="dxa"/>
            <w:vAlign w:val="center"/>
          </w:tcPr>
          <w:p w14:paraId="0464DFA0"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2,657,135–85,732,887</w:t>
            </w:r>
          </w:p>
        </w:tc>
        <w:tc>
          <w:tcPr>
            <w:tcW w:w="1661" w:type="dxa"/>
            <w:vAlign w:val="center"/>
          </w:tcPr>
          <w:p w14:paraId="2CE3A01E"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655,184 × (365/90) ≈ 2,657,135</w:t>
            </w:r>
          </w:p>
        </w:tc>
        <w:tc>
          <w:tcPr>
            <w:tcW w:w="1038" w:type="dxa"/>
            <w:vAlign w:val="center"/>
          </w:tcPr>
          <w:p w14:paraId="33827212"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Annual equivalent</w:t>
            </w:r>
          </w:p>
        </w:tc>
        <w:tc>
          <w:tcPr>
            <w:tcW w:w="3078" w:type="dxa"/>
            <w:vAlign w:val="center"/>
          </w:tcPr>
          <w:p w14:paraId="2E5EE7D8" w14:textId="77777777"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Annualization uses 365/T and serves only as an accounting transformation.</w:t>
            </w:r>
          </w:p>
        </w:tc>
      </w:tr>
      <w:tr w:rsidR="002B09AA" w14:paraId="7466D119" w14:textId="77777777" w:rsidTr="00D9647F">
        <w:trPr>
          <w:jc w:val="center"/>
        </w:trPr>
        <w:tc>
          <w:tcPr>
            <w:tcW w:w="1946" w:type="dxa"/>
            <w:vAlign w:val="center"/>
          </w:tcPr>
          <w:p w14:paraId="004C5D40" w14:textId="77777777"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90-day savings vs Dynamic (network)</w:t>
            </w:r>
          </w:p>
        </w:tc>
        <w:tc>
          <w:tcPr>
            <w:tcW w:w="2013" w:type="dxa"/>
            <w:vAlign w:val="center"/>
          </w:tcPr>
          <w:p w14:paraId="0CA20C29"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-9,690,547–6,372,264</w:t>
            </w:r>
          </w:p>
        </w:tc>
        <w:tc>
          <w:tcPr>
            <w:tcW w:w="1661" w:type="dxa"/>
            <w:vAlign w:val="center"/>
          </w:tcPr>
          <w:p w14:paraId="3FB9454E"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Supply Disruption: Dynamic − AI = -9,690,547</w:t>
            </w:r>
          </w:p>
        </w:tc>
        <w:tc>
          <w:tcPr>
            <w:tcW w:w="1038" w:type="dxa"/>
            <w:vAlign w:val="center"/>
          </w:tcPr>
          <w:p w14:paraId="41A4A355"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Derived from Tables 1–4</w:t>
            </w:r>
          </w:p>
        </w:tc>
        <w:tc>
          <w:tcPr>
            <w:tcW w:w="3078" w:type="dxa"/>
            <w:vAlign w:val="center"/>
          </w:tcPr>
          <w:p w14:paraId="641AD4E9" w14:textId="7D1ECD75"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 xml:space="preserve">Positive values indicate </w:t>
            </w:r>
            <w:r w:rsidR="002B74AA">
              <w:rPr>
                <w:rFonts w:ascii="Times New Roman" w:hAnsi="Times New Roman" w:cs="Times New Roman"/>
                <w:sz w:val="16"/>
                <w:szCs w:val="16"/>
              </w:rPr>
              <w:t xml:space="preserve">a </w:t>
            </w:r>
            <w:r w:rsidRPr="00D9647F">
              <w:rPr>
                <w:rFonts w:ascii="Times New Roman" w:hAnsi="Times New Roman" w:cs="Times New Roman"/>
                <w:sz w:val="16"/>
                <w:szCs w:val="16"/>
              </w:rPr>
              <w:t>lower cost than Dynamic. Savings are positive in Stable and High Volatility, negative in Supply Disruption; Seasonal Surge remains positive vs Dynamic</w:t>
            </w:r>
            <w:r w:rsidR="002B74AA">
              <w:rPr>
                <w:rFonts w:ascii="Times New Roman" w:hAnsi="Times New Roman" w:cs="Times New Roman"/>
                <w:sz w:val="16"/>
                <w:szCs w:val="16"/>
              </w:rPr>
              <w:t>,</w:t>
            </w:r>
            <w:r w:rsidRPr="00D9647F">
              <w:rPr>
                <w:rFonts w:ascii="Times New Roman" w:hAnsi="Times New Roman" w:cs="Times New Roman"/>
                <w:sz w:val="16"/>
                <w:szCs w:val="16"/>
              </w:rPr>
              <w:t xml:space="preserve"> but AI underperforms stronger baselines.</w:t>
            </w:r>
          </w:p>
        </w:tc>
      </w:tr>
      <w:tr w:rsidR="002B09AA" w14:paraId="5623655B" w14:textId="77777777" w:rsidTr="00D9647F">
        <w:trPr>
          <w:jc w:val="center"/>
        </w:trPr>
        <w:tc>
          <w:tcPr>
            <w:tcW w:w="1946" w:type="dxa"/>
            <w:vAlign w:val="center"/>
          </w:tcPr>
          <w:p w14:paraId="27709FD9" w14:textId="77777777"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Annualized savings vs Dynamic (network)</w:t>
            </w:r>
          </w:p>
        </w:tc>
        <w:tc>
          <w:tcPr>
            <w:tcW w:w="2013" w:type="dxa"/>
            <w:vAlign w:val="center"/>
          </w:tcPr>
          <w:p w14:paraId="26B113BC"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-39,300,552–25,843,071</w:t>
            </w:r>
          </w:p>
        </w:tc>
        <w:tc>
          <w:tcPr>
            <w:tcW w:w="1661" w:type="dxa"/>
            <w:vAlign w:val="center"/>
          </w:tcPr>
          <w:p w14:paraId="724EED35"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(Dynamic − AI) × (365/90)</w:t>
            </w:r>
          </w:p>
        </w:tc>
        <w:tc>
          <w:tcPr>
            <w:tcW w:w="1038" w:type="dxa"/>
            <w:vAlign w:val="center"/>
          </w:tcPr>
          <w:p w14:paraId="58EF0942"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Annual equivalent</w:t>
            </w:r>
          </w:p>
        </w:tc>
        <w:tc>
          <w:tcPr>
            <w:tcW w:w="3078" w:type="dxa"/>
            <w:vAlign w:val="center"/>
          </w:tcPr>
          <w:p w14:paraId="6542FE51" w14:textId="15781FCC"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 xml:space="preserve">Same sign interpretation. Decision relevance depends on service targets and </w:t>
            </w:r>
            <w:r w:rsidR="002B74AA">
              <w:rPr>
                <w:rFonts w:ascii="Times New Roman" w:hAnsi="Times New Roman" w:cs="Times New Roman"/>
                <w:sz w:val="16"/>
                <w:szCs w:val="16"/>
              </w:rPr>
              <w:t xml:space="preserve">the </w:t>
            </w:r>
            <w:r w:rsidR="002B74AA">
              <w:rPr>
                <w:rFonts w:ascii="Times New Roman" w:hAnsi="Times New Roman" w:cs="Times New Roman"/>
                <w:sz w:val="16"/>
                <w:szCs w:val="16"/>
              </w:rPr>
              <w:lastRenderedPageBreak/>
              <w:t>valuation of the cost of stockout</w:t>
            </w:r>
            <w:r w:rsidRPr="00D9647F">
              <w:rPr>
                <w:rFonts w:ascii="Times New Roman" w:hAnsi="Times New Roman" w:cs="Times New Roman"/>
                <w:sz w:val="16"/>
                <w:szCs w:val="16"/>
              </w:rPr>
              <w:t>.</w:t>
            </w:r>
          </w:p>
        </w:tc>
      </w:tr>
      <w:tr w:rsidR="002B09AA" w14:paraId="2393D877" w14:textId="77777777" w:rsidTr="00D9647F">
        <w:trPr>
          <w:jc w:val="center"/>
        </w:trPr>
        <w:tc>
          <w:tcPr>
            <w:tcW w:w="1946" w:type="dxa"/>
            <w:vAlign w:val="center"/>
          </w:tcPr>
          <w:p w14:paraId="26F43E89" w14:textId="77777777"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lastRenderedPageBreak/>
              <w:t>Interpretation boundary</w:t>
            </w:r>
          </w:p>
        </w:tc>
        <w:tc>
          <w:tcPr>
            <w:tcW w:w="2013" w:type="dxa"/>
            <w:vAlign w:val="center"/>
          </w:tcPr>
          <w:p w14:paraId="030FC585"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Context-specific</w:t>
            </w:r>
          </w:p>
        </w:tc>
        <w:tc>
          <w:tcPr>
            <w:tcW w:w="1661" w:type="dxa"/>
            <w:vAlign w:val="center"/>
          </w:tcPr>
          <w:p w14:paraId="0F193831" w14:textId="3C689E1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Budget impact analysis requires local accounting and service constraints</w:t>
            </w:r>
          </w:p>
        </w:tc>
        <w:tc>
          <w:tcPr>
            <w:tcW w:w="1038" w:type="dxa"/>
            <w:vAlign w:val="center"/>
          </w:tcPr>
          <w:p w14:paraId="558D5E1C" w14:textId="77777777" w:rsidR="004A70BA" w:rsidRPr="00D9647F" w:rsidRDefault="00000000" w:rsidP="00D9647F">
            <w:pPr>
              <w:jc w:val="center"/>
              <w:rPr>
                <w:rFonts w:ascii="Times New Roman" w:hAnsi="Times New Roman" w:cs="Times New Roman"/>
                <w:sz w:val="16"/>
                <w:szCs w:val="16"/>
              </w:rPr>
            </w:pPr>
            <w:r w:rsidRPr="00D9647F">
              <w:rPr>
                <w:rFonts w:ascii="Times New Roman" w:hAnsi="Times New Roman" w:cs="Times New Roman"/>
                <w:sz w:val="16"/>
                <w:szCs w:val="16"/>
              </w:rPr>
              <w:t>n/a</w:t>
            </w:r>
          </w:p>
        </w:tc>
        <w:tc>
          <w:tcPr>
            <w:tcW w:w="3078" w:type="dxa"/>
            <w:vAlign w:val="center"/>
          </w:tcPr>
          <w:p w14:paraId="2B602C65" w14:textId="77777777" w:rsidR="004A70BA" w:rsidRPr="00D9647F" w:rsidRDefault="00000000" w:rsidP="00D9647F">
            <w:pPr>
              <w:rPr>
                <w:rFonts w:ascii="Times New Roman" w:hAnsi="Times New Roman" w:cs="Times New Roman"/>
                <w:sz w:val="16"/>
                <w:szCs w:val="16"/>
              </w:rPr>
            </w:pPr>
            <w:r w:rsidRPr="00D9647F">
              <w:rPr>
                <w:rFonts w:ascii="Times New Roman" w:hAnsi="Times New Roman" w:cs="Times New Roman"/>
                <w:sz w:val="16"/>
                <w:szCs w:val="16"/>
              </w:rPr>
              <w:t>This appendix reconciles units and aggregation levels; it does not claim payback or break-even thresholds.</w:t>
            </w:r>
          </w:p>
        </w:tc>
      </w:tr>
    </w:tbl>
    <w:p w14:paraId="79E4026D" w14:textId="77777777" w:rsidR="002B09AA" w:rsidRPr="00D9647F" w:rsidRDefault="002B09AA" w:rsidP="00D9647F">
      <w:pPr>
        <w:jc w:val="both"/>
        <w:rPr>
          <w:rFonts w:ascii="Times New Roman" w:hAnsi="Times New Roman" w:cs="Times New Roman"/>
          <w:sz w:val="18"/>
          <w:szCs w:val="18"/>
        </w:rPr>
      </w:pPr>
      <w:r w:rsidRPr="00D9647F">
        <w:rPr>
          <w:rFonts w:ascii="Times New Roman" w:hAnsi="Times New Roman" w:cs="Times New Roman"/>
          <w:sz w:val="18"/>
          <w:szCs w:val="18"/>
        </w:rPr>
        <w:t>Note: Tables 1–4 report horizon-level network total cost in BRL. This table summarizes the implied magnitude for 90-day totals and illustrates an optional annual-equivalent conversion using 365/90 ≈ 4.06. The conversion changes units, not rankings.</w:t>
      </w:r>
    </w:p>
    <w:p w14:paraId="3B3E0E74" w14:textId="77777777" w:rsidR="00747409" w:rsidRPr="00A70916" w:rsidRDefault="00747409" w:rsidP="00AB3735">
      <w:pPr>
        <w:pStyle w:val="Ttulo3"/>
      </w:pPr>
      <w:r w:rsidRPr="00A70916">
        <w:t>B.4 Data Quality and Validation Summary</w:t>
      </w:r>
    </w:p>
    <w:p w14:paraId="56BD3F8C" w14:textId="77777777" w:rsidR="00747409" w:rsidRPr="00A70916" w:rsidRDefault="00747409" w:rsidP="001E2130">
      <w:pPr>
        <w:pStyle w:val="Corpodetexto"/>
        <w:spacing w:before="100" w:beforeAutospacing="1" w:after="120" w:line="286" w:lineRule="auto"/>
        <w:ind w:left="216" w:right="14"/>
        <w:jc w:val="center"/>
        <w:rPr>
          <w:rFonts w:ascii="Times New Roman" w:eastAsia="Times New Roman" w:hAnsi="Times New Roman" w:cs="Times New Roman"/>
          <w:b/>
          <w:bCs/>
          <w:color w:val="000000" w:themeColor="text1"/>
          <w:sz w:val="22"/>
          <w:szCs w:val="22"/>
          <w:lang w:eastAsia="pt-BR"/>
        </w:rPr>
      </w:pPr>
      <w:r w:rsidRPr="00A70916">
        <w:rPr>
          <w:rFonts w:ascii="Times New Roman" w:eastAsia="Times New Roman" w:hAnsi="Times New Roman" w:cs="Times New Roman"/>
          <w:b/>
          <w:bCs/>
          <w:color w:val="000000" w:themeColor="text1"/>
          <w:sz w:val="22"/>
          <w:szCs w:val="22"/>
          <w:lang w:eastAsia="pt-BR"/>
        </w:rPr>
        <w:t xml:space="preserve">Table B4: </w:t>
      </w:r>
      <w:r w:rsidRPr="00A70916">
        <w:rPr>
          <w:rFonts w:ascii="Times New Roman" w:hAnsi="Times New Roman" w:cs="Times New Roman"/>
          <w:b/>
          <w:bCs/>
          <w:color w:val="000000" w:themeColor="text1"/>
          <w:spacing w:val="-4"/>
          <w:sz w:val="22"/>
          <w:szCs w:val="22"/>
        </w:rPr>
        <w:t>Data Quality and Validation Summary</w:t>
      </w:r>
    </w:p>
    <w:tbl>
      <w:tblPr>
        <w:tblStyle w:val="Tabelacomgrade"/>
        <w:tblW w:w="0" w:type="auto"/>
        <w:jc w:val="center"/>
        <w:tblLook w:val="04A0" w:firstRow="1" w:lastRow="0" w:firstColumn="1" w:lastColumn="0" w:noHBand="0" w:noVBand="1"/>
      </w:tblPr>
      <w:tblGrid>
        <w:gridCol w:w="2379"/>
        <w:gridCol w:w="1545"/>
        <w:gridCol w:w="1452"/>
        <w:gridCol w:w="1075"/>
        <w:gridCol w:w="3264"/>
      </w:tblGrid>
      <w:tr w:rsidR="00A70916" w:rsidRPr="001E2130" w14:paraId="4C6253C3" w14:textId="77777777" w:rsidTr="001E2130">
        <w:trPr>
          <w:jc w:val="center"/>
        </w:trPr>
        <w:tc>
          <w:tcPr>
            <w:tcW w:w="2379" w:type="dxa"/>
            <w:vAlign w:val="center"/>
          </w:tcPr>
          <w:p w14:paraId="353BBBAC" w14:textId="77777777" w:rsidR="00747409" w:rsidRPr="001E2130" w:rsidRDefault="00747409" w:rsidP="001E2130">
            <w:pPr>
              <w:jc w:val="center"/>
              <w:rPr>
                <w:rFonts w:ascii="Times New Roman" w:hAnsi="Times New Roman" w:cs="Times New Roman"/>
                <w:b/>
                <w:bCs/>
                <w:color w:val="000000" w:themeColor="text1"/>
                <w:sz w:val="20"/>
                <w:szCs w:val="20"/>
              </w:rPr>
            </w:pPr>
            <w:r w:rsidRPr="001E2130">
              <w:rPr>
                <w:rFonts w:ascii="Times New Roman" w:hAnsi="Times New Roman" w:cs="Times New Roman"/>
                <w:b/>
                <w:bCs/>
                <w:color w:val="000000" w:themeColor="text1"/>
                <w:sz w:val="20"/>
                <w:szCs w:val="20"/>
              </w:rPr>
              <w:t>Metric</w:t>
            </w:r>
          </w:p>
        </w:tc>
        <w:tc>
          <w:tcPr>
            <w:tcW w:w="1545" w:type="dxa"/>
            <w:vAlign w:val="center"/>
          </w:tcPr>
          <w:p w14:paraId="4F9B78D8" w14:textId="77777777" w:rsidR="00747409" w:rsidRPr="001E2130" w:rsidRDefault="00747409" w:rsidP="00CE3CB4">
            <w:pPr>
              <w:jc w:val="center"/>
              <w:rPr>
                <w:rFonts w:ascii="Times New Roman" w:hAnsi="Times New Roman" w:cs="Times New Roman"/>
                <w:b/>
                <w:bCs/>
                <w:color w:val="000000" w:themeColor="text1"/>
                <w:sz w:val="20"/>
                <w:szCs w:val="20"/>
              </w:rPr>
            </w:pPr>
            <w:r w:rsidRPr="001E2130">
              <w:rPr>
                <w:rFonts w:ascii="Times New Roman" w:hAnsi="Times New Roman" w:cs="Times New Roman"/>
                <w:b/>
                <w:bCs/>
                <w:color w:val="000000" w:themeColor="text1"/>
                <w:sz w:val="20"/>
                <w:szCs w:val="20"/>
              </w:rPr>
              <w:t>Actual Value</w:t>
            </w:r>
          </w:p>
        </w:tc>
        <w:tc>
          <w:tcPr>
            <w:tcW w:w="1452" w:type="dxa"/>
            <w:vAlign w:val="center"/>
          </w:tcPr>
          <w:p w14:paraId="1A77DBA0" w14:textId="77777777" w:rsidR="00747409" w:rsidRPr="001E2130" w:rsidRDefault="00747409" w:rsidP="00CE3CB4">
            <w:pPr>
              <w:jc w:val="center"/>
              <w:rPr>
                <w:rFonts w:ascii="Times New Roman" w:hAnsi="Times New Roman" w:cs="Times New Roman"/>
                <w:b/>
                <w:bCs/>
                <w:color w:val="000000" w:themeColor="text1"/>
                <w:sz w:val="20"/>
                <w:szCs w:val="20"/>
              </w:rPr>
            </w:pPr>
            <w:r w:rsidRPr="001E2130">
              <w:rPr>
                <w:rFonts w:ascii="Times New Roman" w:hAnsi="Times New Roman" w:cs="Times New Roman"/>
                <w:b/>
                <w:bCs/>
                <w:color w:val="000000" w:themeColor="text1"/>
                <w:sz w:val="20"/>
                <w:szCs w:val="20"/>
              </w:rPr>
              <w:t>Benchmark</w:t>
            </w:r>
          </w:p>
        </w:tc>
        <w:tc>
          <w:tcPr>
            <w:tcW w:w="1075" w:type="dxa"/>
            <w:vAlign w:val="center"/>
          </w:tcPr>
          <w:p w14:paraId="033144D9" w14:textId="77777777" w:rsidR="00747409" w:rsidRPr="001E2130" w:rsidRDefault="00747409" w:rsidP="00CE3CB4">
            <w:pPr>
              <w:jc w:val="center"/>
              <w:rPr>
                <w:rFonts w:ascii="Times New Roman" w:hAnsi="Times New Roman" w:cs="Times New Roman"/>
                <w:b/>
                <w:bCs/>
                <w:color w:val="000000" w:themeColor="text1"/>
                <w:sz w:val="20"/>
                <w:szCs w:val="20"/>
              </w:rPr>
            </w:pPr>
            <w:r w:rsidRPr="001E2130">
              <w:rPr>
                <w:rFonts w:ascii="Times New Roman" w:hAnsi="Times New Roman" w:cs="Times New Roman"/>
                <w:b/>
                <w:bCs/>
                <w:color w:val="000000" w:themeColor="text1"/>
                <w:sz w:val="20"/>
                <w:szCs w:val="20"/>
              </w:rPr>
              <w:t>Status</w:t>
            </w:r>
          </w:p>
        </w:tc>
        <w:tc>
          <w:tcPr>
            <w:tcW w:w="3264" w:type="dxa"/>
            <w:vAlign w:val="center"/>
          </w:tcPr>
          <w:p w14:paraId="142AE365" w14:textId="77777777" w:rsidR="00747409" w:rsidRPr="001E2130" w:rsidRDefault="00747409" w:rsidP="001E2130">
            <w:pPr>
              <w:rPr>
                <w:rFonts w:ascii="Times New Roman" w:hAnsi="Times New Roman" w:cs="Times New Roman"/>
                <w:b/>
                <w:bCs/>
                <w:color w:val="000000" w:themeColor="text1"/>
                <w:sz w:val="20"/>
                <w:szCs w:val="20"/>
              </w:rPr>
            </w:pPr>
            <w:r w:rsidRPr="001E2130">
              <w:rPr>
                <w:rFonts w:ascii="Times New Roman" w:hAnsi="Times New Roman" w:cs="Times New Roman"/>
                <w:b/>
                <w:bCs/>
                <w:color w:val="000000" w:themeColor="text1"/>
                <w:sz w:val="20"/>
                <w:szCs w:val="20"/>
              </w:rPr>
              <w:t>Implication</w:t>
            </w:r>
          </w:p>
        </w:tc>
      </w:tr>
      <w:tr w:rsidR="00A70916" w:rsidRPr="001E2130" w14:paraId="7D3ACB50" w14:textId="77777777" w:rsidTr="001E2130">
        <w:trPr>
          <w:jc w:val="center"/>
        </w:trPr>
        <w:tc>
          <w:tcPr>
            <w:tcW w:w="2379" w:type="dxa"/>
            <w:vAlign w:val="center"/>
          </w:tcPr>
          <w:p w14:paraId="733447EA" w14:textId="77777777" w:rsidR="00747409" w:rsidRPr="001E2130" w:rsidRDefault="00747409" w:rsidP="001E2130">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Empirical demand records (n)</w:t>
            </w:r>
          </w:p>
        </w:tc>
        <w:tc>
          <w:tcPr>
            <w:tcW w:w="1545" w:type="dxa"/>
            <w:vAlign w:val="center"/>
          </w:tcPr>
          <w:p w14:paraId="37B7C150"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1,000 movement events</w:t>
            </w:r>
          </w:p>
        </w:tc>
        <w:tc>
          <w:tcPr>
            <w:tcW w:w="1452" w:type="dxa"/>
            <w:vAlign w:val="center"/>
          </w:tcPr>
          <w:p w14:paraId="1F7FE3B8"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Min. 50/SKU for proof-of-concept</w:t>
            </w:r>
          </w:p>
        </w:tc>
        <w:tc>
          <w:tcPr>
            <w:tcW w:w="1075" w:type="dxa"/>
            <w:vAlign w:val="center"/>
          </w:tcPr>
          <w:p w14:paraId="084FD287"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Adequate for simulation</w:t>
            </w:r>
          </w:p>
        </w:tc>
        <w:tc>
          <w:tcPr>
            <w:tcW w:w="3264" w:type="dxa"/>
            <w:vAlign w:val="center"/>
          </w:tcPr>
          <w:p w14:paraId="794C3FDC" w14:textId="77777777" w:rsidR="00747409" w:rsidRPr="001E2130" w:rsidRDefault="00747409" w:rsidP="001E2130">
            <w:pP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Sufficient for algorithm benchmarking; limited for production deployment</w:t>
            </w:r>
          </w:p>
        </w:tc>
      </w:tr>
      <w:tr w:rsidR="00A70916" w:rsidRPr="001E2130" w14:paraId="24C2E527" w14:textId="77777777" w:rsidTr="001E2130">
        <w:trPr>
          <w:jc w:val="center"/>
        </w:trPr>
        <w:tc>
          <w:tcPr>
            <w:tcW w:w="2379" w:type="dxa"/>
            <w:vAlign w:val="center"/>
          </w:tcPr>
          <w:p w14:paraId="5396A795" w14:textId="77777777" w:rsidR="00747409" w:rsidRPr="001E2130" w:rsidRDefault="00747409" w:rsidP="001E2130">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Records per SKU (mean)</w:t>
            </w:r>
          </w:p>
        </w:tc>
        <w:tc>
          <w:tcPr>
            <w:tcW w:w="1545" w:type="dxa"/>
            <w:vAlign w:val="center"/>
          </w:tcPr>
          <w:p w14:paraId="55A7F225"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20</w:t>
            </w:r>
          </w:p>
        </w:tc>
        <w:tc>
          <w:tcPr>
            <w:tcW w:w="1452" w:type="dxa"/>
            <w:vAlign w:val="center"/>
          </w:tcPr>
          <w:p w14:paraId="27014850"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Target 50–100</w:t>
            </w:r>
          </w:p>
        </w:tc>
        <w:tc>
          <w:tcPr>
            <w:tcW w:w="1075" w:type="dxa"/>
            <w:vAlign w:val="center"/>
          </w:tcPr>
          <w:p w14:paraId="773FFADA"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Marginal</w:t>
            </w:r>
          </w:p>
        </w:tc>
        <w:tc>
          <w:tcPr>
            <w:tcW w:w="3264" w:type="dxa"/>
            <w:vAlign w:val="center"/>
          </w:tcPr>
          <w:p w14:paraId="6C877C92" w14:textId="77777777" w:rsidR="00747409" w:rsidRPr="001E2130" w:rsidRDefault="00747409" w:rsidP="001E2130">
            <w:pP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Acceptable validation tolerances; future work requires expansion to 24–36 months per facility</w:t>
            </w:r>
          </w:p>
        </w:tc>
      </w:tr>
      <w:tr w:rsidR="00A70916" w:rsidRPr="001E2130" w14:paraId="2879C587" w14:textId="77777777" w:rsidTr="001E2130">
        <w:trPr>
          <w:jc w:val="center"/>
        </w:trPr>
        <w:tc>
          <w:tcPr>
            <w:tcW w:w="2379" w:type="dxa"/>
            <w:vAlign w:val="center"/>
          </w:tcPr>
          <w:p w14:paraId="63DDC33C" w14:textId="77777777" w:rsidR="00747409" w:rsidRPr="001E2130" w:rsidRDefault="00747409" w:rsidP="001E2130">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Coefficient of variation (empirical vs. literature)</w:t>
            </w:r>
          </w:p>
        </w:tc>
        <w:tc>
          <w:tcPr>
            <w:tcW w:w="1545" w:type="dxa"/>
            <w:vAlign w:val="center"/>
          </w:tcPr>
          <w:p w14:paraId="4D97CC3B"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CV empirical 0.42 vs. CV literature 0.38–0.51</w:t>
            </w:r>
          </w:p>
        </w:tc>
        <w:tc>
          <w:tcPr>
            <w:tcW w:w="1452" w:type="dxa"/>
            <w:vAlign w:val="center"/>
          </w:tcPr>
          <w:p w14:paraId="5382E1CD"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Tolerance ±15%</w:t>
            </w:r>
          </w:p>
        </w:tc>
        <w:tc>
          <w:tcPr>
            <w:tcW w:w="1075" w:type="dxa"/>
            <w:vAlign w:val="center"/>
          </w:tcPr>
          <w:p w14:paraId="5F1D64AA"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Within tolerance</w:t>
            </w:r>
          </w:p>
        </w:tc>
        <w:tc>
          <w:tcPr>
            <w:tcW w:w="3264" w:type="dxa"/>
            <w:vAlign w:val="center"/>
          </w:tcPr>
          <w:p w14:paraId="05ABBCE1" w14:textId="77777777" w:rsidR="00747409" w:rsidRPr="001E2130" w:rsidRDefault="00747409" w:rsidP="001E2130">
            <w:pP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Demand distributions validated as realistic</w:t>
            </w:r>
          </w:p>
        </w:tc>
      </w:tr>
      <w:tr w:rsidR="00A70916" w:rsidRPr="001E2130" w14:paraId="5CA0FA1E" w14:textId="77777777" w:rsidTr="001E2130">
        <w:trPr>
          <w:jc w:val="center"/>
        </w:trPr>
        <w:tc>
          <w:tcPr>
            <w:tcW w:w="2379" w:type="dxa"/>
            <w:vAlign w:val="center"/>
          </w:tcPr>
          <w:p w14:paraId="629B91F3" w14:textId="77777777" w:rsidR="00747409" w:rsidRPr="001E2130" w:rsidRDefault="00747409" w:rsidP="001E2130">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Expert validation (synthetic parameters)</w:t>
            </w:r>
          </w:p>
        </w:tc>
        <w:tc>
          <w:tcPr>
            <w:tcW w:w="1545" w:type="dxa"/>
            <w:vAlign w:val="center"/>
          </w:tcPr>
          <w:p w14:paraId="053B032E"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94% agreement</w:t>
            </w:r>
          </w:p>
        </w:tc>
        <w:tc>
          <w:tcPr>
            <w:tcW w:w="1452" w:type="dxa"/>
            <w:vAlign w:val="center"/>
          </w:tcPr>
          <w:p w14:paraId="43F59E67"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Target ≥85%</w:t>
            </w:r>
          </w:p>
        </w:tc>
        <w:tc>
          <w:tcPr>
            <w:tcW w:w="1075" w:type="dxa"/>
            <w:vAlign w:val="center"/>
          </w:tcPr>
          <w:p w14:paraId="40CAB314"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High agreement</w:t>
            </w:r>
          </w:p>
        </w:tc>
        <w:tc>
          <w:tcPr>
            <w:tcW w:w="3264" w:type="dxa"/>
            <w:vAlign w:val="center"/>
          </w:tcPr>
          <w:p w14:paraId="3B44E20E" w14:textId="77777777" w:rsidR="00747409" w:rsidRPr="001E2130" w:rsidRDefault="00747409" w:rsidP="001E2130">
            <w:pP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Lead times, transport, and holding cost rates confirmed as realistic by 15-year and 22-year logistics practitioners</w:t>
            </w:r>
          </w:p>
        </w:tc>
      </w:tr>
      <w:tr w:rsidR="00A70916" w:rsidRPr="001E2130" w14:paraId="77D6749E" w14:textId="77777777" w:rsidTr="001E2130">
        <w:trPr>
          <w:jc w:val="center"/>
        </w:trPr>
        <w:tc>
          <w:tcPr>
            <w:tcW w:w="2379" w:type="dxa"/>
            <w:vAlign w:val="center"/>
          </w:tcPr>
          <w:p w14:paraId="26A8323B" w14:textId="77777777" w:rsidR="00747409" w:rsidRPr="001E2130" w:rsidRDefault="00747409" w:rsidP="001E2130">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Sensitivity analysis (policy ranking stability)</w:t>
            </w:r>
          </w:p>
        </w:tc>
        <w:tc>
          <w:tcPr>
            <w:tcW w:w="1545" w:type="dxa"/>
            <w:vAlign w:val="center"/>
          </w:tcPr>
          <w:p w14:paraId="1D9BD967"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Kendall's τ 0.85–0.92</w:t>
            </w:r>
          </w:p>
        </w:tc>
        <w:tc>
          <w:tcPr>
            <w:tcW w:w="1452" w:type="dxa"/>
            <w:vAlign w:val="center"/>
          </w:tcPr>
          <w:p w14:paraId="7EF00155"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Stability threshold ≥0.80</w:t>
            </w:r>
          </w:p>
        </w:tc>
        <w:tc>
          <w:tcPr>
            <w:tcW w:w="1075" w:type="dxa"/>
            <w:vAlign w:val="center"/>
          </w:tcPr>
          <w:p w14:paraId="58700D91"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Stable</w:t>
            </w:r>
          </w:p>
        </w:tc>
        <w:tc>
          <w:tcPr>
            <w:tcW w:w="3264" w:type="dxa"/>
            <w:vAlign w:val="center"/>
          </w:tcPr>
          <w:p w14:paraId="5DC55EE6" w14:textId="77777777" w:rsidR="00747409" w:rsidRPr="001E2130" w:rsidRDefault="00747409" w:rsidP="001E2130">
            <w:pP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Policy rankings to ±20% parameter perturbations</w:t>
            </w:r>
          </w:p>
        </w:tc>
      </w:tr>
      <w:tr w:rsidR="00A70916" w:rsidRPr="001E2130" w14:paraId="642D22F7" w14:textId="77777777" w:rsidTr="001E2130">
        <w:trPr>
          <w:jc w:val="center"/>
        </w:trPr>
        <w:tc>
          <w:tcPr>
            <w:tcW w:w="2379" w:type="dxa"/>
            <w:vAlign w:val="center"/>
          </w:tcPr>
          <w:p w14:paraId="7944D425" w14:textId="77777777" w:rsidR="00747409" w:rsidRPr="001E2130" w:rsidRDefault="00747409" w:rsidP="001E2130">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Bootstrap resampling (confidence intervals)</w:t>
            </w:r>
          </w:p>
        </w:tc>
        <w:tc>
          <w:tcPr>
            <w:tcW w:w="1545" w:type="dxa"/>
            <w:vAlign w:val="center"/>
          </w:tcPr>
          <w:p w14:paraId="608B8E4B"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1,000 resamples per policy</w:t>
            </w:r>
          </w:p>
        </w:tc>
        <w:tc>
          <w:tcPr>
            <w:tcW w:w="1452" w:type="dxa"/>
            <w:vAlign w:val="center"/>
          </w:tcPr>
          <w:p w14:paraId="64DEC104"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Standard in applied OR</w:t>
            </w:r>
          </w:p>
        </w:tc>
        <w:tc>
          <w:tcPr>
            <w:tcW w:w="1075" w:type="dxa"/>
            <w:vAlign w:val="center"/>
          </w:tcPr>
          <w:p w14:paraId="509F9443" w14:textId="77777777" w:rsidR="00747409" w:rsidRPr="001E2130" w:rsidRDefault="00747409" w:rsidP="00CE3CB4">
            <w:pPr>
              <w:jc w:val="cente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Adequate</w:t>
            </w:r>
          </w:p>
        </w:tc>
        <w:tc>
          <w:tcPr>
            <w:tcW w:w="3264" w:type="dxa"/>
            <w:vAlign w:val="center"/>
          </w:tcPr>
          <w:p w14:paraId="1507B811" w14:textId="77777777" w:rsidR="00747409" w:rsidRPr="001E2130" w:rsidRDefault="00747409" w:rsidP="001E2130">
            <w:pPr>
              <w:rPr>
                <w:rFonts w:ascii="Times New Roman" w:hAnsi="Times New Roman" w:cs="Times New Roman"/>
                <w:color w:val="000000" w:themeColor="text1"/>
                <w:sz w:val="20"/>
                <w:szCs w:val="20"/>
              </w:rPr>
            </w:pPr>
            <w:r w:rsidRPr="001E2130">
              <w:rPr>
                <w:rFonts w:ascii="Times New Roman" w:hAnsi="Times New Roman" w:cs="Times New Roman"/>
                <w:color w:val="000000" w:themeColor="text1"/>
                <w:sz w:val="20"/>
                <w:szCs w:val="20"/>
              </w:rPr>
              <w:t>95% CIs computed for all pairwise comparisons (Table 2)</w:t>
            </w:r>
          </w:p>
        </w:tc>
      </w:tr>
    </w:tbl>
    <w:p w14:paraId="32A33FD0" w14:textId="77777777" w:rsidR="007C3072" w:rsidRPr="007C3072" w:rsidRDefault="007C3072" w:rsidP="007C3072"/>
    <w:p w14:paraId="3BD3DF7C" w14:textId="77777777" w:rsidR="00747409" w:rsidRDefault="00747409" w:rsidP="00AB3735">
      <w:pPr>
        <w:pStyle w:val="Ttulo3"/>
      </w:pPr>
      <w:r w:rsidRPr="00A70916">
        <w:t>B.5 Aggregation Process Flowchart</w:t>
      </w:r>
    </w:p>
    <w:p w14:paraId="4A31787B" w14:textId="77777777" w:rsidR="00541F14" w:rsidRPr="00541F14" w:rsidRDefault="00541F14" w:rsidP="00541F14"/>
    <w:tbl>
      <w:tblPr>
        <w:tblStyle w:val="Tabelacomgrade"/>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6"/>
      </w:tblGrid>
      <w:tr w:rsidR="00FE0E96" w:rsidRPr="00A70916" w14:paraId="674CF57B" w14:textId="77777777" w:rsidTr="00541F14">
        <w:tc>
          <w:tcPr>
            <w:tcW w:w="9536" w:type="dxa"/>
          </w:tcPr>
          <w:p w14:paraId="66E7D7C1" w14:textId="77777777" w:rsidR="00FE0E96" w:rsidRPr="00A70916" w:rsidRDefault="00541F14" w:rsidP="00DB6423">
            <w:pPr>
              <w:pStyle w:val="Corpodetexto"/>
              <w:spacing w:before="0"/>
              <w:ind w:left="0"/>
              <w:jc w:val="center"/>
              <w:rPr>
                <w:rFonts w:ascii="Times New Roman" w:hAnsi="Times New Roman" w:cs="Times New Roman"/>
                <w:color w:val="000000" w:themeColor="text1"/>
                <w:spacing w:val="-4"/>
                <w:sz w:val="22"/>
                <w:szCs w:val="22"/>
              </w:rPr>
            </w:pPr>
            <w:r w:rsidRPr="00541F14">
              <w:rPr>
                <w:noProof/>
              </w:rPr>
              <w:drawing>
                <wp:inline distT="0" distB="0" distL="0" distR="0" wp14:anchorId="300B7704" wp14:editId="42E1B230">
                  <wp:extent cx="5943600" cy="3543935"/>
                  <wp:effectExtent l="0" t="0" r="0" b="0"/>
                  <wp:docPr id="2140777146" name="Picture 214077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ion_flowchart_B5.png"/>
                          <pic:cNvPicPr/>
                        </pic:nvPicPr>
                        <pic:blipFill>
                          <a:blip r:embed="rId8"/>
                          <a:stretch>
                            <a:fillRect/>
                          </a:stretch>
                        </pic:blipFill>
                        <pic:spPr>
                          <a:xfrm>
                            <a:off x="0" y="0"/>
                            <a:ext cx="5943600" cy="3543935"/>
                          </a:xfrm>
                          <a:prstGeom prst="rect">
                            <a:avLst/>
                          </a:prstGeom>
                        </pic:spPr>
                      </pic:pic>
                    </a:graphicData>
                  </a:graphic>
                </wp:inline>
              </w:drawing>
            </w:r>
          </w:p>
        </w:tc>
      </w:tr>
      <w:tr w:rsidR="00541F14" w:rsidRPr="00A70916" w14:paraId="54AEA67E" w14:textId="77777777" w:rsidTr="00541F14">
        <w:tc>
          <w:tcPr>
            <w:tcW w:w="9536" w:type="dxa"/>
          </w:tcPr>
          <w:p w14:paraId="0E725EE1" w14:textId="77777777" w:rsidR="00541F14" w:rsidRPr="00FE0E96" w:rsidRDefault="00541F14" w:rsidP="00541F14">
            <w:pPr>
              <w:pStyle w:val="Corpodetexto"/>
              <w:spacing w:before="0"/>
              <w:ind w:left="0"/>
              <w:jc w:val="both"/>
              <w:rPr>
                <w:noProof/>
              </w:rPr>
            </w:pPr>
            <w:r w:rsidRPr="00541F14">
              <w:rPr>
                <w:rFonts w:ascii="Times New Roman" w:hAnsi="Times New Roman" w:cs="Times New Roman"/>
                <w:b/>
                <w:bCs/>
              </w:rPr>
              <w:t>Figure B.5.</w:t>
            </w:r>
            <w:r>
              <w:rPr>
                <w:rFonts w:ascii="Times New Roman" w:hAnsi="Times New Roman" w:cs="Times New Roman"/>
                <w:b/>
                <w:bCs/>
              </w:rPr>
              <w:t>1</w:t>
            </w:r>
            <w:r w:rsidRPr="00541F14">
              <w:rPr>
                <w:rFonts w:ascii="Times New Roman" w:hAnsi="Times New Roman" w:cs="Times New Roman"/>
                <w:b/>
                <w:bCs/>
              </w:rPr>
              <w:t xml:space="preserve"> </w:t>
            </w:r>
            <w:r w:rsidRPr="00541F14">
              <w:rPr>
                <w:rFonts w:ascii="Times New Roman" w:hAnsi="Times New Roman" w:cs="Times New Roman"/>
              </w:rPr>
              <w:t>Aggregation process overview (data-to-simulation pipeline).</w:t>
            </w:r>
          </w:p>
        </w:tc>
      </w:tr>
    </w:tbl>
    <w:p w14:paraId="4B3617EC" w14:textId="77777777" w:rsidR="00747409" w:rsidRPr="00A70916" w:rsidRDefault="00747409" w:rsidP="00747409">
      <w:pPr>
        <w:pStyle w:val="Corpodetexto"/>
        <w:spacing w:before="0"/>
        <w:ind w:left="210" w:right="15"/>
        <w:jc w:val="center"/>
        <w:rPr>
          <w:rFonts w:ascii="Times New Roman" w:hAnsi="Times New Roman" w:cs="Times New Roman"/>
          <w:color w:val="000000" w:themeColor="text1"/>
          <w:spacing w:val="-4"/>
          <w:sz w:val="22"/>
          <w:szCs w:val="22"/>
        </w:rPr>
      </w:pPr>
    </w:p>
    <w:p w14:paraId="7540A501" w14:textId="77777777" w:rsidR="00747409" w:rsidRPr="00A70916" w:rsidRDefault="00747409" w:rsidP="00AB3735">
      <w:pPr>
        <w:pStyle w:val="Ttulo3"/>
      </w:pPr>
      <w:r w:rsidRPr="00A70916">
        <w:lastRenderedPageBreak/>
        <w:t>B.6 Critical Scale Clarifications</w:t>
      </w:r>
    </w:p>
    <w:p w14:paraId="4C070342" w14:textId="77777777" w:rsidR="00747409" w:rsidRPr="00A70916" w:rsidRDefault="00747409" w:rsidP="00E91127">
      <w:pPr>
        <w:pStyle w:val="text-base"/>
        <w:jc w:val="both"/>
        <w:rPr>
          <w:color w:val="000000" w:themeColor="text1"/>
          <w:lang w:val="en-US"/>
        </w:rPr>
      </w:pPr>
      <w:r w:rsidRPr="00A25014">
        <w:rPr>
          <w:lang w:val="en-US"/>
        </w:rPr>
        <w:t xml:space="preserve">Scale consistency note. Tables 1–4 report </w:t>
      </w:r>
      <w:r w:rsidR="00136957">
        <w:rPr>
          <w:lang w:val="en-US"/>
        </w:rPr>
        <w:t xml:space="preserve">the </w:t>
      </w:r>
      <w:r w:rsidRPr="00A25014">
        <w:rPr>
          <w:lang w:val="en-US"/>
        </w:rPr>
        <w:t xml:space="preserve">total </w:t>
      </w:r>
      <w:r w:rsidR="00136957">
        <w:rPr>
          <w:lang w:val="en-US"/>
        </w:rPr>
        <w:t>network-level cost</w:t>
      </w:r>
      <w:r w:rsidRPr="00A25014">
        <w:rPr>
          <w:lang w:val="en-US"/>
        </w:rPr>
        <w:t>, aggregated across facilities and time over the evaluation horizon. The simulator models inventory decisions at an aggregated SKU-equivalent level</w:t>
      </w:r>
      <w:r w:rsidR="00136957">
        <w:rPr>
          <w:lang w:val="en-US"/>
        </w:rPr>
        <w:t xml:space="preserve"> while accumulating</w:t>
      </w:r>
      <w:r w:rsidRPr="00A25014">
        <w:rPr>
          <w:lang w:val="en-US"/>
        </w:rPr>
        <w:t xml:space="preserve"> costs network-wide. Readers should therefore interpret the reported totals as horizon-level network aggregates rather than per-facility or per-day amounts.</w:t>
      </w:r>
    </w:p>
    <w:p w14:paraId="4414EA65" w14:textId="77777777" w:rsidR="00747409" w:rsidRPr="00A70916" w:rsidRDefault="00747409" w:rsidP="00E91127">
      <w:pPr>
        <w:pStyle w:val="text-base"/>
        <w:jc w:val="both"/>
        <w:rPr>
          <w:color w:val="000000" w:themeColor="text1"/>
          <w:lang w:val="en-US"/>
        </w:rPr>
      </w:pPr>
      <w:r w:rsidRPr="00653ACC">
        <w:rPr>
          <w:lang w:val="en-US"/>
        </w:rPr>
        <w:t>The real-world dataset driving all simulations is derived from 1,000 movements across 50 SKUs from the SESAB/HUPES purchasing systems for 2022 and 2023. This dataset was selected based on a percentage of entries per field per movement of more than 90%, with no blank entries, and notation of SESAB/HUPES validation. Therefore, it will be a consistent baseline across all 100 Monte Carlo runs and across all policy scenarios. A historical dataset of 9,170 movements from SESAB/HUPES for the full calendar year of 2021 was available; however, it was not used in the primary analysis of simulations</w:t>
      </w:r>
      <w:r w:rsidR="00D508F7">
        <w:rPr>
          <w:lang w:val="en-US"/>
        </w:rPr>
        <w:t>, which is intende</w:t>
      </w:r>
      <w:r w:rsidRPr="00653ACC">
        <w:rPr>
          <w:lang w:val="en-US"/>
        </w:rPr>
        <w:t>d to ensure consistent replication across scenarios. The historical dataset will be acknowledged for future consideration regarding volume and feasibility, should future work aim to use a more extensive dataset for 24 to 36 months of operational analysis to substantiate these results before implementation in the field.</w:t>
      </w:r>
    </w:p>
    <w:p w14:paraId="71710259" w14:textId="77777777" w:rsidR="00747409" w:rsidRPr="00A70916" w:rsidRDefault="00747409" w:rsidP="00E91127">
      <w:pPr>
        <w:pStyle w:val="text-base"/>
        <w:jc w:val="both"/>
        <w:rPr>
          <w:color w:val="000000" w:themeColor="text1"/>
          <w:lang w:val="en-US"/>
        </w:rPr>
      </w:pPr>
      <w:r w:rsidRPr="00A70916">
        <w:rPr>
          <w:color w:val="000000" w:themeColor="text1"/>
          <w:lang w:val="en-US"/>
        </w:rPr>
        <w:t xml:space="preserve">While Table 1's demand distributions are empirically derived (realized average medicine taken daily per SKU from the 1,000 movements reported), the supply parameters (lead times, transportation costs, holding cost percentages) are synthetic, parameterized via literature review and expert triangulation with 15 and 22-year SUS supply chain professionals (94% agreement of validation). Thus, the costs in Table 1 are not entirely empirical distributions compiled from transaction journals (in the stockroom) or </w:t>
      </w:r>
      <w:r w:rsidR="00136957">
        <w:rPr>
          <w:color w:val="000000" w:themeColor="text1"/>
          <w:lang w:val="en-US"/>
        </w:rPr>
        <w:t>entirely synthetic, but rather representative of simulation outcomes generated from</w:t>
      </w:r>
      <w:r w:rsidRPr="00A70916">
        <w:rPr>
          <w:color w:val="000000" w:themeColor="text1"/>
          <w:lang w:val="en-US"/>
        </w:rPr>
        <w:t xml:space="preserve"> empirical demand distributions and synthetic supply parameters via Monte Carlo sampling. The external validity of this study depends on observed demand distributions and clinical variation. In contrast, its internal validity relies on uniform supply parameters across all tested policies and replications, enabling appropriately causal generalizations about which algorithm was effective.</w:t>
      </w:r>
    </w:p>
    <w:p w14:paraId="1774127C" w14:textId="77777777" w:rsidR="00747409" w:rsidRPr="00A70916" w:rsidRDefault="00747409" w:rsidP="00AB3735">
      <w:pPr>
        <w:pStyle w:val="Ttulo3"/>
        <w:rPr>
          <w:lang w:eastAsia="pt-BR"/>
        </w:rPr>
      </w:pPr>
      <w:r>
        <w:t>B.7 Synthetic Parameter Bias Quantification</w:t>
      </w:r>
    </w:p>
    <w:p w14:paraId="5AF5E627" w14:textId="77777777" w:rsidR="00747409" w:rsidRPr="00A70916" w:rsidRDefault="00747409" w:rsidP="00E91127">
      <w:pPr>
        <w:pStyle w:val="text-base"/>
        <w:jc w:val="both"/>
        <w:rPr>
          <w:color w:val="000000" w:themeColor="text1"/>
          <w:lang w:val="en-US"/>
        </w:rPr>
      </w:pPr>
      <w:r w:rsidRPr="00F34B55">
        <w:rPr>
          <w:lang w:val="en-US"/>
        </w:rPr>
        <w:t>The chosen parameters for the hybrid AI architecture include four synthetic variables (lead time, transport cost, holding rate, and stockout penalty), which are based on expert consensus and a literature review rather than actual SUS running data. Therefore, the comparison in Table B7 indicates whether each synthetic parameter is &gt;,&lt;, or ≠ equal to the empirically discovered or literature-based value.</w:t>
      </w:r>
    </w:p>
    <w:p w14:paraId="268B4E78" w14:textId="77777777" w:rsidR="00747409" w:rsidRPr="00A70916" w:rsidRDefault="00747409" w:rsidP="001E2130">
      <w:pPr>
        <w:pStyle w:val="Corpodetexto"/>
        <w:spacing w:before="0" w:after="120" w:line="286" w:lineRule="auto"/>
        <w:ind w:left="216" w:right="14"/>
        <w:jc w:val="center"/>
        <w:rPr>
          <w:rFonts w:ascii="Times New Roman" w:eastAsia="Times New Roman" w:hAnsi="Times New Roman" w:cs="Times New Roman"/>
          <w:b/>
          <w:bCs/>
          <w:color w:val="000000" w:themeColor="text1"/>
          <w:sz w:val="22"/>
          <w:szCs w:val="22"/>
          <w:lang w:eastAsia="pt-BR"/>
        </w:rPr>
      </w:pPr>
      <w:r w:rsidRPr="00A70916">
        <w:rPr>
          <w:rFonts w:ascii="Times New Roman" w:eastAsia="Times New Roman" w:hAnsi="Times New Roman" w:cs="Times New Roman"/>
          <w:b/>
          <w:bCs/>
          <w:color w:val="000000" w:themeColor="text1"/>
          <w:sz w:val="22"/>
          <w:szCs w:val="22"/>
          <w:lang w:eastAsia="pt-BR"/>
        </w:rPr>
        <w:t>Table B7: Synthetic Parameter Bias Quantification</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1909"/>
        <w:gridCol w:w="1918"/>
        <w:gridCol w:w="1560"/>
        <w:gridCol w:w="1984"/>
      </w:tblGrid>
      <w:tr w:rsidR="00A70916" w:rsidRPr="00A70916" w14:paraId="371CC641" w14:textId="77777777" w:rsidTr="00CE3CB4">
        <w:trPr>
          <w:trHeight w:val="290"/>
          <w:jc w:val="center"/>
        </w:trPr>
        <w:tc>
          <w:tcPr>
            <w:tcW w:w="1701" w:type="dxa"/>
            <w:noWrap/>
            <w:vAlign w:val="bottom"/>
            <w:hideMark/>
          </w:tcPr>
          <w:p w14:paraId="494E2570" w14:textId="77777777" w:rsidR="00747409" w:rsidRPr="001E2130" w:rsidRDefault="00747409" w:rsidP="00CE3CB4">
            <w:pPr>
              <w:widowControl/>
              <w:autoSpaceDE/>
              <w:autoSpaceDN/>
              <w:rPr>
                <w:rFonts w:ascii="Times New Roman" w:eastAsia="Times New Roman" w:hAnsi="Times New Roman" w:cs="Times New Roman"/>
                <w:b/>
                <w:bCs/>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Parameter</w:t>
            </w:r>
          </w:p>
        </w:tc>
        <w:tc>
          <w:tcPr>
            <w:tcW w:w="1909" w:type="dxa"/>
            <w:noWrap/>
            <w:vAlign w:val="bottom"/>
            <w:hideMark/>
          </w:tcPr>
          <w:p w14:paraId="55FF1D57" w14:textId="77777777" w:rsidR="00747409" w:rsidRPr="001E2130" w:rsidRDefault="00747409" w:rsidP="00541F14">
            <w:pPr>
              <w:widowControl/>
              <w:autoSpaceDE/>
              <w:autoSpaceDN/>
              <w:jc w:val="center"/>
              <w:rPr>
                <w:rFonts w:ascii="Times New Roman" w:eastAsia="Times New Roman" w:hAnsi="Times New Roman" w:cs="Times New Roman"/>
                <w:b/>
                <w:bCs/>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Synthetic Value</w:t>
            </w:r>
          </w:p>
        </w:tc>
        <w:tc>
          <w:tcPr>
            <w:tcW w:w="1918" w:type="dxa"/>
            <w:noWrap/>
            <w:vAlign w:val="bottom"/>
            <w:hideMark/>
          </w:tcPr>
          <w:p w14:paraId="371582C6" w14:textId="77777777" w:rsidR="00747409" w:rsidRPr="001E2130" w:rsidRDefault="00747409" w:rsidP="00541F14">
            <w:pPr>
              <w:widowControl/>
              <w:autoSpaceDE/>
              <w:autoSpaceDN/>
              <w:jc w:val="center"/>
              <w:rPr>
                <w:rFonts w:ascii="Times New Roman" w:eastAsia="Times New Roman" w:hAnsi="Times New Roman" w:cs="Times New Roman"/>
                <w:b/>
                <w:bCs/>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Literature Range</w:t>
            </w:r>
          </w:p>
        </w:tc>
        <w:tc>
          <w:tcPr>
            <w:tcW w:w="1560" w:type="dxa"/>
            <w:noWrap/>
            <w:vAlign w:val="bottom"/>
            <w:hideMark/>
          </w:tcPr>
          <w:p w14:paraId="4F46BC8C" w14:textId="77777777" w:rsidR="00747409" w:rsidRPr="001E2130" w:rsidRDefault="00747409" w:rsidP="00541F14">
            <w:pPr>
              <w:widowControl/>
              <w:autoSpaceDE/>
              <w:autoSpaceDN/>
              <w:jc w:val="center"/>
              <w:rPr>
                <w:rFonts w:ascii="Times New Roman" w:eastAsia="Times New Roman" w:hAnsi="Times New Roman" w:cs="Times New Roman"/>
                <w:b/>
                <w:bCs/>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Bias</w:t>
            </w:r>
          </w:p>
        </w:tc>
        <w:tc>
          <w:tcPr>
            <w:tcW w:w="1984" w:type="dxa"/>
            <w:noWrap/>
            <w:vAlign w:val="bottom"/>
            <w:hideMark/>
          </w:tcPr>
          <w:p w14:paraId="67BC1FCC" w14:textId="77777777" w:rsidR="00747409" w:rsidRPr="001E2130" w:rsidRDefault="00747409" w:rsidP="00541F14">
            <w:pPr>
              <w:widowControl/>
              <w:autoSpaceDE/>
              <w:autoSpaceDN/>
              <w:jc w:val="center"/>
              <w:rPr>
                <w:rFonts w:ascii="Times New Roman" w:eastAsia="Times New Roman" w:hAnsi="Times New Roman" w:cs="Times New Roman"/>
                <w:b/>
                <w:bCs/>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Validation Status</w:t>
            </w:r>
          </w:p>
        </w:tc>
      </w:tr>
      <w:tr w:rsidR="00A70916" w:rsidRPr="00A70916" w14:paraId="6A39FE03" w14:textId="77777777" w:rsidTr="00CE3CB4">
        <w:trPr>
          <w:trHeight w:val="290"/>
          <w:jc w:val="center"/>
        </w:trPr>
        <w:tc>
          <w:tcPr>
            <w:tcW w:w="1701" w:type="dxa"/>
            <w:noWrap/>
            <w:vAlign w:val="bottom"/>
            <w:hideMark/>
          </w:tcPr>
          <w:p w14:paraId="65EE69BA" w14:textId="77777777" w:rsidR="00747409" w:rsidRPr="001E2130" w:rsidRDefault="00747409" w:rsidP="00CE3CB4">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Unit cost</w:t>
            </w:r>
          </w:p>
        </w:tc>
        <w:tc>
          <w:tcPr>
            <w:tcW w:w="1909" w:type="dxa"/>
            <w:noWrap/>
            <w:vAlign w:val="bottom"/>
            <w:hideMark/>
          </w:tcPr>
          <w:p w14:paraId="065AF4AB"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μ=3.3 σ=0.7</w:t>
            </w:r>
          </w:p>
        </w:tc>
        <w:tc>
          <w:tcPr>
            <w:tcW w:w="1918" w:type="dxa"/>
            <w:noWrap/>
            <w:vAlign w:val="bottom"/>
            <w:hideMark/>
          </w:tcPr>
          <w:p w14:paraId="6A68ED68"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MoH database</w:t>
            </w:r>
          </w:p>
        </w:tc>
        <w:tc>
          <w:tcPr>
            <w:tcW w:w="1560" w:type="dxa"/>
            <w:noWrap/>
            <w:vAlign w:val="bottom"/>
            <w:hideMark/>
          </w:tcPr>
          <w:p w14:paraId="56688BD7"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±0%</w:t>
            </w:r>
          </w:p>
        </w:tc>
        <w:tc>
          <w:tcPr>
            <w:tcW w:w="1984" w:type="dxa"/>
            <w:noWrap/>
            <w:vAlign w:val="bottom"/>
            <w:hideMark/>
          </w:tcPr>
          <w:p w14:paraId="03C9A7E0"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Empirical</w:t>
            </w:r>
          </w:p>
        </w:tc>
      </w:tr>
      <w:tr w:rsidR="00A70916" w:rsidRPr="00A70916" w14:paraId="50F071BA" w14:textId="77777777" w:rsidTr="00CE3CB4">
        <w:trPr>
          <w:trHeight w:val="290"/>
          <w:jc w:val="center"/>
        </w:trPr>
        <w:tc>
          <w:tcPr>
            <w:tcW w:w="1701" w:type="dxa"/>
            <w:noWrap/>
            <w:vAlign w:val="bottom"/>
            <w:hideMark/>
          </w:tcPr>
          <w:p w14:paraId="4DD2976D" w14:textId="77777777" w:rsidR="00747409" w:rsidRPr="001E2130" w:rsidRDefault="00747409" w:rsidP="00CE3CB4">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Lead time</w:t>
            </w:r>
          </w:p>
        </w:tc>
        <w:tc>
          <w:tcPr>
            <w:tcW w:w="1909" w:type="dxa"/>
            <w:noWrap/>
            <w:vAlign w:val="bottom"/>
            <w:hideMark/>
          </w:tcPr>
          <w:p w14:paraId="2307FE60"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N(7.2 1.8)</w:t>
            </w:r>
          </w:p>
        </w:tc>
        <w:tc>
          <w:tcPr>
            <w:tcW w:w="1918" w:type="dxa"/>
            <w:noWrap/>
            <w:vAlign w:val="bottom"/>
            <w:hideMark/>
          </w:tcPr>
          <w:p w14:paraId="04B6712F"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7.2±2.1 (observed)</w:t>
            </w:r>
          </w:p>
        </w:tc>
        <w:tc>
          <w:tcPr>
            <w:tcW w:w="1560" w:type="dxa"/>
            <w:noWrap/>
            <w:vAlign w:val="bottom"/>
            <w:hideMark/>
          </w:tcPr>
          <w:p w14:paraId="6620D66A"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±3%</w:t>
            </w:r>
          </w:p>
        </w:tc>
        <w:tc>
          <w:tcPr>
            <w:tcW w:w="1984" w:type="dxa"/>
            <w:noWrap/>
            <w:vAlign w:val="bottom"/>
            <w:hideMark/>
          </w:tcPr>
          <w:p w14:paraId="14CE7F25"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Expert 94%</w:t>
            </w:r>
          </w:p>
        </w:tc>
      </w:tr>
      <w:tr w:rsidR="00A70916" w:rsidRPr="00A70916" w14:paraId="780CE8C8" w14:textId="77777777" w:rsidTr="00CE3CB4">
        <w:trPr>
          <w:trHeight w:val="290"/>
          <w:jc w:val="center"/>
        </w:trPr>
        <w:tc>
          <w:tcPr>
            <w:tcW w:w="1701" w:type="dxa"/>
            <w:noWrap/>
            <w:vAlign w:val="bottom"/>
            <w:hideMark/>
          </w:tcPr>
          <w:p w14:paraId="3347CAC2" w14:textId="77777777" w:rsidR="00747409" w:rsidRPr="001E2130" w:rsidRDefault="00747409" w:rsidP="00CE3CB4">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Transport</w:t>
            </w:r>
          </w:p>
        </w:tc>
        <w:tc>
          <w:tcPr>
            <w:tcW w:w="1909" w:type="dxa"/>
            <w:noWrap/>
            <w:vAlign w:val="bottom"/>
            <w:hideMark/>
          </w:tcPr>
          <w:p w14:paraId="643A3450"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0.85 BRL/km</w:t>
            </w:r>
          </w:p>
        </w:tc>
        <w:tc>
          <w:tcPr>
            <w:tcW w:w="1918" w:type="dxa"/>
            <w:noWrap/>
            <w:vAlign w:val="bottom"/>
            <w:hideMark/>
          </w:tcPr>
          <w:p w14:paraId="27F5D7FA"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0.78–0.95</w:t>
            </w:r>
          </w:p>
        </w:tc>
        <w:tc>
          <w:tcPr>
            <w:tcW w:w="1560" w:type="dxa"/>
            <w:noWrap/>
            <w:vAlign w:val="bottom"/>
            <w:hideMark/>
          </w:tcPr>
          <w:p w14:paraId="1D6B4F6A"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±9% to +12%</w:t>
            </w:r>
          </w:p>
        </w:tc>
        <w:tc>
          <w:tcPr>
            <w:tcW w:w="1984" w:type="dxa"/>
            <w:noWrap/>
            <w:vAlign w:val="bottom"/>
            <w:hideMark/>
          </w:tcPr>
          <w:p w14:paraId="38D254D3"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Contract ±15%</w:t>
            </w:r>
          </w:p>
        </w:tc>
      </w:tr>
      <w:tr w:rsidR="00A70916" w:rsidRPr="00A70916" w14:paraId="1C065F2C" w14:textId="77777777" w:rsidTr="00CE3CB4">
        <w:trPr>
          <w:trHeight w:val="290"/>
          <w:jc w:val="center"/>
        </w:trPr>
        <w:tc>
          <w:tcPr>
            <w:tcW w:w="1701" w:type="dxa"/>
            <w:noWrap/>
            <w:vAlign w:val="bottom"/>
            <w:hideMark/>
          </w:tcPr>
          <w:p w14:paraId="224B4176" w14:textId="77777777" w:rsidR="00747409" w:rsidRPr="001E2130" w:rsidRDefault="00747409" w:rsidP="00CE3CB4">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Holding rate</w:t>
            </w:r>
          </w:p>
        </w:tc>
        <w:tc>
          <w:tcPr>
            <w:tcW w:w="1909" w:type="dxa"/>
            <w:noWrap/>
            <w:vAlign w:val="bottom"/>
            <w:hideMark/>
          </w:tcPr>
          <w:p w14:paraId="3C1B08A2"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0.003/unit/day</w:t>
            </w:r>
          </w:p>
        </w:tc>
        <w:tc>
          <w:tcPr>
            <w:tcW w:w="1918" w:type="dxa"/>
            <w:noWrap/>
            <w:vAlign w:val="bottom"/>
            <w:hideMark/>
          </w:tcPr>
          <w:p w14:paraId="7427149A"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0.0025–0.0035</w:t>
            </w:r>
          </w:p>
        </w:tc>
        <w:tc>
          <w:tcPr>
            <w:tcW w:w="1560" w:type="dxa"/>
            <w:noWrap/>
            <w:vAlign w:val="bottom"/>
            <w:hideMark/>
          </w:tcPr>
          <w:p w14:paraId="1A4E4B6A"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±17%</w:t>
            </w:r>
          </w:p>
        </w:tc>
        <w:tc>
          <w:tcPr>
            <w:tcW w:w="1984" w:type="dxa"/>
            <w:noWrap/>
            <w:vAlign w:val="bottom"/>
            <w:hideMark/>
          </w:tcPr>
          <w:p w14:paraId="48AFD189"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Benchmarks ±15%</w:t>
            </w:r>
          </w:p>
        </w:tc>
      </w:tr>
      <w:tr w:rsidR="00A70916" w:rsidRPr="00A70916" w14:paraId="7045579D" w14:textId="77777777" w:rsidTr="00CE3CB4">
        <w:trPr>
          <w:trHeight w:val="290"/>
          <w:jc w:val="center"/>
        </w:trPr>
        <w:tc>
          <w:tcPr>
            <w:tcW w:w="1701" w:type="dxa"/>
            <w:noWrap/>
            <w:vAlign w:val="bottom"/>
            <w:hideMark/>
          </w:tcPr>
          <w:p w14:paraId="3B7DCBC3" w14:textId="77777777" w:rsidR="00747409" w:rsidRPr="001E2130" w:rsidRDefault="00747409" w:rsidP="00CE3CB4">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Stockout penalty</w:t>
            </w:r>
          </w:p>
        </w:tc>
        <w:tc>
          <w:tcPr>
            <w:tcW w:w="1909" w:type="dxa"/>
            <w:noWrap/>
            <w:vAlign w:val="bottom"/>
            <w:hideMark/>
          </w:tcPr>
          <w:p w14:paraId="63FEDB31"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25.0</w:t>
            </w:r>
          </w:p>
        </w:tc>
        <w:tc>
          <w:tcPr>
            <w:tcW w:w="1918" w:type="dxa"/>
            <w:noWrap/>
            <w:vAlign w:val="bottom"/>
            <w:hideMark/>
          </w:tcPr>
          <w:p w14:paraId="432BE175"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20–35 (implicit)</w:t>
            </w:r>
          </w:p>
        </w:tc>
        <w:tc>
          <w:tcPr>
            <w:tcW w:w="1560" w:type="dxa"/>
            <w:noWrap/>
            <w:vAlign w:val="bottom"/>
            <w:hideMark/>
          </w:tcPr>
          <w:p w14:paraId="05752C9C"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±28%</w:t>
            </w:r>
          </w:p>
        </w:tc>
        <w:tc>
          <w:tcPr>
            <w:tcW w:w="1984" w:type="dxa"/>
            <w:noWrap/>
            <w:vAlign w:val="bottom"/>
            <w:hideMark/>
          </w:tcPr>
          <w:p w14:paraId="7B3D0DBF"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Expert consensus</w:t>
            </w:r>
          </w:p>
        </w:tc>
      </w:tr>
    </w:tbl>
    <w:p w14:paraId="2F3F0C5C" w14:textId="77777777" w:rsidR="00747409" w:rsidRPr="00A70916" w:rsidRDefault="00747409" w:rsidP="00747409">
      <w:pPr>
        <w:pStyle w:val="text-base"/>
        <w:jc w:val="both"/>
        <w:rPr>
          <w:color w:val="000000" w:themeColor="text1"/>
          <w:lang w:val="en-US"/>
        </w:rPr>
      </w:pPr>
      <w:r>
        <w:t>All synthesized parameters fall within observed or expert-validated parameters or ranges in the literature (±94% minimum agreement among two independent experts, with 15–22 years of SUS experience). The largest deviation from the benchmark range occurs for the stockout penalty (±28%), which represents an implicit valuation of clinical service loss rather than a directly observed accounting quantity. We did not run a full parameter-sensitivity sweep in the current computational budget; confirmatory work should vary the stockout penalty by at least ±30% and report rank stability of policy outcomes (for example, Kendall’s τ on policy rankings), given that p_s directly shapes ordering incentives under disruption.</w:t>
      </w:r>
    </w:p>
    <w:p w14:paraId="20C9F5AC" w14:textId="77777777" w:rsidR="00747409" w:rsidRPr="00A70916" w:rsidRDefault="00747409" w:rsidP="00AB3735">
      <w:pPr>
        <w:pStyle w:val="Ttulo3"/>
        <w:rPr>
          <w:lang w:eastAsia="pt-BR"/>
        </w:rPr>
      </w:pPr>
      <w:r w:rsidRPr="00A70916">
        <w:rPr>
          <w:lang w:eastAsia="pt-BR"/>
        </w:rPr>
        <w:t>B.8 Parameter Transferability Assessment for Cross-Context Deployment</w:t>
      </w:r>
    </w:p>
    <w:p w14:paraId="7EE28F90" w14:textId="77777777" w:rsidR="00747409" w:rsidRPr="00A70916" w:rsidRDefault="00747409" w:rsidP="00747409">
      <w:pPr>
        <w:pStyle w:val="text-base"/>
        <w:jc w:val="both"/>
        <w:rPr>
          <w:color w:val="000000" w:themeColor="text1"/>
          <w:lang w:val="en-US"/>
        </w:rPr>
      </w:pPr>
      <w:r w:rsidRPr="00A70916">
        <w:rPr>
          <w:color w:val="000000" w:themeColor="text1"/>
          <w:lang w:val="en-US"/>
        </w:rPr>
        <w:t xml:space="preserve">The model is generalized to the organization in similar alternative care situations; however, there is a middle ground between the resilience of the policy orderings (the strength of the sensitivity analysis) and the need for relative parameters. The </w:t>
      </w:r>
      <w:r w:rsidR="00136957">
        <w:rPr>
          <w:color w:val="000000" w:themeColor="text1"/>
          <w:lang w:val="en-US"/>
        </w:rPr>
        <w:t>benchmarking step</w:t>
      </w:r>
      <w:r w:rsidRPr="00A70916">
        <w:rPr>
          <w:color w:val="000000" w:themeColor="text1"/>
          <w:lang w:val="en-US"/>
        </w:rPr>
        <w:t xml:space="preserve"> is universal, but the specific parameter values are not. As Table B8.1 indicates, transferable generalizability is offered for all six parameters of interest, listed in order from highest to lowest.</w:t>
      </w:r>
    </w:p>
    <w:p w14:paraId="54AA7D79" w14:textId="77777777" w:rsidR="00747409" w:rsidRPr="001E2130" w:rsidRDefault="00747409" w:rsidP="001E2130">
      <w:pPr>
        <w:pStyle w:val="Corpodetexto"/>
        <w:spacing w:before="100" w:beforeAutospacing="1" w:after="120" w:line="286" w:lineRule="auto"/>
        <w:ind w:left="216" w:right="14"/>
        <w:jc w:val="center"/>
        <w:rPr>
          <w:rFonts w:ascii="Times New Roman" w:eastAsia="Times New Roman" w:hAnsi="Times New Roman" w:cs="Times New Roman"/>
          <w:b/>
          <w:bCs/>
          <w:color w:val="000000" w:themeColor="text1"/>
          <w:sz w:val="22"/>
          <w:szCs w:val="22"/>
          <w:lang w:eastAsia="pt-BR"/>
        </w:rPr>
      </w:pPr>
      <w:r w:rsidRPr="001E2130">
        <w:rPr>
          <w:rFonts w:ascii="Times New Roman" w:eastAsia="Times New Roman" w:hAnsi="Times New Roman" w:cs="Times New Roman"/>
          <w:b/>
          <w:bCs/>
          <w:color w:val="000000" w:themeColor="text1"/>
          <w:sz w:val="22"/>
          <w:szCs w:val="22"/>
          <w:lang w:eastAsia="pt-BR"/>
        </w:rPr>
        <w:t>Table B8.1: Parameter Transferability Classification and Implementation Requirements</w:t>
      </w:r>
    </w:p>
    <w:tbl>
      <w:tblPr>
        <w:tblW w:w="9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3"/>
        <w:gridCol w:w="1656"/>
        <w:gridCol w:w="3525"/>
        <w:gridCol w:w="2827"/>
      </w:tblGrid>
      <w:tr w:rsidR="00A70916" w:rsidRPr="00A70916" w14:paraId="3B922C1D" w14:textId="77777777" w:rsidTr="00541F14">
        <w:trPr>
          <w:trHeight w:val="290"/>
          <w:jc w:val="center"/>
        </w:trPr>
        <w:tc>
          <w:tcPr>
            <w:tcW w:w="1573" w:type="dxa"/>
            <w:noWrap/>
            <w:vAlign w:val="bottom"/>
            <w:hideMark/>
          </w:tcPr>
          <w:p w14:paraId="2B9C7608" w14:textId="77777777" w:rsidR="00747409" w:rsidRPr="001E2130" w:rsidRDefault="00747409" w:rsidP="00CE3CB4">
            <w:pPr>
              <w:widowControl/>
              <w:autoSpaceDE/>
              <w:autoSpaceDN/>
              <w:rPr>
                <w:rFonts w:ascii="Times New Roman" w:eastAsia="Times New Roman" w:hAnsi="Times New Roman" w:cs="Times New Roman"/>
                <w:b/>
                <w:bCs/>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Parameter</w:t>
            </w:r>
          </w:p>
        </w:tc>
        <w:tc>
          <w:tcPr>
            <w:tcW w:w="1656" w:type="dxa"/>
            <w:noWrap/>
            <w:vAlign w:val="bottom"/>
            <w:hideMark/>
          </w:tcPr>
          <w:p w14:paraId="2C68DA0A" w14:textId="77777777" w:rsidR="00747409" w:rsidRPr="001E2130" w:rsidRDefault="00747409" w:rsidP="00541F14">
            <w:pPr>
              <w:widowControl/>
              <w:autoSpaceDE/>
              <w:autoSpaceDN/>
              <w:jc w:val="center"/>
              <w:rPr>
                <w:rFonts w:ascii="Times New Roman" w:eastAsia="Times New Roman" w:hAnsi="Times New Roman" w:cs="Times New Roman"/>
                <w:b/>
                <w:bCs/>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Generalizability</w:t>
            </w:r>
          </w:p>
        </w:tc>
        <w:tc>
          <w:tcPr>
            <w:tcW w:w="3525" w:type="dxa"/>
            <w:noWrap/>
            <w:vAlign w:val="bottom"/>
            <w:hideMark/>
          </w:tcPr>
          <w:p w14:paraId="4D816FE6" w14:textId="77777777" w:rsidR="00747409" w:rsidRPr="001E2130" w:rsidRDefault="00747409" w:rsidP="00541F14">
            <w:pPr>
              <w:widowControl/>
              <w:autoSpaceDE/>
              <w:autoSpaceDN/>
              <w:jc w:val="center"/>
              <w:rPr>
                <w:rFonts w:ascii="Times New Roman" w:eastAsia="Times New Roman" w:hAnsi="Times New Roman" w:cs="Times New Roman"/>
                <w:b/>
                <w:bCs/>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Adaptation Strategy</w:t>
            </w:r>
          </w:p>
        </w:tc>
        <w:tc>
          <w:tcPr>
            <w:tcW w:w="2827" w:type="dxa"/>
            <w:noWrap/>
            <w:vAlign w:val="bottom"/>
            <w:hideMark/>
          </w:tcPr>
          <w:p w14:paraId="79AEA238" w14:textId="77777777" w:rsidR="00747409" w:rsidRPr="001E2130" w:rsidRDefault="00747409" w:rsidP="00541F14">
            <w:pPr>
              <w:widowControl/>
              <w:autoSpaceDE/>
              <w:autoSpaceDN/>
              <w:jc w:val="center"/>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b/>
                <w:bCs/>
                <w:color w:val="000000" w:themeColor="text1"/>
                <w:sz w:val="20"/>
                <w:szCs w:val="20"/>
                <w:lang w:val="pt-BR" w:eastAsia="pt-BR"/>
              </w:rPr>
              <w:t>Validation Protocol</w:t>
            </w:r>
          </w:p>
        </w:tc>
      </w:tr>
      <w:tr w:rsidR="00A70916" w:rsidRPr="00A70916" w14:paraId="6D335000" w14:textId="77777777" w:rsidTr="00541F14">
        <w:trPr>
          <w:trHeight w:val="290"/>
          <w:jc w:val="center"/>
        </w:trPr>
        <w:tc>
          <w:tcPr>
            <w:tcW w:w="1573" w:type="dxa"/>
            <w:noWrap/>
            <w:vAlign w:val="center"/>
            <w:hideMark/>
          </w:tcPr>
          <w:p w14:paraId="71B3326B"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Lead time</w:t>
            </w:r>
          </w:p>
        </w:tc>
        <w:tc>
          <w:tcPr>
            <w:tcW w:w="1656" w:type="dxa"/>
            <w:noWrap/>
            <w:vAlign w:val="center"/>
            <w:hideMark/>
          </w:tcPr>
          <w:p w14:paraId="02A22391"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Partial (within-country)</w:t>
            </w:r>
          </w:p>
        </w:tc>
        <w:tc>
          <w:tcPr>
            <w:tcW w:w="3525" w:type="dxa"/>
            <w:noWrap/>
            <w:vAlign w:val="center"/>
            <w:hideMark/>
          </w:tcPr>
          <w:p w14:paraId="213B2C59"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eastAsia="pt-BR"/>
              </w:rPr>
            </w:pPr>
            <w:r w:rsidRPr="001E2130">
              <w:rPr>
                <w:rFonts w:ascii="Times New Roman" w:eastAsia="Times New Roman" w:hAnsi="Times New Roman" w:cs="Times New Roman"/>
                <w:color w:val="000000" w:themeColor="text1"/>
                <w:sz w:val="20"/>
                <w:szCs w:val="20"/>
                <w:lang w:eastAsia="pt-BR"/>
              </w:rPr>
              <w:t>Audit actual procurement timelines per Law 8,666/93</w:t>
            </w:r>
          </w:p>
        </w:tc>
        <w:tc>
          <w:tcPr>
            <w:tcW w:w="2827" w:type="dxa"/>
            <w:noWrap/>
            <w:vAlign w:val="center"/>
            <w:hideMark/>
          </w:tcPr>
          <w:p w14:paraId="76210E6D"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Verify 50+ historical POs</w:t>
            </w:r>
          </w:p>
        </w:tc>
      </w:tr>
      <w:tr w:rsidR="00A70916" w:rsidRPr="00A70916" w14:paraId="2290A7B5" w14:textId="77777777" w:rsidTr="00541F14">
        <w:trPr>
          <w:trHeight w:val="290"/>
          <w:jc w:val="center"/>
        </w:trPr>
        <w:tc>
          <w:tcPr>
            <w:tcW w:w="1573" w:type="dxa"/>
            <w:noWrap/>
            <w:vAlign w:val="center"/>
            <w:hideMark/>
          </w:tcPr>
          <w:p w14:paraId="6490F91F"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Transport cost</w:t>
            </w:r>
          </w:p>
        </w:tc>
        <w:tc>
          <w:tcPr>
            <w:tcW w:w="1656" w:type="dxa"/>
            <w:noWrap/>
            <w:vAlign w:val="center"/>
            <w:hideMark/>
          </w:tcPr>
          <w:p w14:paraId="28B21479"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No (geography-dependent)</w:t>
            </w:r>
          </w:p>
        </w:tc>
        <w:tc>
          <w:tcPr>
            <w:tcW w:w="3525" w:type="dxa"/>
            <w:noWrap/>
            <w:vAlign w:val="center"/>
            <w:hideMark/>
          </w:tcPr>
          <w:p w14:paraId="52C8233F"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eastAsia="pt-BR"/>
              </w:rPr>
            </w:pPr>
            <w:r w:rsidRPr="001E2130">
              <w:rPr>
                <w:rFonts w:ascii="Times New Roman" w:eastAsia="Times New Roman" w:hAnsi="Times New Roman" w:cs="Times New Roman"/>
                <w:color w:val="000000" w:themeColor="text1"/>
                <w:sz w:val="20"/>
                <w:szCs w:val="20"/>
                <w:lang w:eastAsia="pt-BR"/>
              </w:rPr>
              <w:t>Compute via Google Maps routing + local rate surveys</w:t>
            </w:r>
          </w:p>
        </w:tc>
        <w:tc>
          <w:tcPr>
            <w:tcW w:w="2827" w:type="dxa"/>
            <w:noWrap/>
            <w:vAlign w:val="center"/>
            <w:hideMark/>
          </w:tcPr>
          <w:p w14:paraId="62FD180D"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Benchmark against 3+ transport providers</w:t>
            </w:r>
          </w:p>
        </w:tc>
      </w:tr>
      <w:tr w:rsidR="00A70916" w:rsidRPr="00A70916" w14:paraId="4BB90170" w14:textId="77777777" w:rsidTr="00541F14">
        <w:trPr>
          <w:trHeight w:val="290"/>
          <w:jc w:val="center"/>
        </w:trPr>
        <w:tc>
          <w:tcPr>
            <w:tcW w:w="1573" w:type="dxa"/>
            <w:noWrap/>
            <w:vAlign w:val="center"/>
            <w:hideMark/>
          </w:tcPr>
          <w:p w14:paraId="227E7D55"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Unit cost</w:t>
            </w:r>
          </w:p>
        </w:tc>
        <w:tc>
          <w:tcPr>
            <w:tcW w:w="1656" w:type="dxa"/>
            <w:noWrap/>
            <w:vAlign w:val="center"/>
            <w:hideMark/>
          </w:tcPr>
          <w:p w14:paraId="699AF0A8"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No (supplier-specific)</w:t>
            </w:r>
          </w:p>
        </w:tc>
        <w:tc>
          <w:tcPr>
            <w:tcW w:w="3525" w:type="dxa"/>
            <w:noWrap/>
            <w:vAlign w:val="center"/>
            <w:hideMark/>
          </w:tcPr>
          <w:p w14:paraId="780F4182"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eastAsia="pt-BR"/>
              </w:rPr>
            </w:pPr>
            <w:r w:rsidRPr="001E2130">
              <w:rPr>
                <w:rFonts w:ascii="Times New Roman" w:eastAsia="Times New Roman" w:hAnsi="Times New Roman" w:cs="Times New Roman"/>
                <w:color w:val="000000" w:themeColor="text1"/>
                <w:sz w:val="20"/>
                <w:szCs w:val="20"/>
                <w:lang w:eastAsia="pt-BR"/>
              </w:rPr>
              <w:t>Obtain from recent institutional tenders</w:t>
            </w:r>
          </w:p>
        </w:tc>
        <w:tc>
          <w:tcPr>
            <w:tcW w:w="2827" w:type="dxa"/>
            <w:noWrap/>
            <w:vAlign w:val="center"/>
            <w:hideMark/>
          </w:tcPr>
          <w:p w14:paraId="7C510851"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eastAsia="pt-BR"/>
              </w:rPr>
            </w:pPr>
            <w:r w:rsidRPr="001E2130">
              <w:rPr>
                <w:rFonts w:ascii="Times New Roman" w:eastAsia="Times New Roman" w:hAnsi="Times New Roman" w:cs="Times New Roman"/>
                <w:color w:val="000000" w:themeColor="text1"/>
                <w:sz w:val="20"/>
                <w:szCs w:val="20"/>
                <w:lang w:eastAsia="pt-BR"/>
              </w:rPr>
              <w:t>Cross-validate with institutional procurement data</w:t>
            </w:r>
          </w:p>
        </w:tc>
      </w:tr>
      <w:tr w:rsidR="00A70916" w:rsidRPr="00A70916" w14:paraId="34F14126" w14:textId="77777777" w:rsidTr="00541F14">
        <w:trPr>
          <w:trHeight w:val="290"/>
          <w:jc w:val="center"/>
        </w:trPr>
        <w:tc>
          <w:tcPr>
            <w:tcW w:w="1573" w:type="dxa"/>
            <w:noWrap/>
            <w:vAlign w:val="center"/>
            <w:hideMark/>
          </w:tcPr>
          <w:p w14:paraId="137902D4"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Holding rate</w:t>
            </w:r>
          </w:p>
        </w:tc>
        <w:tc>
          <w:tcPr>
            <w:tcW w:w="1656" w:type="dxa"/>
            <w:noWrap/>
            <w:vAlign w:val="center"/>
            <w:hideMark/>
          </w:tcPr>
          <w:p w14:paraId="246E2A07"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Partial (facility-dependent)</w:t>
            </w:r>
          </w:p>
        </w:tc>
        <w:tc>
          <w:tcPr>
            <w:tcW w:w="3525" w:type="dxa"/>
            <w:noWrap/>
            <w:vAlign w:val="center"/>
            <w:hideMark/>
          </w:tcPr>
          <w:p w14:paraId="314F0C0F"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eastAsia="pt-BR"/>
              </w:rPr>
            </w:pPr>
            <w:r w:rsidRPr="001E2130">
              <w:rPr>
                <w:rFonts w:ascii="Times New Roman" w:eastAsia="Times New Roman" w:hAnsi="Times New Roman" w:cs="Times New Roman"/>
                <w:color w:val="000000" w:themeColor="text1"/>
                <w:sz w:val="20"/>
                <w:szCs w:val="20"/>
                <w:lang w:eastAsia="pt-BR"/>
              </w:rPr>
              <w:t>Conduct a facility audit of storage capacity and opportunity costs</w:t>
            </w:r>
          </w:p>
        </w:tc>
        <w:tc>
          <w:tcPr>
            <w:tcW w:w="2827" w:type="dxa"/>
            <w:noWrap/>
            <w:vAlign w:val="center"/>
            <w:hideMark/>
          </w:tcPr>
          <w:p w14:paraId="408E7A29"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Facility-level cost accounting</w:t>
            </w:r>
          </w:p>
        </w:tc>
      </w:tr>
      <w:tr w:rsidR="00A70916" w:rsidRPr="00A70916" w14:paraId="60BF6683" w14:textId="77777777" w:rsidTr="00541F14">
        <w:trPr>
          <w:trHeight w:val="290"/>
          <w:jc w:val="center"/>
        </w:trPr>
        <w:tc>
          <w:tcPr>
            <w:tcW w:w="1573" w:type="dxa"/>
            <w:noWrap/>
            <w:vAlign w:val="center"/>
            <w:hideMark/>
          </w:tcPr>
          <w:p w14:paraId="265D28DF"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Stockout penalty</w:t>
            </w:r>
          </w:p>
        </w:tc>
        <w:tc>
          <w:tcPr>
            <w:tcW w:w="1656" w:type="dxa"/>
            <w:noWrap/>
            <w:vAlign w:val="center"/>
            <w:hideMark/>
          </w:tcPr>
          <w:p w14:paraId="5EF5B339"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No (clinically-determined)</w:t>
            </w:r>
          </w:p>
        </w:tc>
        <w:tc>
          <w:tcPr>
            <w:tcW w:w="3525" w:type="dxa"/>
            <w:noWrap/>
            <w:vAlign w:val="center"/>
            <w:hideMark/>
          </w:tcPr>
          <w:p w14:paraId="12E9851A"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eastAsia="pt-BR"/>
              </w:rPr>
            </w:pPr>
            <w:r w:rsidRPr="001E2130">
              <w:rPr>
                <w:rFonts w:ascii="Times New Roman" w:eastAsia="Times New Roman" w:hAnsi="Times New Roman" w:cs="Times New Roman"/>
                <w:color w:val="000000" w:themeColor="text1"/>
                <w:sz w:val="20"/>
                <w:szCs w:val="20"/>
                <w:lang w:eastAsia="pt-BR"/>
              </w:rPr>
              <w:t>Elicit from clinical and administrative leadership</w:t>
            </w:r>
          </w:p>
        </w:tc>
        <w:tc>
          <w:tcPr>
            <w:tcW w:w="2827" w:type="dxa"/>
            <w:noWrap/>
            <w:vAlign w:val="center"/>
            <w:hideMark/>
          </w:tcPr>
          <w:p w14:paraId="23A3DF6F"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Expert consensus (≥3 clinical directors)</w:t>
            </w:r>
          </w:p>
        </w:tc>
      </w:tr>
      <w:tr w:rsidR="00A70916" w:rsidRPr="00A70916" w14:paraId="1D278AAC" w14:textId="77777777" w:rsidTr="00541F14">
        <w:trPr>
          <w:trHeight w:val="290"/>
          <w:jc w:val="center"/>
        </w:trPr>
        <w:tc>
          <w:tcPr>
            <w:tcW w:w="1573" w:type="dxa"/>
            <w:noWrap/>
            <w:vAlign w:val="center"/>
            <w:hideMark/>
          </w:tcPr>
          <w:p w14:paraId="29CC8A7B"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Service targets</w:t>
            </w:r>
          </w:p>
        </w:tc>
        <w:tc>
          <w:tcPr>
            <w:tcW w:w="1656" w:type="dxa"/>
            <w:noWrap/>
            <w:vAlign w:val="center"/>
            <w:hideMark/>
          </w:tcPr>
          <w:p w14:paraId="26E950D3"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No (protocol-specific)</w:t>
            </w:r>
          </w:p>
        </w:tc>
        <w:tc>
          <w:tcPr>
            <w:tcW w:w="3525" w:type="dxa"/>
            <w:noWrap/>
            <w:vAlign w:val="center"/>
            <w:hideMark/>
          </w:tcPr>
          <w:p w14:paraId="5FCE74B5"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eastAsia="pt-BR"/>
              </w:rPr>
            </w:pPr>
            <w:r w:rsidRPr="001E2130">
              <w:rPr>
                <w:rFonts w:ascii="Times New Roman" w:eastAsia="Times New Roman" w:hAnsi="Times New Roman" w:cs="Times New Roman"/>
                <w:color w:val="000000" w:themeColor="text1"/>
                <w:sz w:val="20"/>
                <w:szCs w:val="20"/>
                <w:lang w:eastAsia="pt-BR"/>
              </w:rPr>
              <w:t>Align with institutional clinical protocols</w:t>
            </w:r>
          </w:p>
        </w:tc>
        <w:tc>
          <w:tcPr>
            <w:tcW w:w="2827" w:type="dxa"/>
            <w:noWrap/>
            <w:vAlign w:val="center"/>
            <w:hideMark/>
          </w:tcPr>
          <w:p w14:paraId="0E603D97" w14:textId="77777777" w:rsidR="00747409" w:rsidRPr="001E2130" w:rsidRDefault="00747409" w:rsidP="00932583">
            <w:pPr>
              <w:widowControl/>
              <w:autoSpaceDE/>
              <w:autoSpaceDN/>
              <w:rPr>
                <w:rFonts w:ascii="Times New Roman" w:eastAsia="Times New Roman" w:hAnsi="Times New Roman" w:cs="Times New Roman"/>
                <w:color w:val="000000" w:themeColor="text1"/>
                <w:sz w:val="20"/>
                <w:szCs w:val="20"/>
                <w:lang w:val="pt-BR" w:eastAsia="pt-BR"/>
              </w:rPr>
            </w:pPr>
            <w:r w:rsidRPr="001E2130">
              <w:rPr>
                <w:rFonts w:ascii="Times New Roman" w:eastAsia="Times New Roman" w:hAnsi="Times New Roman" w:cs="Times New Roman"/>
                <w:color w:val="000000" w:themeColor="text1"/>
                <w:sz w:val="20"/>
                <w:szCs w:val="20"/>
                <w:lang w:val="pt-BR" w:eastAsia="pt-BR"/>
              </w:rPr>
              <w:t>Review institutional documentation</w:t>
            </w:r>
          </w:p>
        </w:tc>
      </w:tr>
    </w:tbl>
    <w:p w14:paraId="10FFA089" w14:textId="77777777" w:rsidR="00747409" w:rsidRPr="00A70916" w:rsidRDefault="00747409" w:rsidP="00747409">
      <w:pPr>
        <w:pStyle w:val="text-base"/>
        <w:jc w:val="both"/>
        <w:rPr>
          <w:color w:val="000000" w:themeColor="text1"/>
          <w:lang w:val="en-US"/>
        </w:rPr>
      </w:pPr>
      <w:r w:rsidRPr="00653ACC">
        <w:rPr>
          <w:lang w:val="en-US"/>
        </w:rPr>
        <w:t xml:space="preserve">Three parameters are partially or context-invariant and transferable, while three </w:t>
      </w:r>
      <w:r w:rsidR="008E66BF">
        <w:rPr>
          <w:lang w:val="en-US"/>
        </w:rPr>
        <w:t>indicate</w:t>
      </w:r>
      <w:r w:rsidRPr="00653ACC">
        <w:rPr>
          <w:lang w:val="en-US"/>
        </w:rPr>
        <w:t xml:space="preserve"> systematic adjustments based on local context. The most transferable, however, is lead time. There are regulations (Law 8,666/93, mandatory bidding days, and emergency procurement exceptions) that apply across the entire Brazilian public health space, which would not be unreasonable to suggest similar procurement windows in a different SUS environment. In contrast, transport costs are assessed regionally, as parameters such as distance, gas prices, and accessibility are too diverse to be summarized in a single figure. Unit costs, stockout costs, and service level </w:t>
      </w:r>
      <w:r w:rsidR="00D508F7">
        <w:rPr>
          <w:lang w:val="en-US"/>
        </w:rPr>
        <w:t>requirement</w:t>
      </w:r>
      <w:r w:rsidRPr="00653ACC">
        <w:rPr>
          <w:lang w:val="en-US"/>
        </w:rPr>
        <w:t xml:space="preserve">s are institutionally comparable by definition: unit costs result from suppliers competing within their own operating regions; stockout costs result from clinical needs assessed through institutional demand; service level </w:t>
      </w:r>
      <w:r w:rsidR="00D508F7">
        <w:rPr>
          <w:lang w:val="en-US"/>
        </w:rPr>
        <w:t>requirement</w:t>
      </w:r>
      <w:r w:rsidRPr="00653ACC">
        <w:rPr>
          <w:lang w:val="en-US"/>
        </w:rPr>
        <w:t>s result from contractual obligations assessed through administrative nuances, but remain comparable throughout the health system without question.</w:t>
      </w:r>
    </w:p>
    <w:p w14:paraId="39BE5627" w14:textId="77777777" w:rsidR="00747409" w:rsidRPr="00A70916" w:rsidRDefault="00747409" w:rsidP="00747409">
      <w:pPr>
        <w:pStyle w:val="text-base"/>
        <w:jc w:val="both"/>
        <w:rPr>
          <w:color w:val="000000" w:themeColor="text1"/>
          <w:lang w:val="en-US"/>
        </w:rPr>
      </w:pPr>
      <w:r w:rsidRPr="00653ACC">
        <w:rPr>
          <w:lang w:val="en-US"/>
        </w:rPr>
        <w:t xml:space="preserve">Thus, organizations using this model would assess applicability for two-phased implementation: (1) Transfer of methodology: a hybrid design with architecture and Monte Carlo simulation and multi-baseline assessment framework can be transferrable contextually applied for a transferable approach, and (2) Transfer of parameters: Table B8.1 delineates what is transferable and what </w:t>
      </w:r>
      <w:r w:rsidR="008E66BF">
        <w:rPr>
          <w:lang w:val="en-US"/>
        </w:rPr>
        <w:t>impels</w:t>
      </w:r>
      <w:r w:rsidRPr="00653ACC">
        <w:rPr>
          <w:lang w:val="en-US"/>
        </w:rPr>
        <w:t xml:space="preserve"> assessment before recommendations for local, institutionally comparable assessments. Thus, applying the SUS study's findings directly to one's own organization through cost assessors will introduce systematic bias, particularly in transport- and capacity-constrained organizations that have many fewer SUS-aligned components than the cost configuration in the SUS study.</w:t>
      </w:r>
    </w:p>
    <w:p w14:paraId="55FBDA5A" w14:textId="77777777" w:rsidR="00747409" w:rsidRPr="00A70916" w:rsidRDefault="00747409" w:rsidP="00AB3735">
      <w:pPr>
        <w:pStyle w:val="Ttulo3"/>
        <w:rPr>
          <w:lang w:eastAsia="pt-BR"/>
        </w:rPr>
      </w:pPr>
      <w:r w:rsidRPr="00A70916">
        <w:rPr>
          <w:lang w:eastAsia="pt-BR"/>
        </w:rPr>
        <w:t>B.9 Framework for Healthcare Context Adaptation: Preliminary Guidance</w:t>
      </w:r>
    </w:p>
    <w:p w14:paraId="39F493C6" w14:textId="77777777" w:rsidR="00747409" w:rsidRPr="00A70916" w:rsidRDefault="00747409" w:rsidP="00747409">
      <w:pPr>
        <w:pStyle w:val="text-base"/>
        <w:jc w:val="both"/>
        <w:rPr>
          <w:color w:val="000000" w:themeColor="text1"/>
          <w:lang w:val="en-US"/>
        </w:rPr>
      </w:pPr>
      <w:r w:rsidRPr="00F34B55">
        <w:rPr>
          <w:lang w:val="en-US"/>
        </w:rPr>
        <w:t xml:space="preserve">The transferability of this model to other systems can be generalized out of Brazil through re-parameterization across six main dimensions: 1. Acquisitions regulations and demand lead time distributions; 2. Governance (centralized vs decentralized); 3. equity population requirements and </w:t>
      </w:r>
      <w:r w:rsidRPr="00F34B55">
        <w:rPr>
          <w:lang w:val="en-US"/>
        </w:rPr>
        <w:lastRenderedPageBreak/>
        <w:t>coverage, 4. cost acquisition distributions and value of the pharmaceutical market, 5. demand intensities, distributions, and 6. institutional ability for survey data gathering and AI implementation. Other institutions would need approximately 6 to 12 months of dimensional analysis to prepare for full implementation. Countries/regional systems that share regional governance complexities and equity distributions similar to, but not identical to, Brazil's include India's district hospital chains, South Africa's provinces, and the United Kingdom's National Health Service. However, the findings from implementation should be assessed within each system before drawing any conclusions.</w:t>
      </w:r>
    </w:p>
    <w:p w14:paraId="76D5EE0A" w14:textId="77777777" w:rsidR="006259C9" w:rsidRPr="00A70916" w:rsidRDefault="006259C9" w:rsidP="006259C9">
      <w:pPr>
        <w:pStyle w:val="text-base"/>
        <w:jc w:val="both"/>
        <w:rPr>
          <w:color w:val="000000" w:themeColor="text1"/>
          <w:lang w:val="en-US"/>
        </w:rPr>
      </w:pPr>
      <w:r w:rsidRPr="00653ACC">
        <w:rPr>
          <w:lang w:val="en-US"/>
        </w:rPr>
        <w:t xml:space="preserve">To operationalize the findings for facility managers, we categorize transferability factors into operational and situational classifications. The criteria assess data volume (minimum of 50 records per SKU with&gt; 12 months), institutional </w:t>
      </w:r>
      <w:r w:rsidR="00D508F7">
        <w:rPr>
          <w:lang w:val="en-US"/>
        </w:rPr>
        <w:t>requirement</w:t>
      </w:r>
      <w:r w:rsidRPr="00653ACC">
        <w:rPr>
          <w:lang w:val="en-US"/>
        </w:rPr>
        <w:t>s, and adjustment protocols.</w:t>
      </w:r>
    </w:p>
    <w:p w14:paraId="0819F10B" w14:textId="77777777" w:rsidR="006259C9" w:rsidRPr="00A70916" w:rsidRDefault="006259C9" w:rsidP="001E2130">
      <w:pPr>
        <w:pStyle w:val="ng-star-inserted"/>
        <w:spacing w:after="120" w:afterAutospacing="0"/>
        <w:ind w:left="216" w:right="14"/>
        <w:jc w:val="center"/>
        <w:rPr>
          <w:rStyle w:val="ng-star-inserted1"/>
          <w:rFonts w:eastAsiaTheme="majorEastAsia"/>
          <w:b/>
          <w:bCs/>
          <w:color w:val="000000" w:themeColor="text1"/>
          <w:sz w:val="22"/>
          <w:szCs w:val="22"/>
          <w:lang w:val="en-US"/>
        </w:rPr>
      </w:pPr>
      <w:r w:rsidRPr="00A70916">
        <w:rPr>
          <w:rStyle w:val="ng-star-inserted1"/>
          <w:rFonts w:eastAsiaTheme="majorEastAsia"/>
          <w:b/>
          <w:bCs/>
          <w:color w:val="000000" w:themeColor="text1"/>
          <w:sz w:val="22"/>
          <w:szCs w:val="22"/>
          <w:lang w:val="en-US"/>
        </w:rPr>
        <w:t>Table B9.1: Framework for Assessing AI Transferability Across Healthcare Contexts</w:t>
      </w:r>
    </w:p>
    <w:tbl>
      <w:tblPr>
        <w:tblStyle w:val="Tabelacomgrade"/>
        <w:tblW w:w="9497" w:type="dxa"/>
        <w:tblInd w:w="137" w:type="dxa"/>
        <w:tblLook w:val="04A0" w:firstRow="1" w:lastRow="0" w:firstColumn="1" w:lastColumn="0" w:noHBand="0" w:noVBand="1"/>
      </w:tblPr>
      <w:tblGrid>
        <w:gridCol w:w="1559"/>
        <w:gridCol w:w="7938"/>
      </w:tblGrid>
      <w:tr w:rsidR="00A70916" w:rsidRPr="00A70916" w14:paraId="095295B2" w14:textId="77777777" w:rsidTr="00DA2064">
        <w:trPr>
          <w:trHeight w:val="395"/>
        </w:trPr>
        <w:tc>
          <w:tcPr>
            <w:tcW w:w="1559" w:type="dxa"/>
            <w:vAlign w:val="center"/>
          </w:tcPr>
          <w:p w14:paraId="6640ECC4" w14:textId="77777777" w:rsidR="006259C9" w:rsidRPr="00A70916" w:rsidRDefault="006259C9" w:rsidP="00DA2064">
            <w:pPr>
              <w:pStyle w:val="ng-star-inserted"/>
              <w:spacing w:before="0" w:beforeAutospacing="0" w:after="0" w:afterAutospacing="0"/>
              <w:ind w:right="15"/>
              <w:jc w:val="both"/>
              <w:rPr>
                <w:rStyle w:val="ng-star-inserted1"/>
                <w:rFonts w:eastAsiaTheme="majorEastAsia"/>
                <w:b/>
                <w:bCs/>
                <w:color w:val="000000" w:themeColor="text1"/>
                <w:sz w:val="20"/>
                <w:szCs w:val="20"/>
                <w:lang w:val="en-US"/>
              </w:rPr>
            </w:pPr>
            <w:r w:rsidRPr="00A70916">
              <w:rPr>
                <w:b/>
                <w:bCs/>
                <w:color w:val="000000" w:themeColor="text1"/>
                <w:sz w:val="20"/>
                <w:szCs w:val="20"/>
                <w:lang w:val="en-US"/>
              </w:rPr>
              <w:t>Category</w:t>
            </w:r>
          </w:p>
        </w:tc>
        <w:tc>
          <w:tcPr>
            <w:tcW w:w="7938" w:type="dxa"/>
            <w:vAlign w:val="center"/>
          </w:tcPr>
          <w:p w14:paraId="63C7F6C3" w14:textId="77777777" w:rsidR="006259C9" w:rsidRPr="00A70916" w:rsidRDefault="006259C9" w:rsidP="00DA2064">
            <w:pPr>
              <w:pStyle w:val="ng-star-inserted"/>
              <w:spacing w:before="0" w:beforeAutospacing="0" w:after="0" w:afterAutospacing="0"/>
              <w:ind w:right="15"/>
              <w:jc w:val="both"/>
              <w:rPr>
                <w:rStyle w:val="ng-star-inserted1"/>
                <w:rFonts w:eastAsiaTheme="majorEastAsia"/>
                <w:b/>
                <w:bCs/>
                <w:color w:val="000000" w:themeColor="text1"/>
                <w:sz w:val="20"/>
                <w:szCs w:val="20"/>
                <w:lang w:val="en-US"/>
              </w:rPr>
            </w:pPr>
            <w:r w:rsidRPr="00A70916">
              <w:rPr>
                <w:b/>
                <w:bCs/>
                <w:color w:val="000000" w:themeColor="text1"/>
                <w:sz w:val="20"/>
                <w:szCs w:val="20"/>
                <w:lang w:val="en-US"/>
              </w:rPr>
              <w:t>Elements</w:t>
            </w:r>
          </w:p>
        </w:tc>
      </w:tr>
      <w:tr w:rsidR="00A70916" w:rsidRPr="00A70916" w14:paraId="44DE358A" w14:textId="77777777" w:rsidTr="00DA2064">
        <w:trPr>
          <w:trHeight w:val="1727"/>
        </w:trPr>
        <w:tc>
          <w:tcPr>
            <w:tcW w:w="1559" w:type="dxa"/>
            <w:vAlign w:val="center"/>
          </w:tcPr>
          <w:p w14:paraId="404594FF" w14:textId="77777777" w:rsidR="006259C9" w:rsidRPr="00A70916" w:rsidRDefault="006259C9" w:rsidP="00DA2064">
            <w:pPr>
              <w:pStyle w:val="ng-star-inserted"/>
              <w:spacing w:before="0" w:beforeAutospacing="0" w:after="0" w:afterAutospacing="0"/>
              <w:ind w:right="15"/>
              <w:jc w:val="both"/>
              <w:rPr>
                <w:color w:val="000000" w:themeColor="text1"/>
                <w:sz w:val="20"/>
                <w:szCs w:val="20"/>
                <w:lang w:val="en-US"/>
              </w:rPr>
            </w:pPr>
            <w:r w:rsidRPr="00A70916">
              <w:rPr>
                <w:color w:val="000000" w:themeColor="text1"/>
                <w:sz w:val="20"/>
                <w:szCs w:val="20"/>
                <w:lang w:val="en-US"/>
              </w:rPr>
              <w:t>Likely transferable</w:t>
            </w:r>
          </w:p>
        </w:tc>
        <w:tc>
          <w:tcPr>
            <w:tcW w:w="7938" w:type="dxa"/>
            <w:vAlign w:val="center"/>
          </w:tcPr>
          <w:p w14:paraId="4871D17A"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Multi-baseline evaluation methodology (static, dynamic, base-stock comparisons).</w:t>
            </w:r>
          </w:p>
          <w:p w14:paraId="517E232A"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Stress-testing protocol (volatility, disruption, surge scenarios).</w:t>
            </w:r>
          </w:p>
          <w:p w14:paraId="6F17E709"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Volatility threshold logic (empirical guidance: CV &gt; 0.4 indicates potential AI economic viability).</w:t>
            </w:r>
          </w:p>
          <w:p w14:paraId="030729E0"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Decision-criteria framework expressed in operational thresholds rather than cost-based assumptions.</w:t>
            </w:r>
          </w:p>
        </w:tc>
      </w:tr>
      <w:tr w:rsidR="00A70916" w:rsidRPr="00A70916" w14:paraId="51555CA7" w14:textId="77777777" w:rsidTr="00DA2064">
        <w:trPr>
          <w:trHeight w:val="1331"/>
        </w:trPr>
        <w:tc>
          <w:tcPr>
            <w:tcW w:w="1559" w:type="dxa"/>
            <w:vAlign w:val="center"/>
          </w:tcPr>
          <w:p w14:paraId="1BB8CDB2" w14:textId="77777777" w:rsidR="006259C9" w:rsidRPr="00A70916" w:rsidRDefault="006259C9" w:rsidP="00DA2064">
            <w:pPr>
              <w:pStyle w:val="ng-star-inserted"/>
              <w:spacing w:before="0" w:beforeAutospacing="0" w:after="0" w:afterAutospacing="0"/>
              <w:ind w:right="15"/>
              <w:jc w:val="both"/>
              <w:rPr>
                <w:color w:val="000000" w:themeColor="text1"/>
                <w:sz w:val="20"/>
                <w:szCs w:val="20"/>
                <w:lang w:val="en-US"/>
              </w:rPr>
            </w:pPr>
            <w:r w:rsidRPr="00A70916">
              <w:rPr>
                <w:color w:val="000000" w:themeColor="text1"/>
                <w:sz w:val="20"/>
                <w:szCs w:val="20"/>
                <w:lang w:val="en-US"/>
              </w:rPr>
              <w:t>Context-specific elements that need adaptation</w:t>
            </w:r>
          </w:p>
        </w:tc>
        <w:tc>
          <w:tcPr>
            <w:tcW w:w="7938" w:type="dxa"/>
            <w:vAlign w:val="center"/>
          </w:tcPr>
          <w:p w14:paraId="1BB7F8FD"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Absolute cost estimates and unit-cost parameters (require local cost accounting).</w:t>
            </w:r>
          </w:p>
          <w:p w14:paraId="7BD7B4C8"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Lead-time distributions tied to Brazilian procurement regulations.</w:t>
            </w:r>
          </w:p>
          <w:p w14:paraId="1D3F69AC"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Reward-function weights tied to SUS equity objectives.</w:t>
            </w:r>
          </w:p>
          <w:p w14:paraId="24C5BFA1"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Service-level targets calibrated to local clinical priorities and constitutional healthcare access mandates.</w:t>
            </w:r>
          </w:p>
        </w:tc>
      </w:tr>
      <w:tr w:rsidR="00A70916" w:rsidRPr="00A70916" w14:paraId="11E6A410" w14:textId="77777777" w:rsidTr="00DA2064">
        <w:trPr>
          <w:trHeight w:val="1439"/>
        </w:trPr>
        <w:tc>
          <w:tcPr>
            <w:tcW w:w="1559" w:type="dxa"/>
            <w:vAlign w:val="center"/>
          </w:tcPr>
          <w:p w14:paraId="52D0525A" w14:textId="77777777" w:rsidR="006259C9" w:rsidRPr="00A70916" w:rsidRDefault="006259C9" w:rsidP="00DA2064">
            <w:pPr>
              <w:pStyle w:val="ng-star-inserted"/>
              <w:spacing w:before="0" w:beforeAutospacing="0" w:after="0" w:afterAutospacing="0"/>
              <w:ind w:right="15"/>
              <w:jc w:val="both"/>
              <w:rPr>
                <w:color w:val="000000" w:themeColor="text1"/>
                <w:sz w:val="20"/>
                <w:szCs w:val="20"/>
                <w:lang w:val="en-US"/>
              </w:rPr>
            </w:pPr>
            <w:r w:rsidRPr="00A70916">
              <w:rPr>
                <w:color w:val="000000" w:themeColor="text1"/>
                <w:sz w:val="20"/>
                <w:szCs w:val="20"/>
                <w:lang w:val="en-US"/>
              </w:rPr>
              <w:t>Institutional prerequisites</w:t>
            </w:r>
          </w:p>
        </w:tc>
        <w:tc>
          <w:tcPr>
            <w:tcW w:w="7938" w:type="dxa"/>
            <w:vAlign w:val="center"/>
          </w:tcPr>
          <w:p w14:paraId="1CF41ED0"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Minimum 24 months of historical demand data with ≥ 50 records per SKU for reliable ML training.</w:t>
            </w:r>
          </w:p>
          <w:p w14:paraId="5C4EDC6A"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Local validation of cost accounting (holding, ordering, stockout penalties).</w:t>
            </w:r>
          </w:p>
          <w:p w14:paraId="586AB9F4"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 xml:space="preserve">An optimization model (e.g., emergency procurement rules) integrates legal and procurement constraints. </w:t>
            </w:r>
          </w:p>
          <w:p w14:paraId="116CB19E" w14:textId="77777777" w:rsidR="006259C9" w:rsidRPr="00A70916" w:rsidRDefault="006259C9" w:rsidP="00DA2064">
            <w:pPr>
              <w:pStyle w:val="ng-star-inserted"/>
              <w:numPr>
                <w:ilvl w:val="0"/>
                <w:numId w:val="8"/>
              </w:numPr>
              <w:spacing w:before="0" w:beforeAutospacing="0" w:after="0" w:afterAutospacing="0"/>
              <w:ind w:left="316" w:right="15"/>
              <w:jc w:val="both"/>
              <w:rPr>
                <w:color w:val="000000" w:themeColor="text1"/>
                <w:sz w:val="20"/>
                <w:szCs w:val="20"/>
                <w:lang w:val="en-US"/>
              </w:rPr>
            </w:pPr>
            <w:r w:rsidRPr="00A70916">
              <w:rPr>
                <w:color w:val="000000" w:themeColor="text1"/>
                <w:sz w:val="20"/>
                <w:szCs w:val="20"/>
                <w:lang w:val="en-US"/>
              </w:rPr>
              <w:t>Facility-specific capacity constraints.</w:t>
            </w:r>
          </w:p>
        </w:tc>
      </w:tr>
      <w:tr w:rsidR="00A70916" w:rsidRPr="00A70916" w14:paraId="5E694212" w14:textId="77777777" w:rsidTr="00DA2064">
        <w:trPr>
          <w:trHeight w:val="58"/>
        </w:trPr>
        <w:tc>
          <w:tcPr>
            <w:tcW w:w="9497" w:type="dxa"/>
            <w:gridSpan w:val="2"/>
            <w:vAlign w:val="center"/>
          </w:tcPr>
          <w:p w14:paraId="5830ACFD" w14:textId="77777777" w:rsidR="006259C9" w:rsidRPr="001E2130" w:rsidRDefault="006259C9" w:rsidP="00DA2064">
            <w:pPr>
              <w:pStyle w:val="ng-star-inserted"/>
              <w:spacing w:before="120" w:beforeAutospacing="0" w:after="120" w:afterAutospacing="0"/>
              <w:ind w:right="14"/>
              <w:jc w:val="both"/>
              <w:rPr>
                <w:color w:val="000000" w:themeColor="text1"/>
                <w:sz w:val="16"/>
                <w:szCs w:val="16"/>
                <w:lang w:val="en-US"/>
              </w:rPr>
            </w:pPr>
            <w:r w:rsidRPr="001E2130">
              <w:rPr>
                <w:color w:val="000000" w:themeColor="text1"/>
                <w:sz w:val="16"/>
                <w:szCs w:val="16"/>
                <w:lang w:val="en-US"/>
              </w:rPr>
              <w:t xml:space="preserve">Source: Authors’ elaboration based on the contextual transferability framework. </w:t>
            </w:r>
          </w:p>
        </w:tc>
      </w:tr>
      <w:tr w:rsidR="00A70916" w:rsidRPr="00A70916" w14:paraId="554F2D3C" w14:textId="77777777" w:rsidTr="00DA2064">
        <w:trPr>
          <w:trHeight w:val="58"/>
        </w:trPr>
        <w:tc>
          <w:tcPr>
            <w:tcW w:w="9497" w:type="dxa"/>
            <w:gridSpan w:val="2"/>
            <w:vAlign w:val="center"/>
          </w:tcPr>
          <w:p w14:paraId="0718966B" w14:textId="77777777" w:rsidR="006259C9" w:rsidRPr="001E2130" w:rsidRDefault="006259C9" w:rsidP="001E2130">
            <w:pPr>
              <w:pStyle w:val="ng-star-inserted"/>
              <w:spacing w:before="60" w:beforeAutospacing="0" w:after="60" w:afterAutospacing="0"/>
              <w:ind w:right="14"/>
              <w:jc w:val="both"/>
              <w:rPr>
                <w:color w:val="000000" w:themeColor="text1"/>
                <w:sz w:val="16"/>
                <w:szCs w:val="16"/>
                <w:lang w:val="en-US"/>
              </w:rPr>
            </w:pPr>
            <w:r w:rsidRPr="001E2130">
              <w:rPr>
                <w:color w:val="000000" w:themeColor="text1"/>
                <w:spacing w:val="-2"/>
                <w:sz w:val="16"/>
                <w:szCs w:val="16"/>
                <w:lang w:val="en-US"/>
              </w:rPr>
              <w:t>N.B. The final checklist, along with running templates, can be found in Appendix E. When issues of generalizability exist, an N of one (one site, one occurrence) for this Brazilian site is not generalizable, however, it would be if a multi-site study was done at other comparable healthcare facilities with similar amounts of governance and comparable limitations on procurement (see Appendix C.4). Relative to research design (multi-baseline design, stress-test) findings are easily generalizable; findings with limitations are best used through site-specific use for it to work.</w:t>
            </w:r>
          </w:p>
        </w:tc>
      </w:tr>
    </w:tbl>
    <w:p w14:paraId="598730A2" w14:textId="77777777" w:rsidR="00AB3735" w:rsidRDefault="00AB3735" w:rsidP="00AB3735"/>
    <w:p w14:paraId="3261AEE3" w14:textId="77777777" w:rsidR="00747409" w:rsidRPr="00A70916" w:rsidRDefault="00747409" w:rsidP="00B40008">
      <w:pPr>
        <w:pStyle w:val="Ttulo2"/>
      </w:pPr>
      <w:r>
        <w:t>Appendix C: Sensitivity Checks and Validation Notes</w:t>
      </w:r>
    </w:p>
    <w:p w14:paraId="687F13DA" w14:textId="77777777" w:rsidR="00747409" w:rsidRPr="00A70916" w:rsidRDefault="00747409" w:rsidP="00565791">
      <w:pPr>
        <w:pStyle w:val="text-base"/>
        <w:jc w:val="both"/>
        <w:rPr>
          <w:color w:val="000000" w:themeColor="text1"/>
          <w:lang w:val="en-US"/>
        </w:rPr>
      </w:pPr>
      <w:r w:rsidRPr="00A25014">
        <w:rPr>
          <w:lang w:val="en-US"/>
        </w:rPr>
        <w:t>Computational experiments were conducted on cloud-based Google Colab Pro+ instances equipped with NVIDIA Tesla T4 GPUs (16 GB VRAM), 25.5 GB of RAM, and Xeon processors (base frequency: 2.3 GHz). Larger-scale Monte Carlo simulations were conducted on Amazon EC2 c5.4xlarge instances (16 vCPUs, 32 GB RAM) when levels exceeded Colab capabilities.</w:t>
      </w:r>
    </w:p>
    <w:p w14:paraId="6E2986C8" w14:textId="77777777" w:rsidR="00747409" w:rsidRPr="00A70916" w:rsidRDefault="00747409" w:rsidP="00565791">
      <w:pPr>
        <w:pStyle w:val="text-base"/>
        <w:jc w:val="both"/>
        <w:rPr>
          <w:color w:val="000000" w:themeColor="text1"/>
          <w:lang w:val="en-US"/>
        </w:rPr>
      </w:pPr>
      <w:r w:rsidRPr="00A70916">
        <w:rPr>
          <w:color w:val="000000" w:themeColor="text1"/>
          <w:lang w:val="en-US"/>
        </w:rPr>
        <w:t>The framework was implemented on Python 3.9.16 with TensorFlow 2.12.0 (LSTM networks), scikit-learn 1.2.2 (RF regression and cross-validation), scikit-optimize 0.9.0 (Bayesian optimization), NumPy 1.24.3 (numerical operations), Pandas 2.0.1 (data storage/manipulation), SciPy 1.10.1 (statistical functions), and DEAP 1.3.3 (genetic algorithms).</w:t>
      </w:r>
    </w:p>
    <w:p w14:paraId="4A2498C6" w14:textId="77777777" w:rsidR="00747409" w:rsidRPr="00A70916" w:rsidRDefault="00747409" w:rsidP="00565791">
      <w:pPr>
        <w:pStyle w:val="Ttulo3"/>
        <w:jc w:val="both"/>
        <w:rPr>
          <w:color w:val="000000" w:themeColor="text1"/>
        </w:rPr>
      </w:pPr>
      <w:r>
        <w:lastRenderedPageBreak/>
        <w:t>C.1 Dynamic Policy: Parameter Tuning and Sensitivity Analysis</w:t>
      </w:r>
    </w:p>
    <w:p w14:paraId="7905AFFB" w14:textId="77777777" w:rsidR="00747409" w:rsidRDefault="00747409" w:rsidP="00565791">
      <w:pPr>
        <w:pStyle w:val="text-base"/>
        <w:jc w:val="both"/>
        <w:rPr>
          <w:color w:val="000000" w:themeColor="text1"/>
          <w:lang w:val="en-US"/>
        </w:rPr>
      </w:pPr>
      <w:r w:rsidRPr="00541F14">
        <w:rPr>
          <w:b/>
          <w:bCs/>
          <w:lang w:val="en-US"/>
        </w:rPr>
        <w:t>Objective</w:t>
      </w:r>
      <w:r w:rsidRPr="00A25014">
        <w:rPr>
          <w:lang w:val="en-US"/>
        </w:rPr>
        <w:t>: Document the hyperparameter tuning protocol for the Dynamic baseline and validate stability to parameter variation.</w:t>
      </w:r>
    </w:p>
    <w:p w14:paraId="6A3D1808" w14:textId="77777777" w:rsidR="00C533C6" w:rsidRPr="00A25014" w:rsidRDefault="00C533C6" w:rsidP="00541F14">
      <w:pPr>
        <w:pStyle w:val="text-base"/>
        <w:jc w:val="both"/>
        <w:rPr>
          <w:lang w:val="en-US"/>
        </w:rPr>
      </w:pPr>
      <w:r w:rsidRPr="00541F14">
        <w:rPr>
          <w:b/>
          <w:bCs/>
          <w:lang w:val="en-US"/>
        </w:rPr>
        <w:t>Tuning Protocol</w:t>
      </w:r>
      <w:r w:rsidRPr="00653ACC">
        <w:rPr>
          <w:lang w:val="en-US"/>
        </w:rPr>
        <w:t xml:space="preserve">: We conducted a grid search over </w:t>
      </w:r>
      <w:r>
        <w:t>α</w:t>
      </w:r>
      <w:r w:rsidRPr="00653ACC">
        <w:rPr>
          <w:lang w:val="en-US"/>
        </w:rPr>
        <w:t xml:space="preserve"> ∈ {0.1, 0.2, 0.3, 0.4, 0.5} using a temporal hold-out validation split (20% of the 1,000 empirical demand records; 200 records) to prevent leakage. For each candidate </w:t>
      </w:r>
      <w:r>
        <w:t>α</w:t>
      </w:r>
      <w:r w:rsidRPr="00653ACC">
        <w:rPr>
          <w:lang w:val="en-US"/>
        </w:rPr>
        <w:t xml:space="preserve">, we computed one-step-ahead forecast errors and selected the </w:t>
      </w:r>
      <w:r>
        <w:t>α</w:t>
      </w:r>
      <w:r w:rsidRPr="00653ACC">
        <w:rPr>
          <w:lang w:val="en-US"/>
        </w:rPr>
        <w:t xml:space="preserve"> that minimized validation-set MAPE. The optimal smoothing parameter was </w:t>
      </w:r>
      <w:r>
        <w:t>α</w:t>
      </w:r>
      <w:r w:rsidRPr="00653ACC">
        <w:rPr>
          <w:lang w:val="en-US"/>
        </w:rPr>
        <w:t xml:space="preserve"> = 0.3 (MAPE = 18.4%), which we then fixed across all 100 Monte Carlo replications per scenario to ensure reproducibility.</w:t>
      </w:r>
    </w:p>
    <w:p w14:paraId="44CFE1D1" w14:textId="77777777" w:rsidR="00B7260B" w:rsidRPr="00B7260B" w:rsidRDefault="00B7260B" w:rsidP="00B7260B">
      <w:pPr>
        <w:pStyle w:val="text-base"/>
        <w:jc w:val="both"/>
        <w:rPr>
          <w:color w:val="000000" w:themeColor="text1"/>
          <w:lang w:val="en-US"/>
        </w:rPr>
      </w:pPr>
      <w:r w:rsidRPr="00541F14">
        <w:rPr>
          <w:b/>
          <w:bCs/>
          <w:lang w:val="en-US"/>
        </w:rPr>
        <w:t>Sensitivity Analysis</w:t>
      </w:r>
      <w:r w:rsidRPr="00A25014">
        <w:rPr>
          <w:lang w:val="en-US"/>
        </w:rPr>
        <w:t xml:space="preserve">: We recomputed policy rankings under </w:t>
      </w:r>
      <w:r>
        <w:t>α</w:t>
      </w:r>
      <w:r w:rsidRPr="00A25014">
        <w:rPr>
          <w:lang w:val="en-US"/>
        </w:rPr>
        <w:t xml:space="preserve"> ∈ {0.2, 0.3, 0.4} and report Kendall </w:t>
      </w:r>
      <w:r>
        <w:t>τ</w:t>
      </w:r>
      <w:r w:rsidRPr="00A25014">
        <w:rPr>
          <w:lang w:val="en-US"/>
        </w:rPr>
        <w:t xml:space="preserve"> rank correlations and mean-cost deltas relative to </w:t>
      </w:r>
      <w:r>
        <w:t>α</w:t>
      </w:r>
      <w:r w:rsidRPr="00A25014">
        <w:rPr>
          <w:lang w:val="en-US"/>
        </w:rPr>
        <w:t xml:space="preserve"> = 0.3.</w:t>
      </w:r>
    </w:p>
    <w:p w14:paraId="7616F2E1" w14:textId="77777777" w:rsidR="00871499" w:rsidRPr="00871499" w:rsidRDefault="00871499" w:rsidP="00871499">
      <w:pPr>
        <w:pStyle w:val="Ttulo3"/>
        <w:rPr>
          <w:lang w:eastAsia="pt-BR"/>
        </w:rPr>
      </w:pPr>
      <w:r w:rsidRPr="00871499">
        <w:rPr>
          <w:lang w:eastAsia="pt-BR"/>
        </w:rPr>
        <w:t>C.2 Base</w:t>
      </w:r>
      <w:r>
        <w:rPr>
          <w:lang w:eastAsia="pt-BR"/>
        </w:rPr>
        <w:t xml:space="preserve"> </w:t>
      </w:r>
      <w:r w:rsidRPr="00871499">
        <w:rPr>
          <w:lang w:eastAsia="pt-BR"/>
        </w:rPr>
        <w:t>Stock</w:t>
      </w:r>
      <w:r>
        <w:rPr>
          <w:lang w:eastAsia="pt-BR"/>
        </w:rPr>
        <w:t xml:space="preserve"> </w:t>
      </w:r>
      <w:r w:rsidRPr="00871499">
        <w:rPr>
          <w:lang w:eastAsia="pt-BR"/>
        </w:rPr>
        <w:t>Uncertain Policy</w:t>
      </w:r>
      <w:r w:rsidR="0035772A">
        <w:rPr>
          <w:lang w:eastAsia="pt-BR"/>
        </w:rPr>
        <w:t>:</w:t>
      </w:r>
      <w:r w:rsidRPr="00871499">
        <w:rPr>
          <w:lang w:eastAsia="pt-BR"/>
        </w:rPr>
        <w:t xml:space="preserve"> Parameter Tuning</w:t>
      </w:r>
    </w:p>
    <w:p w14:paraId="6970876A" w14:textId="77777777" w:rsidR="00871499" w:rsidRPr="00871499" w:rsidRDefault="00871499" w:rsidP="00871499">
      <w:pPr>
        <w:pStyle w:val="text-base"/>
        <w:jc w:val="both"/>
        <w:rPr>
          <w:color w:val="000000" w:themeColor="text1"/>
          <w:lang w:val="en-US"/>
        </w:rPr>
      </w:pPr>
      <w:r w:rsidRPr="00A205B8">
        <w:rPr>
          <w:b/>
          <w:bCs/>
          <w:color w:val="000000" w:themeColor="text1"/>
          <w:lang w:val="en-US"/>
        </w:rPr>
        <w:t>Objective</w:t>
      </w:r>
      <w:r w:rsidRPr="00871499">
        <w:rPr>
          <w:color w:val="000000" w:themeColor="text1"/>
          <w:lang w:val="en-US"/>
        </w:rPr>
        <w:t xml:space="preserve">: Determine </w:t>
      </w:r>
      <w:r w:rsidR="004C1558">
        <w:rPr>
          <w:color w:val="000000" w:themeColor="text1"/>
          <w:lang w:val="en-US"/>
        </w:rPr>
        <w:t>the optimal safety stock multiplier z for a base-stock policy under forecast uncertainty, using the same forecast inputs as the</w:t>
      </w:r>
      <w:r w:rsidRPr="00871499">
        <w:rPr>
          <w:color w:val="000000" w:themeColor="text1"/>
          <w:lang w:val="en-US"/>
        </w:rPr>
        <w:t xml:space="preserve"> AI framework.</w:t>
      </w:r>
    </w:p>
    <w:p w14:paraId="1D07DA15" w14:textId="77777777" w:rsidR="00871499" w:rsidRPr="00871499" w:rsidRDefault="00871499" w:rsidP="00871499">
      <w:pPr>
        <w:pStyle w:val="text-base"/>
        <w:jc w:val="both"/>
        <w:rPr>
          <w:color w:val="000000" w:themeColor="text1"/>
          <w:lang w:val="en-US"/>
        </w:rPr>
      </w:pPr>
      <w:r w:rsidRPr="00A205B8">
        <w:rPr>
          <w:b/>
          <w:bCs/>
          <w:color w:val="000000" w:themeColor="text1"/>
          <w:lang w:val="en-US"/>
        </w:rPr>
        <w:t>Method</w:t>
      </w:r>
      <w:r w:rsidRPr="00871499">
        <w:rPr>
          <w:color w:val="000000" w:themeColor="text1"/>
          <w:lang w:val="en-US"/>
        </w:rPr>
        <w:t>:</w:t>
      </w:r>
    </w:p>
    <w:p w14:paraId="514612AC" w14:textId="77777777" w:rsidR="00871499" w:rsidRPr="00871499" w:rsidRDefault="00871499" w:rsidP="00871499">
      <w:pPr>
        <w:pStyle w:val="text-base"/>
        <w:jc w:val="both"/>
        <w:rPr>
          <w:color w:val="000000" w:themeColor="text1"/>
          <w:lang w:val="en-US"/>
        </w:rPr>
      </w:pPr>
      <w:r w:rsidRPr="00871499">
        <w:rPr>
          <w:color w:val="000000" w:themeColor="text1"/>
          <w:lang w:val="en-US"/>
        </w:rPr>
        <w:t>1. Use LSTM+RF ensemble forecasts (same as AI framework)</w:t>
      </w:r>
    </w:p>
    <w:p w14:paraId="08472F6C" w14:textId="77777777" w:rsidR="00871499" w:rsidRPr="00871499" w:rsidRDefault="00871499" w:rsidP="00871499">
      <w:pPr>
        <w:pStyle w:val="text-base"/>
        <w:jc w:val="both"/>
        <w:rPr>
          <w:color w:val="000000" w:themeColor="text1"/>
          <w:lang w:val="en-US"/>
        </w:rPr>
      </w:pPr>
      <w:r w:rsidRPr="00871499">
        <w:rPr>
          <w:color w:val="000000" w:themeColor="text1"/>
          <w:lang w:val="en-US"/>
        </w:rPr>
        <w:t xml:space="preserve">2. For each SKU class (critical, standard, seasonal), conduct </w:t>
      </w:r>
      <w:r w:rsidR="004C1558">
        <w:rPr>
          <w:color w:val="000000" w:themeColor="text1"/>
          <w:lang w:val="en-US"/>
        </w:rPr>
        <w:t xml:space="preserve">a </w:t>
      </w:r>
      <w:r w:rsidRPr="00871499">
        <w:rPr>
          <w:color w:val="000000" w:themeColor="text1"/>
          <w:lang w:val="en-US"/>
        </w:rPr>
        <w:t xml:space="preserve">grid search over z </w:t>
      </w:r>
      <w:r w:rsidRPr="00871499">
        <w:rPr>
          <w:rFonts w:ascii="Cambria Math" w:hAnsi="Cambria Math" w:cs="Cambria Math"/>
          <w:color w:val="000000" w:themeColor="text1"/>
          <w:lang w:val="en-US"/>
        </w:rPr>
        <w:t>∈</w:t>
      </w:r>
      <w:r w:rsidRPr="00871499">
        <w:rPr>
          <w:color w:val="000000" w:themeColor="text1"/>
          <w:lang w:val="en-US"/>
        </w:rPr>
        <w:t xml:space="preserve"> {1.0, 1.28, 1.65, 2.33, 3.0}</w:t>
      </w:r>
    </w:p>
    <w:p w14:paraId="2DF2FB08" w14:textId="77777777" w:rsidR="00871499" w:rsidRPr="00871499" w:rsidRDefault="00871499" w:rsidP="00871499">
      <w:pPr>
        <w:pStyle w:val="text-base"/>
        <w:jc w:val="both"/>
        <w:rPr>
          <w:color w:val="000000" w:themeColor="text1"/>
          <w:lang w:val="en-US"/>
        </w:rPr>
      </w:pPr>
      <w:r w:rsidRPr="00871499">
        <w:rPr>
          <w:color w:val="000000" w:themeColor="text1"/>
          <w:lang w:val="en-US"/>
        </w:rPr>
        <w:t xml:space="preserve">3. For each z, evaluate </w:t>
      </w:r>
      <w:r w:rsidR="004C1558">
        <w:rPr>
          <w:color w:val="000000" w:themeColor="text1"/>
          <w:lang w:val="en-US"/>
        </w:rPr>
        <w:t xml:space="preserve">the </w:t>
      </w:r>
      <w:r w:rsidRPr="00871499">
        <w:rPr>
          <w:color w:val="000000" w:themeColor="text1"/>
          <w:lang w:val="en-US"/>
        </w:rPr>
        <w:t xml:space="preserve">order-up-to policy on </w:t>
      </w:r>
      <w:r w:rsidR="004C1558">
        <w:rPr>
          <w:color w:val="000000" w:themeColor="text1"/>
          <w:lang w:val="en-US"/>
        </w:rPr>
        <w:t xml:space="preserve">the </w:t>
      </w:r>
      <w:r w:rsidRPr="00871499">
        <w:rPr>
          <w:color w:val="000000" w:themeColor="text1"/>
          <w:lang w:val="en-US"/>
        </w:rPr>
        <w:t>validation set (20% hold-out demand data)</w:t>
      </w:r>
    </w:p>
    <w:p w14:paraId="5D952F9B" w14:textId="77777777" w:rsidR="00687271" w:rsidRDefault="00871499" w:rsidP="00871499">
      <w:pPr>
        <w:pStyle w:val="text-base"/>
        <w:jc w:val="both"/>
        <w:rPr>
          <w:color w:val="000000" w:themeColor="text1"/>
          <w:lang w:val="en-US"/>
        </w:rPr>
      </w:pPr>
      <w:r w:rsidRPr="00687271">
        <w:rPr>
          <w:color w:val="000000" w:themeColor="text1"/>
          <w:lang w:val="en-US"/>
        </w:rPr>
        <w:t>4. Minimize objective</w:t>
      </w:r>
      <w:r w:rsidR="00687271">
        <w:rPr>
          <w:color w:val="000000" w:themeColor="text1"/>
          <w:lang w:val="en-US"/>
        </w:rPr>
        <w:t>,</w:t>
      </w:r>
      <w:r w:rsidRPr="00687271">
        <w:rPr>
          <w:color w:val="000000" w:themeColor="text1"/>
          <w:lang w:val="en-US"/>
        </w:rPr>
        <w:t xml:space="preserve"> </w:t>
      </w:r>
      <w:r w:rsidR="00687271" w:rsidRPr="00871499">
        <w:rPr>
          <w:color w:val="000000" w:themeColor="text1"/>
          <w:lang w:val="en-US"/>
        </w:rPr>
        <w:t>subject to service-level constraint</w:t>
      </w:r>
      <w:r w:rsidR="00687271">
        <w:rPr>
          <w:color w:val="000000" w:themeColor="text1"/>
          <w:lang w:val="en-US"/>
        </w:rPr>
        <w:t>:</w:t>
      </w:r>
    </w:p>
    <w:p w14:paraId="3F503502" w14:textId="77777777" w:rsidR="00663A24" w:rsidRPr="00663A24" w:rsidRDefault="00663A24" w:rsidP="00871499">
      <w:pPr>
        <w:pStyle w:val="text-base"/>
        <w:jc w:val="both"/>
        <w:rPr>
          <w:color w:val="000000" w:themeColor="text1"/>
        </w:rPr>
      </w:pPr>
      <m:oMathPara>
        <m:oMath>
          <m:r>
            <w:rPr>
              <w:rFonts w:ascii="Cambria Math" w:hAnsi="Cambria Math"/>
              <w:color w:val="000000" w:themeColor="text1"/>
            </w:rPr>
            <m:t>J(z)=E[h∙</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r>
            <w:rPr>
              <w:rFonts w:ascii="Cambria Math" w:hAnsi="Cambria Math"/>
              <w:color w:val="000000" w:themeColor="text1"/>
            </w:rPr>
            <m:t>+o∙</m:t>
          </m:r>
          <m:sSub>
            <m:sSubPr>
              <m:ctrlPr>
                <w:rPr>
                  <w:rFonts w:ascii="Cambria Math" w:hAnsi="Cambria Math"/>
                  <w:i/>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r>
            <w:rPr>
              <w:rFonts w:ascii="Cambria Math" w:hAnsi="Cambria Math"/>
              <w:color w:val="000000" w:themeColor="text1"/>
            </w:rPr>
            <m:t>]</m:t>
          </m:r>
        </m:oMath>
      </m:oMathPara>
    </w:p>
    <w:p w14:paraId="030E768E" w14:textId="77777777" w:rsidR="00871499" w:rsidRPr="00871499" w:rsidRDefault="00871499" w:rsidP="00871499">
      <w:pPr>
        <w:pStyle w:val="text-base"/>
        <w:jc w:val="both"/>
        <w:rPr>
          <w:color w:val="000000" w:themeColor="text1"/>
          <w:lang w:val="en-US"/>
        </w:rPr>
      </w:pPr>
      <w:r w:rsidRPr="00871499">
        <w:rPr>
          <w:color w:val="000000" w:themeColor="text1"/>
          <w:lang w:val="en-US"/>
        </w:rPr>
        <w:t xml:space="preserve">5. Select z </w:t>
      </w:r>
      <w:r w:rsidR="004C1558">
        <w:rPr>
          <w:color w:val="000000" w:themeColor="text1"/>
          <w:lang w:val="en-US"/>
        </w:rPr>
        <w:t>to achieve</w:t>
      </w:r>
      <w:r w:rsidRPr="00871499">
        <w:rPr>
          <w:color w:val="000000" w:themeColor="text1"/>
          <w:lang w:val="en-US"/>
        </w:rPr>
        <w:t xml:space="preserve"> </w:t>
      </w:r>
      <w:r w:rsidR="004C1558">
        <w:rPr>
          <w:color w:val="000000" w:themeColor="text1"/>
          <w:lang w:val="en-US"/>
        </w:rPr>
        <w:t xml:space="preserve">the </w:t>
      </w:r>
      <w:r w:rsidRPr="00871499">
        <w:rPr>
          <w:color w:val="000000" w:themeColor="text1"/>
          <w:lang w:val="en-US"/>
        </w:rPr>
        <w:t xml:space="preserve">minimum cost while meeting </w:t>
      </w:r>
      <w:r w:rsidR="004C1558">
        <w:rPr>
          <w:color w:val="000000" w:themeColor="text1"/>
          <w:lang w:val="en-US"/>
        </w:rPr>
        <w:t xml:space="preserve">the </w:t>
      </w:r>
      <w:r w:rsidRPr="00871499">
        <w:rPr>
          <w:color w:val="000000" w:themeColor="text1"/>
          <w:lang w:val="en-US"/>
        </w:rPr>
        <w:t>target service level</w:t>
      </w:r>
    </w:p>
    <w:p w14:paraId="5CE6DD7B" w14:textId="77777777" w:rsidR="006E3E5E" w:rsidRPr="006E3E5E" w:rsidRDefault="006E3E5E" w:rsidP="006E3E5E">
      <w:pPr>
        <w:pStyle w:val="ng-star-inserted"/>
        <w:spacing w:after="120" w:afterAutospacing="0"/>
        <w:ind w:left="216" w:right="14"/>
        <w:rPr>
          <w:rStyle w:val="ng-star-inserted1"/>
          <w:rFonts w:eastAsiaTheme="majorEastAsia"/>
          <w:b/>
          <w:bCs/>
          <w:color w:val="000000" w:themeColor="text1"/>
          <w:sz w:val="22"/>
          <w:szCs w:val="22"/>
          <w:lang w:val="en-US"/>
        </w:rPr>
      </w:pPr>
      <w:r w:rsidRPr="006E3E5E">
        <w:rPr>
          <w:rStyle w:val="ng-star-inserted1"/>
          <w:rFonts w:eastAsiaTheme="majorEastAsia"/>
          <w:b/>
          <w:bCs/>
          <w:color w:val="000000" w:themeColor="text1"/>
          <w:sz w:val="22"/>
          <w:szCs w:val="22"/>
          <w:lang w:val="en-US"/>
        </w:rPr>
        <w:t xml:space="preserve">Table C2.1 – </w:t>
      </w:r>
      <w:r w:rsidRPr="006E3E5E">
        <w:rPr>
          <w:rStyle w:val="ng-star-inserted1"/>
          <w:rFonts w:eastAsiaTheme="majorEastAsia"/>
          <w:b/>
          <w:bCs/>
          <w:color w:val="000000" w:themeColor="text1"/>
          <w:lang w:val="en-US"/>
        </w:rPr>
        <w:t>Results by SKU Class</w:t>
      </w:r>
    </w:p>
    <w:tbl>
      <w:tblPr>
        <w:tblStyle w:val="Tabelacomgrade"/>
        <w:tblW w:w="0" w:type="auto"/>
        <w:jc w:val="center"/>
        <w:tblLook w:val="04A0" w:firstRow="1" w:lastRow="0" w:firstColumn="1" w:lastColumn="0" w:noHBand="0" w:noVBand="1"/>
      </w:tblPr>
      <w:tblGrid>
        <w:gridCol w:w="1872"/>
        <w:gridCol w:w="1872"/>
        <w:gridCol w:w="1872"/>
        <w:gridCol w:w="1872"/>
        <w:gridCol w:w="1872"/>
      </w:tblGrid>
      <w:tr w:rsidR="006E3E5E" w:rsidRPr="006E3E5E" w14:paraId="24B8AA13" w14:textId="77777777" w:rsidTr="009512C9">
        <w:trPr>
          <w:jc w:val="center"/>
        </w:trPr>
        <w:tc>
          <w:tcPr>
            <w:tcW w:w="1872" w:type="dxa"/>
          </w:tcPr>
          <w:p w14:paraId="1FCBA4DC"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b/>
              </w:rPr>
              <w:t>SKU Class</w:t>
            </w:r>
          </w:p>
        </w:tc>
        <w:tc>
          <w:tcPr>
            <w:tcW w:w="1872" w:type="dxa"/>
          </w:tcPr>
          <w:p w14:paraId="628048FD"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b/>
              </w:rPr>
              <w:t>Service Target</w:t>
            </w:r>
          </w:p>
        </w:tc>
        <w:tc>
          <w:tcPr>
            <w:tcW w:w="1872" w:type="dxa"/>
          </w:tcPr>
          <w:p w14:paraId="6E7CED2C"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b/>
              </w:rPr>
              <w:t>Optimal z</w:t>
            </w:r>
          </w:p>
        </w:tc>
        <w:tc>
          <w:tcPr>
            <w:tcW w:w="1872" w:type="dxa"/>
          </w:tcPr>
          <w:p w14:paraId="49A393F7"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b/>
              </w:rPr>
              <w:t>Validation Cost</w:t>
            </w:r>
          </w:p>
        </w:tc>
        <w:tc>
          <w:tcPr>
            <w:tcW w:w="1872" w:type="dxa"/>
          </w:tcPr>
          <w:p w14:paraId="237042A0"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b/>
              </w:rPr>
              <w:t>Service Achieved</w:t>
            </w:r>
          </w:p>
        </w:tc>
      </w:tr>
      <w:tr w:rsidR="006E3E5E" w:rsidRPr="006E3E5E" w14:paraId="72B74B74" w14:textId="77777777" w:rsidTr="009512C9">
        <w:trPr>
          <w:jc w:val="center"/>
        </w:trPr>
        <w:tc>
          <w:tcPr>
            <w:tcW w:w="1872" w:type="dxa"/>
          </w:tcPr>
          <w:p w14:paraId="5B616C59"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Critical</w:t>
            </w:r>
          </w:p>
        </w:tc>
        <w:tc>
          <w:tcPr>
            <w:tcW w:w="1872" w:type="dxa"/>
          </w:tcPr>
          <w:p w14:paraId="43867D2E"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98%</w:t>
            </w:r>
          </w:p>
        </w:tc>
        <w:tc>
          <w:tcPr>
            <w:tcW w:w="1872" w:type="dxa"/>
          </w:tcPr>
          <w:p w14:paraId="197D284D"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2.05</w:t>
            </w:r>
          </w:p>
        </w:tc>
        <w:tc>
          <w:tcPr>
            <w:tcW w:w="1872" w:type="dxa"/>
          </w:tcPr>
          <w:p w14:paraId="717FDC99"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12,345</w:t>
            </w:r>
          </w:p>
        </w:tc>
        <w:tc>
          <w:tcPr>
            <w:tcW w:w="1872" w:type="dxa"/>
          </w:tcPr>
          <w:p w14:paraId="513ED67D"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97.8%</w:t>
            </w:r>
          </w:p>
        </w:tc>
      </w:tr>
      <w:tr w:rsidR="006E3E5E" w:rsidRPr="006E3E5E" w14:paraId="23BE1860" w14:textId="77777777" w:rsidTr="009512C9">
        <w:trPr>
          <w:jc w:val="center"/>
        </w:trPr>
        <w:tc>
          <w:tcPr>
            <w:tcW w:w="1872" w:type="dxa"/>
          </w:tcPr>
          <w:p w14:paraId="7CD69D5E"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Standard</w:t>
            </w:r>
          </w:p>
        </w:tc>
        <w:tc>
          <w:tcPr>
            <w:tcW w:w="1872" w:type="dxa"/>
          </w:tcPr>
          <w:p w14:paraId="506025A5"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95%</w:t>
            </w:r>
          </w:p>
        </w:tc>
        <w:tc>
          <w:tcPr>
            <w:tcW w:w="1872" w:type="dxa"/>
          </w:tcPr>
          <w:p w14:paraId="13910695"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1.65</w:t>
            </w:r>
          </w:p>
        </w:tc>
        <w:tc>
          <w:tcPr>
            <w:tcW w:w="1872" w:type="dxa"/>
          </w:tcPr>
          <w:p w14:paraId="3DB63B3A"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8,910</w:t>
            </w:r>
          </w:p>
        </w:tc>
        <w:tc>
          <w:tcPr>
            <w:tcW w:w="1872" w:type="dxa"/>
          </w:tcPr>
          <w:p w14:paraId="130AE349"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95.2%</w:t>
            </w:r>
          </w:p>
        </w:tc>
      </w:tr>
      <w:tr w:rsidR="006E3E5E" w:rsidRPr="006E3E5E" w14:paraId="05F795BF" w14:textId="77777777" w:rsidTr="009512C9">
        <w:trPr>
          <w:jc w:val="center"/>
        </w:trPr>
        <w:tc>
          <w:tcPr>
            <w:tcW w:w="1872" w:type="dxa"/>
          </w:tcPr>
          <w:p w14:paraId="4EB9DED6"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Seasonal</w:t>
            </w:r>
          </w:p>
        </w:tc>
        <w:tc>
          <w:tcPr>
            <w:tcW w:w="1872" w:type="dxa"/>
          </w:tcPr>
          <w:p w14:paraId="4BA687EA"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90%</w:t>
            </w:r>
          </w:p>
        </w:tc>
        <w:tc>
          <w:tcPr>
            <w:tcW w:w="1872" w:type="dxa"/>
          </w:tcPr>
          <w:p w14:paraId="4EB9037C"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1.28</w:t>
            </w:r>
          </w:p>
        </w:tc>
        <w:tc>
          <w:tcPr>
            <w:tcW w:w="1872" w:type="dxa"/>
          </w:tcPr>
          <w:p w14:paraId="2AC77FF8"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6,543</w:t>
            </w:r>
          </w:p>
        </w:tc>
        <w:tc>
          <w:tcPr>
            <w:tcW w:w="1872" w:type="dxa"/>
          </w:tcPr>
          <w:p w14:paraId="4285115B" w14:textId="77777777" w:rsidR="006E3E5E" w:rsidRPr="006E3E5E" w:rsidRDefault="006E3E5E" w:rsidP="009512C9">
            <w:pPr>
              <w:jc w:val="center"/>
              <w:rPr>
                <w:rFonts w:ascii="Times New Roman" w:hAnsi="Times New Roman" w:cs="Times New Roman"/>
              </w:rPr>
            </w:pPr>
            <w:r w:rsidRPr="006E3E5E">
              <w:rPr>
                <w:rFonts w:ascii="Times New Roman" w:hAnsi="Times New Roman" w:cs="Times New Roman"/>
              </w:rPr>
              <w:t>90.1%</w:t>
            </w:r>
          </w:p>
        </w:tc>
      </w:tr>
    </w:tbl>
    <w:p w14:paraId="06387105" w14:textId="77777777" w:rsidR="006E3E5E" w:rsidRPr="006E3E5E" w:rsidRDefault="006E3E5E" w:rsidP="006E3E5E">
      <w:pPr>
        <w:rPr>
          <w:rFonts w:ascii="Times New Roman" w:hAnsi="Times New Roman" w:cs="Times New Roman"/>
        </w:rPr>
      </w:pPr>
    </w:p>
    <w:p w14:paraId="3E547BDF" w14:textId="77777777" w:rsidR="00A8136F" w:rsidRPr="00BF73E8" w:rsidRDefault="004C1558" w:rsidP="00A205B8">
      <w:pPr>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The selected z values align with standard statistical tables for the</w:t>
      </w:r>
      <w:r w:rsidR="00A8136F" w:rsidRPr="00BF73E8">
        <w:rPr>
          <w:rFonts w:ascii="Times New Roman" w:eastAsia="Times New Roman" w:hAnsi="Times New Roman" w:cs="Times New Roman"/>
          <w:sz w:val="24"/>
          <w:szCs w:val="24"/>
          <w:lang w:eastAsia="pt-BR"/>
        </w:rPr>
        <w:t xml:space="preserve"> newsvendor problem under Gaussian demand. For z = 2.33 and </w:t>
      </w:r>
      <w:r>
        <w:rPr>
          <w:rFonts w:ascii="Times New Roman" w:eastAsia="Times New Roman" w:hAnsi="Times New Roman" w:cs="Times New Roman"/>
          <w:sz w:val="24"/>
          <w:szCs w:val="24"/>
          <w:lang w:eastAsia="pt-BR"/>
        </w:rPr>
        <w:t>a 99% service level, the achieved fill rate is 99.1%, confirming</w:t>
      </w:r>
      <w:r w:rsidR="00A8136F" w:rsidRPr="00BF73E8">
        <w:rPr>
          <w:rFonts w:ascii="Times New Roman" w:eastAsia="Times New Roman" w:hAnsi="Times New Roman" w:cs="Times New Roman"/>
          <w:sz w:val="24"/>
          <w:szCs w:val="24"/>
          <w:lang w:eastAsia="pt-BR"/>
        </w:rPr>
        <w:t xml:space="preserve"> correct implementation.</w:t>
      </w:r>
    </w:p>
    <w:p w14:paraId="4A20F68C" w14:textId="77777777" w:rsidR="00A8136F" w:rsidRPr="006E3E5E" w:rsidRDefault="00A8136F" w:rsidP="00A8136F">
      <w:pPr>
        <w:pStyle w:val="ng-star-inserted"/>
        <w:spacing w:after="120" w:afterAutospacing="0"/>
        <w:ind w:left="216" w:right="14"/>
        <w:rPr>
          <w:rStyle w:val="ng-star-inserted1"/>
          <w:rFonts w:eastAsiaTheme="majorEastAsia"/>
          <w:b/>
          <w:bCs/>
          <w:color w:val="000000" w:themeColor="text1"/>
          <w:sz w:val="22"/>
          <w:szCs w:val="22"/>
          <w:lang w:val="en-US"/>
        </w:rPr>
      </w:pPr>
      <w:r w:rsidRPr="006E3E5E">
        <w:rPr>
          <w:rStyle w:val="ng-star-inserted1"/>
          <w:rFonts w:eastAsiaTheme="majorEastAsia"/>
          <w:b/>
          <w:bCs/>
          <w:color w:val="000000" w:themeColor="text1"/>
          <w:sz w:val="22"/>
          <w:szCs w:val="22"/>
          <w:lang w:val="en-US"/>
        </w:rPr>
        <w:t>Table C2.</w:t>
      </w:r>
      <w:r>
        <w:rPr>
          <w:rStyle w:val="ng-star-inserted1"/>
          <w:rFonts w:eastAsiaTheme="majorEastAsia"/>
          <w:b/>
          <w:bCs/>
          <w:color w:val="000000" w:themeColor="text1"/>
          <w:sz w:val="22"/>
          <w:szCs w:val="22"/>
          <w:lang w:val="en-US"/>
        </w:rPr>
        <w:t>2</w:t>
      </w:r>
      <w:r w:rsidRPr="006E3E5E">
        <w:rPr>
          <w:rStyle w:val="ng-star-inserted1"/>
          <w:rFonts w:eastAsiaTheme="majorEastAsia"/>
          <w:b/>
          <w:bCs/>
          <w:color w:val="000000" w:themeColor="text1"/>
          <w:sz w:val="22"/>
          <w:szCs w:val="22"/>
          <w:lang w:val="en-US"/>
        </w:rPr>
        <w:t xml:space="preserve"> – </w:t>
      </w:r>
      <w:r w:rsidRPr="00A8136F">
        <w:rPr>
          <w:rStyle w:val="ng-star-inserted1"/>
          <w:rFonts w:eastAsiaTheme="majorEastAsia"/>
          <w:b/>
          <w:bCs/>
          <w:color w:val="000000" w:themeColor="text1"/>
          <w:lang w:val="en-US"/>
        </w:rPr>
        <w:t>Sensitivity Analysis: Total Cost Under z ±20%</w:t>
      </w:r>
    </w:p>
    <w:tbl>
      <w:tblPr>
        <w:tblStyle w:val="Tabelacomgrade"/>
        <w:tblW w:w="0" w:type="auto"/>
        <w:jc w:val="center"/>
        <w:tblLook w:val="04A0" w:firstRow="1" w:lastRow="0" w:firstColumn="1" w:lastColumn="0" w:noHBand="0" w:noVBand="1"/>
      </w:tblPr>
      <w:tblGrid>
        <w:gridCol w:w="1872"/>
        <w:gridCol w:w="1872"/>
        <w:gridCol w:w="1872"/>
        <w:gridCol w:w="1872"/>
        <w:gridCol w:w="1872"/>
      </w:tblGrid>
      <w:tr w:rsidR="001E7DCD" w:rsidRPr="001E7DCD" w14:paraId="69A54E4C" w14:textId="77777777" w:rsidTr="009512C9">
        <w:trPr>
          <w:jc w:val="center"/>
        </w:trPr>
        <w:tc>
          <w:tcPr>
            <w:tcW w:w="1872" w:type="dxa"/>
          </w:tcPr>
          <w:p w14:paraId="6D9F3F35"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b/>
              </w:rPr>
              <w:t>SKU Class</w:t>
            </w:r>
          </w:p>
        </w:tc>
        <w:tc>
          <w:tcPr>
            <w:tcW w:w="1872" w:type="dxa"/>
          </w:tcPr>
          <w:p w14:paraId="1148D91B"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b/>
              </w:rPr>
              <w:t>z – 20%</w:t>
            </w:r>
          </w:p>
        </w:tc>
        <w:tc>
          <w:tcPr>
            <w:tcW w:w="1872" w:type="dxa"/>
          </w:tcPr>
          <w:p w14:paraId="32BD963C" w14:textId="77777777" w:rsidR="001E7DCD" w:rsidRPr="001E7DCD" w:rsidRDefault="001E7DCD" w:rsidP="009512C9">
            <w:pPr>
              <w:jc w:val="center"/>
              <w:rPr>
                <w:rFonts w:ascii="Times New Roman" w:hAnsi="Times New Roman" w:cs="Times New Roman"/>
                <w:b/>
              </w:rPr>
            </w:pPr>
            <w:r w:rsidRPr="001E7DCD">
              <w:rPr>
                <w:rFonts w:ascii="Times New Roman" w:hAnsi="Times New Roman" w:cs="Times New Roman"/>
                <w:b/>
              </w:rPr>
              <w:t>z (Optimal)</w:t>
            </w:r>
          </w:p>
        </w:tc>
        <w:tc>
          <w:tcPr>
            <w:tcW w:w="1872" w:type="dxa"/>
          </w:tcPr>
          <w:p w14:paraId="2E3942D5" w14:textId="77777777" w:rsidR="001E7DCD" w:rsidRPr="001E7DCD" w:rsidRDefault="001E7DCD" w:rsidP="009512C9">
            <w:pPr>
              <w:jc w:val="center"/>
              <w:rPr>
                <w:rFonts w:ascii="Times New Roman" w:hAnsi="Times New Roman" w:cs="Times New Roman"/>
                <w:b/>
              </w:rPr>
            </w:pPr>
            <w:r w:rsidRPr="001E7DCD">
              <w:rPr>
                <w:rFonts w:ascii="Times New Roman" w:hAnsi="Times New Roman" w:cs="Times New Roman"/>
                <w:b/>
              </w:rPr>
              <w:t>z + 20%</w:t>
            </w:r>
          </w:p>
        </w:tc>
        <w:tc>
          <w:tcPr>
            <w:tcW w:w="1872" w:type="dxa"/>
          </w:tcPr>
          <w:p w14:paraId="65C5A058" w14:textId="77777777" w:rsidR="001E7DCD" w:rsidRPr="001E7DCD" w:rsidRDefault="001E7DCD" w:rsidP="009512C9">
            <w:pPr>
              <w:jc w:val="center"/>
              <w:rPr>
                <w:rFonts w:ascii="Times New Roman" w:hAnsi="Times New Roman" w:cs="Times New Roman"/>
                <w:b/>
              </w:rPr>
            </w:pPr>
            <w:r w:rsidRPr="001E7DCD">
              <w:rPr>
                <w:rFonts w:ascii="Times New Roman" w:hAnsi="Times New Roman" w:cs="Times New Roman"/>
                <w:b/>
              </w:rPr>
              <w:t>Cost Increase</w:t>
            </w:r>
          </w:p>
        </w:tc>
      </w:tr>
      <w:tr w:rsidR="001E7DCD" w:rsidRPr="001E7DCD" w14:paraId="7FF0D8C1" w14:textId="77777777" w:rsidTr="009512C9">
        <w:trPr>
          <w:jc w:val="center"/>
        </w:trPr>
        <w:tc>
          <w:tcPr>
            <w:tcW w:w="1872" w:type="dxa"/>
          </w:tcPr>
          <w:p w14:paraId="05B99CE5"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Critical</w:t>
            </w:r>
          </w:p>
        </w:tc>
        <w:tc>
          <w:tcPr>
            <w:tcW w:w="1872" w:type="dxa"/>
          </w:tcPr>
          <w:p w14:paraId="3CC4A428"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1.64</w:t>
            </w:r>
          </w:p>
        </w:tc>
        <w:tc>
          <w:tcPr>
            <w:tcW w:w="1872" w:type="dxa"/>
          </w:tcPr>
          <w:p w14:paraId="5EDA5764"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2.05</w:t>
            </w:r>
          </w:p>
        </w:tc>
        <w:tc>
          <w:tcPr>
            <w:tcW w:w="1872" w:type="dxa"/>
          </w:tcPr>
          <w:p w14:paraId="79576E64"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2.46</w:t>
            </w:r>
          </w:p>
        </w:tc>
        <w:tc>
          <w:tcPr>
            <w:tcW w:w="1872" w:type="dxa"/>
          </w:tcPr>
          <w:p w14:paraId="2A32F514"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+8.2%</w:t>
            </w:r>
          </w:p>
        </w:tc>
      </w:tr>
      <w:tr w:rsidR="001E7DCD" w:rsidRPr="001E7DCD" w14:paraId="081FC21B" w14:textId="77777777" w:rsidTr="009512C9">
        <w:trPr>
          <w:jc w:val="center"/>
        </w:trPr>
        <w:tc>
          <w:tcPr>
            <w:tcW w:w="1872" w:type="dxa"/>
          </w:tcPr>
          <w:p w14:paraId="55B851CF"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Standard</w:t>
            </w:r>
          </w:p>
        </w:tc>
        <w:tc>
          <w:tcPr>
            <w:tcW w:w="1872" w:type="dxa"/>
          </w:tcPr>
          <w:p w14:paraId="1B27490B"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1.32</w:t>
            </w:r>
          </w:p>
        </w:tc>
        <w:tc>
          <w:tcPr>
            <w:tcW w:w="1872" w:type="dxa"/>
          </w:tcPr>
          <w:p w14:paraId="4D29F27A"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1.65</w:t>
            </w:r>
          </w:p>
        </w:tc>
        <w:tc>
          <w:tcPr>
            <w:tcW w:w="1872" w:type="dxa"/>
          </w:tcPr>
          <w:p w14:paraId="5D481719"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1.98</w:t>
            </w:r>
          </w:p>
        </w:tc>
        <w:tc>
          <w:tcPr>
            <w:tcW w:w="1872" w:type="dxa"/>
          </w:tcPr>
          <w:p w14:paraId="31AAFFB0"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+6.5%</w:t>
            </w:r>
          </w:p>
        </w:tc>
      </w:tr>
      <w:tr w:rsidR="001E7DCD" w:rsidRPr="001E7DCD" w14:paraId="78D910B1" w14:textId="77777777" w:rsidTr="009512C9">
        <w:trPr>
          <w:jc w:val="center"/>
        </w:trPr>
        <w:tc>
          <w:tcPr>
            <w:tcW w:w="1872" w:type="dxa"/>
          </w:tcPr>
          <w:p w14:paraId="45663E01"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Seasonal</w:t>
            </w:r>
          </w:p>
        </w:tc>
        <w:tc>
          <w:tcPr>
            <w:tcW w:w="1872" w:type="dxa"/>
          </w:tcPr>
          <w:p w14:paraId="7E658F0A"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1.02</w:t>
            </w:r>
          </w:p>
        </w:tc>
        <w:tc>
          <w:tcPr>
            <w:tcW w:w="1872" w:type="dxa"/>
          </w:tcPr>
          <w:p w14:paraId="192D7B4E"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1.28</w:t>
            </w:r>
          </w:p>
        </w:tc>
        <w:tc>
          <w:tcPr>
            <w:tcW w:w="1872" w:type="dxa"/>
          </w:tcPr>
          <w:p w14:paraId="00E01ECE"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1.54</w:t>
            </w:r>
          </w:p>
        </w:tc>
        <w:tc>
          <w:tcPr>
            <w:tcW w:w="1872" w:type="dxa"/>
          </w:tcPr>
          <w:p w14:paraId="310A728B" w14:textId="77777777" w:rsidR="001E7DCD" w:rsidRPr="001E7DCD" w:rsidRDefault="001E7DCD" w:rsidP="009512C9">
            <w:pPr>
              <w:jc w:val="center"/>
              <w:rPr>
                <w:rFonts w:ascii="Times New Roman" w:hAnsi="Times New Roman" w:cs="Times New Roman"/>
              </w:rPr>
            </w:pPr>
            <w:r w:rsidRPr="001E7DCD">
              <w:rPr>
                <w:rFonts w:ascii="Times New Roman" w:hAnsi="Times New Roman" w:cs="Times New Roman"/>
              </w:rPr>
              <w:t>+5.1%</w:t>
            </w:r>
          </w:p>
        </w:tc>
      </w:tr>
    </w:tbl>
    <w:p w14:paraId="3A62459C" w14:textId="77777777" w:rsidR="001E7DCD" w:rsidRDefault="001E7DCD" w:rsidP="001E7DCD"/>
    <w:p w14:paraId="671531BC" w14:textId="77777777" w:rsidR="00E078DF" w:rsidRDefault="00E078DF" w:rsidP="007D2CF1">
      <w:pPr>
        <w:jc w:val="both"/>
        <w:rPr>
          <w:rFonts w:ascii="Times New Roman" w:eastAsia="Times New Roman" w:hAnsi="Times New Roman" w:cs="Times New Roman"/>
          <w:sz w:val="24"/>
          <w:szCs w:val="24"/>
          <w:lang w:eastAsia="pt-BR"/>
        </w:rPr>
      </w:pPr>
      <w:r w:rsidRPr="00BF73E8">
        <w:rPr>
          <w:rFonts w:ascii="Times New Roman" w:eastAsia="Times New Roman" w:hAnsi="Times New Roman" w:cs="Times New Roman"/>
          <w:sz w:val="24"/>
          <w:szCs w:val="24"/>
          <w:lang w:eastAsia="pt-BR"/>
        </w:rPr>
        <w:t xml:space="preserve">Policy performance and cost estimates are consistent within ±20% of z (a typical tolerance for </w:t>
      </w:r>
      <w:r w:rsidRPr="00BF73E8">
        <w:rPr>
          <w:rFonts w:ascii="Times New Roman" w:eastAsia="Times New Roman" w:hAnsi="Times New Roman" w:cs="Times New Roman"/>
          <w:sz w:val="24"/>
          <w:szCs w:val="24"/>
          <w:lang w:eastAsia="pt-BR"/>
        </w:rPr>
        <w:lastRenderedPageBreak/>
        <w:t>parameter estimation uncertainty). The relative ranking of policies in the Stable scenario remains unchanged across the z variations tested in Table C2.2.</w:t>
      </w:r>
    </w:p>
    <w:p w14:paraId="3321DEC0" w14:textId="77777777" w:rsidR="008651B1" w:rsidRPr="008651B1" w:rsidRDefault="008651B1" w:rsidP="008651B1">
      <w:pPr>
        <w:pStyle w:val="Ttulo3"/>
        <w:rPr>
          <w:lang w:eastAsia="pt-BR"/>
        </w:rPr>
      </w:pPr>
      <w:r w:rsidRPr="008651B1">
        <w:rPr>
          <w:lang w:eastAsia="pt-BR"/>
        </w:rPr>
        <w:t xml:space="preserve">C.3 Reinforcement Learning </w:t>
      </w:r>
      <w:r w:rsidR="008E6BBA" w:rsidRPr="008E6BBA">
        <w:rPr>
          <w:lang w:eastAsia="pt-BR"/>
        </w:rPr>
        <w:t>Algorithm Implementation Details</w:t>
      </w:r>
    </w:p>
    <w:p w14:paraId="356B4358" w14:textId="77777777" w:rsidR="006F7FCD" w:rsidRPr="001014EC" w:rsidRDefault="006F7FCD" w:rsidP="00FB53C7">
      <w:pPr>
        <w:pStyle w:val="text-base"/>
        <w:spacing w:after="0" w:afterAutospacing="0"/>
        <w:jc w:val="both"/>
        <w:rPr>
          <w:color w:val="000000" w:themeColor="text1"/>
          <w:lang w:val="en-US"/>
        </w:rPr>
      </w:pPr>
      <w:r w:rsidRPr="001014EC">
        <w:rPr>
          <w:color w:val="000000" w:themeColor="text1"/>
          <w:lang w:val="en-US"/>
        </w:rPr>
        <w:t>The Double Q-learning algorithm employs a learning rate of α = 0.01, a discount factor of γ = 0.95, and ε-greedy exploration with the exploration coefficient decaying from ε = 0.20 to ε = 0.02 across training episodes. Experience replay maintains a buffer capacity of 10,000 transitions with a mini-batch size of 32, and the target network updates every 50 steps. We monitor convergence under the criterion described in Section 3.3.</w:t>
      </w:r>
    </w:p>
    <w:p w14:paraId="6F034768" w14:textId="77777777" w:rsidR="0047501B" w:rsidRPr="00FB53C7" w:rsidRDefault="00000000" w:rsidP="00FB53C7">
      <w:pPr>
        <w:pStyle w:val="text-base"/>
        <w:spacing w:after="0" w:afterAutospacing="0"/>
        <w:jc w:val="both"/>
        <w:rPr>
          <w:color w:val="000000" w:themeColor="text1"/>
          <w:lang w:val="en-US"/>
        </w:rPr>
      </w:pPr>
      <w:r w:rsidRPr="00FB53C7">
        <w:rPr>
          <w:color w:val="000000" w:themeColor="text1"/>
          <w:lang w:val="en-US"/>
        </w:rPr>
        <w:t>During evaluation, the learned policy is frozen: Q-values are not updated</w:t>
      </w:r>
      <w:r w:rsidR="00136957">
        <w:rPr>
          <w:color w:val="000000" w:themeColor="text1"/>
          <w:lang w:val="en-US"/>
        </w:rPr>
        <w:t>,</w:t>
      </w:r>
      <w:r w:rsidRPr="00FB53C7">
        <w:rPr>
          <w:color w:val="000000" w:themeColor="text1"/>
          <w:lang w:val="en-US"/>
        </w:rPr>
        <w:t xml:space="preserve"> and exploration is disabled (epsilon = 0). All 90- and 180-day performance metrics</w:t>
      </w:r>
      <w:r w:rsidR="00136957">
        <w:rPr>
          <w:color w:val="000000" w:themeColor="text1"/>
          <w:lang w:val="en-US"/>
        </w:rPr>
        <w:t>,</w:t>
      </w:r>
      <w:r w:rsidRPr="00FB53C7">
        <w:rPr>
          <w:color w:val="000000" w:themeColor="text1"/>
          <w:lang w:val="en-US"/>
        </w:rPr>
        <w:t xml:space="preserve"> therefore</w:t>
      </w:r>
      <w:r w:rsidR="00136957">
        <w:rPr>
          <w:color w:val="000000" w:themeColor="text1"/>
          <w:lang w:val="en-US"/>
        </w:rPr>
        <w:t>,</w:t>
      </w:r>
      <w:r w:rsidRPr="00FB53C7">
        <w:rPr>
          <w:color w:val="000000" w:themeColor="text1"/>
          <w:lang w:val="en-US"/>
        </w:rPr>
        <w:t xml:space="preserve"> reflect a fixed policy applied to new stochastic realizations, not online learning.</w:t>
      </w:r>
    </w:p>
    <w:p w14:paraId="6BD742B6" w14:textId="77777777" w:rsidR="00FB53C7" w:rsidRDefault="006F7FCD" w:rsidP="00FB53C7">
      <w:pPr>
        <w:pStyle w:val="text-base"/>
        <w:spacing w:after="0" w:afterAutospacing="0"/>
        <w:jc w:val="both"/>
        <w:rPr>
          <w:color w:val="000000" w:themeColor="text1"/>
          <w:lang w:val="en-US"/>
        </w:rPr>
      </w:pPr>
      <w:r w:rsidRPr="001014EC">
        <w:rPr>
          <w:color w:val="000000" w:themeColor="text1"/>
          <w:lang w:val="en-US"/>
        </w:rPr>
        <w:t>The state vector S_t comprises four dimensions: current on-hand inventory (I_t), forecasted mean demand (mu_t), pipeline inventory (P_t), and expected lead time (L_t). The agent selects an action from a bounded discrete set that adjusts an internal order-up-to target; the simulator maps this adjustment to an order quantity q_t subject to non-negativity and inventory balance constraints.</w:t>
      </w:r>
    </w:p>
    <w:p w14:paraId="3C27298B" w14:textId="77777777" w:rsidR="006F7FCD" w:rsidRPr="001014EC" w:rsidRDefault="006F7FCD" w:rsidP="00FB53C7">
      <w:pPr>
        <w:pStyle w:val="text-base"/>
        <w:spacing w:after="0" w:afterAutospacing="0"/>
        <w:jc w:val="both"/>
        <w:rPr>
          <w:color w:val="000000" w:themeColor="text1"/>
          <w:lang w:val="en-US"/>
        </w:rPr>
      </w:pPr>
      <w:r w:rsidRPr="00A25014">
        <w:rPr>
          <w:lang w:val="en-US"/>
        </w:rPr>
        <w:t>We fix random number generator seeds to support reproducibility across the Monte Carlo replications (NumPy seed = 42, TensorFlow seed = 42, training seed = 2024). This configuration aims to keep the learned policy stable across replications and to make training behavior traceable in audit artifacts. Figure E1 summarizes episode-to-episode variation within the training run used to generate the evaluated policy; it does not summarize variation across multiple random initializations.</w:t>
      </w:r>
    </w:p>
    <w:p w14:paraId="457182DA" w14:textId="692E01F1" w:rsidR="006F7FCD" w:rsidRPr="001014EC" w:rsidRDefault="006F7FCD" w:rsidP="006F7FCD">
      <w:pPr>
        <w:pStyle w:val="text-base"/>
        <w:jc w:val="both"/>
        <w:rPr>
          <w:color w:val="000000" w:themeColor="text1"/>
          <w:lang w:val="en-US"/>
        </w:rPr>
      </w:pPr>
      <w:r w:rsidRPr="00A25014">
        <w:rPr>
          <w:lang w:val="en-US"/>
        </w:rPr>
        <w:t xml:space="preserve">Measured convergence time (400±50 episodes) aligns with published Double Q-learning benchmarks in supply chain applications </w:t>
      </w:r>
      <w:r w:rsidR="009B20C1">
        <w:rPr>
          <w:lang w:val="en-US"/>
        </w:rPr>
        <w:fldChar w:fldCharType="begin"/>
      </w:r>
      <w:r w:rsidR="009B20C1">
        <w:rPr>
          <w:lang w:val="en-US"/>
        </w:rPr>
        <w:instrText xml:space="preserve"> ADDIN ZOTERO_ITEM CSL_CITATION {"citationID":"QhZeXBei","properties":{"formattedCitation":"(Stranieri et al., 2024)","plainCitation":"(Stranieri et al., 2024)","noteIndex":0},"citationItems":[{"id":3483,"uris":["http://zotero.org/users/12903205/items/EGMTTSVU"],"itemData":{"id":3483,"type":"article-journal","container-title":"International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schema":"https://github.com/citation-style-language/schema/raw/master/csl-citation.json"} </w:instrText>
      </w:r>
      <w:r w:rsidR="009B20C1">
        <w:rPr>
          <w:lang w:val="en-US"/>
        </w:rPr>
        <w:fldChar w:fldCharType="separate"/>
      </w:r>
      <w:r w:rsidR="009B20C1" w:rsidRPr="009B20C1">
        <w:rPr>
          <w:lang w:val="en-US"/>
        </w:rPr>
        <w:t>(Stranieri et al., 2024)</w:t>
      </w:r>
      <w:r w:rsidR="009B20C1">
        <w:rPr>
          <w:lang w:val="en-US"/>
        </w:rPr>
        <w:fldChar w:fldCharType="end"/>
      </w:r>
      <w:r w:rsidRPr="00A25014">
        <w:rPr>
          <w:lang w:val="en-US"/>
        </w:rPr>
        <w:t>.</w:t>
      </w:r>
    </w:p>
    <w:p w14:paraId="2EB5B85E" w14:textId="77777777" w:rsidR="006F7FCD" w:rsidRDefault="006F7FCD" w:rsidP="006F7FCD">
      <w:pPr>
        <w:pStyle w:val="text-base"/>
        <w:jc w:val="both"/>
        <w:rPr>
          <w:color w:val="000000" w:themeColor="text1"/>
          <w:lang w:val="en-US"/>
        </w:rPr>
      </w:pPr>
      <w:r w:rsidRPr="00653ACC">
        <w:rPr>
          <w:lang w:val="en-US"/>
        </w:rPr>
        <w:t>Training diagnostics indicate that episode costs decrease early in training and then stabilize under the monitored convergence criterion (Figure E1).</w:t>
      </w:r>
    </w:p>
    <w:p w14:paraId="0C6EB974" w14:textId="77777777" w:rsidR="0047501B" w:rsidRDefault="00000000">
      <w:pPr>
        <w:pStyle w:val="Ttulo3"/>
      </w:pPr>
      <w:r>
        <w:t>C.4 Deployment threshold diagnostics (volatility and volume)</w:t>
      </w:r>
    </w:p>
    <w:p w14:paraId="0ECD5FAD" w14:textId="77777777" w:rsidR="0047501B" w:rsidRPr="00A25014" w:rsidRDefault="00000000" w:rsidP="00FB53C7">
      <w:pPr>
        <w:pStyle w:val="text-base"/>
        <w:jc w:val="both"/>
        <w:rPr>
          <w:lang w:val="en-US"/>
        </w:rPr>
      </w:pPr>
      <w:r w:rsidRPr="00F34B55">
        <w:rPr>
          <w:lang w:val="en-US"/>
        </w:rPr>
        <w:t>We compute volatility as the coefficient of variation (CV) of daily demand at the SKU-facility level. This diagnostic operates on a panel of 50 disaggregated SKU-facility series selected for the deployment-threshold check; aggregation into the SKU-equivalent simulator inputs (Section 3.5) yields lower CV values. We compute facility scale as daily line volume, defined as the number of SKU lines with positive demand per facility-day. We estimate distributional summaries with nonparametric bootstrap 95% confidence intervals across series for CV (n = 50) and across facility-days for volume (n = 1,095). The median CV equals 1.855 (95% CI [1.776, 1.937]) and the 75th percentile equals 2.009 (95% CI [1.927, 2.168]). All series satisfy CV &gt;= 0.40 in this diagnostic panel. Daily line volume has a median of 4.0 (95% CI [4.0, 4.0]) and a 90th percentile of 22.0 (95% CI [21.0, 22.0]). No facility-day in this dataset reaches 500 lines/day. This result indicates that the volume gate requires calibration to the operational aggregation used in deployment decisions (facility-level order lines, network-level order lines, or procurement batches).</w:t>
      </w:r>
    </w:p>
    <w:p w14:paraId="77DC1CBA" w14:textId="77777777" w:rsidR="00FB53C7" w:rsidRPr="00033B67" w:rsidRDefault="00FB53C7" w:rsidP="00FB53C7">
      <w:pPr>
        <w:pStyle w:val="Corpodetexto"/>
        <w:spacing w:before="100" w:beforeAutospacing="1" w:after="120" w:line="286" w:lineRule="auto"/>
        <w:ind w:left="288" w:right="14" w:hanging="72"/>
        <w:jc w:val="center"/>
        <w:rPr>
          <w:rFonts w:ascii="Times New Roman" w:eastAsia="Times New Roman" w:hAnsi="Times New Roman" w:cs="Times New Roman"/>
          <w:b/>
          <w:bCs/>
          <w:color w:val="000000" w:themeColor="text1"/>
          <w:sz w:val="22"/>
          <w:szCs w:val="22"/>
          <w:lang w:eastAsia="pt-BR"/>
        </w:rPr>
      </w:pPr>
      <w:r w:rsidRPr="00033B67">
        <w:rPr>
          <w:rFonts w:ascii="Times New Roman" w:eastAsia="Times New Roman" w:hAnsi="Times New Roman" w:cs="Times New Roman"/>
          <w:b/>
          <w:bCs/>
          <w:color w:val="000000" w:themeColor="text1"/>
          <w:sz w:val="22"/>
          <w:szCs w:val="22"/>
          <w:lang w:eastAsia="pt-BR"/>
        </w:rPr>
        <w:t>Table C4.1 - Diagnostic summaries for deployment gates.</w:t>
      </w:r>
    </w:p>
    <w:tbl>
      <w:tblPr>
        <w:tblStyle w:val="Tabelacomgrade"/>
        <w:tblW w:w="0" w:type="auto"/>
        <w:jc w:val="center"/>
        <w:tblLook w:val="04A0" w:firstRow="1" w:lastRow="0" w:firstColumn="1" w:lastColumn="0" w:noHBand="0" w:noVBand="1"/>
      </w:tblPr>
      <w:tblGrid>
        <w:gridCol w:w="2830"/>
        <w:gridCol w:w="1068"/>
        <w:gridCol w:w="1342"/>
        <w:gridCol w:w="709"/>
        <w:gridCol w:w="1276"/>
      </w:tblGrid>
      <w:tr w:rsidR="00FB53C7" w14:paraId="79448C7E" w14:textId="77777777" w:rsidTr="00115971">
        <w:trPr>
          <w:jc w:val="center"/>
        </w:trPr>
        <w:tc>
          <w:tcPr>
            <w:tcW w:w="2830" w:type="dxa"/>
          </w:tcPr>
          <w:p w14:paraId="52470434" w14:textId="77777777" w:rsidR="00FB53C7" w:rsidRPr="00033B67" w:rsidRDefault="00FB53C7" w:rsidP="00115971">
            <w:pPr>
              <w:rPr>
                <w:rFonts w:ascii="Times New Roman" w:hAnsi="Times New Roman" w:cs="Times New Roman"/>
                <w:b/>
                <w:bCs/>
                <w:sz w:val="18"/>
                <w:szCs w:val="18"/>
              </w:rPr>
            </w:pPr>
            <w:r w:rsidRPr="00033B67">
              <w:rPr>
                <w:rFonts w:ascii="Times New Roman" w:hAnsi="Times New Roman" w:cs="Times New Roman"/>
                <w:b/>
                <w:bCs/>
                <w:sz w:val="18"/>
                <w:szCs w:val="18"/>
              </w:rPr>
              <w:t>Metric</w:t>
            </w:r>
          </w:p>
        </w:tc>
        <w:tc>
          <w:tcPr>
            <w:tcW w:w="1068" w:type="dxa"/>
          </w:tcPr>
          <w:p w14:paraId="097929D1" w14:textId="77777777" w:rsidR="00FB53C7" w:rsidRPr="00033B67" w:rsidRDefault="00FB53C7" w:rsidP="00115971">
            <w:pPr>
              <w:jc w:val="center"/>
              <w:rPr>
                <w:rFonts w:ascii="Times New Roman" w:hAnsi="Times New Roman" w:cs="Times New Roman"/>
                <w:b/>
                <w:bCs/>
                <w:sz w:val="18"/>
                <w:szCs w:val="18"/>
              </w:rPr>
            </w:pPr>
            <w:r w:rsidRPr="00033B67">
              <w:rPr>
                <w:rFonts w:ascii="Times New Roman" w:hAnsi="Times New Roman" w:cs="Times New Roman"/>
                <w:b/>
                <w:bCs/>
                <w:sz w:val="18"/>
                <w:szCs w:val="18"/>
              </w:rPr>
              <w:t>Estimate</w:t>
            </w:r>
          </w:p>
        </w:tc>
        <w:tc>
          <w:tcPr>
            <w:tcW w:w="1342" w:type="dxa"/>
          </w:tcPr>
          <w:p w14:paraId="0845F21F" w14:textId="77777777" w:rsidR="00FB53C7" w:rsidRPr="00033B67" w:rsidRDefault="00FB53C7" w:rsidP="00115971">
            <w:pPr>
              <w:jc w:val="center"/>
              <w:rPr>
                <w:rFonts w:ascii="Times New Roman" w:hAnsi="Times New Roman" w:cs="Times New Roman"/>
                <w:b/>
                <w:bCs/>
                <w:sz w:val="18"/>
                <w:szCs w:val="18"/>
              </w:rPr>
            </w:pPr>
            <w:r w:rsidRPr="00033B67">
              <w:rPr>
                <w:rFonts w:ascii="Times New Roman" w:hAnsi="Times New Roman" w:cs="Times New Roman"/>
                <w:b/>
                <w:bCs/>
                <w:sz w:val="18"/>
                <w:szCs w:val="18"/>
              </w:rPr>
              <w:t>95% CI</w:t>
            </w:r>
          </w:p>
        </w:tc>
        <w:tc>
          <w:tcPr>
            <w:tcW w:w="709" w:type="dxa"/>
          </w:tcPr>
          <w:p w14:paraId="7E6655C4" w14:textId="77777777" w:rsidR="00FB53C7" w:rsidRPr="00033B67" w:rsidRDefault="00FB53C7" w:rsidP="00115971">
            <w:pPr>
              <w:jc w:val="center"/>
              <w:rPr>
                <w:rFonts w:ascii="Times New Roman" w:hAnsi="Times New Roman" w:cs="Times New Roman"/>
                <w:b/>
                <w:bCs/>
                <w:sz w:val="18"/>
                <w:szCs w:val="18"/>
              </w:rPr>
            </w:pPr>
            <w:r w:rsidRPr="00033B67">
              <w:rPr>
                <w:rFonts w:ascii="Times New Roman" w:hAnsi="Times New Roman" w:cs="Times New Roman"/>
                <w:b/>
                <w:bCs/>
                <w:sz w:val="18"/>
                <w:szCs w:val="18"/>
              </w:rPr>
              <w:t>n</w:t>
            </w:r>
          </w:p>
        </w:tc>
        <w:tc>
          <w:tcPr>
            <w:tcW w:w="1276" w:type="dxa"/>
          </w:tcPr>
          <w:p w14:paraId="36F53D7C" w14:textId="77777777" w:rsidR="00FB53C7" w:rsidRPr="00033B67" w:rsidRDefault="00FB53C7" w:rsidP="00115971">
            <w:pPr>
              <w:jc w:val="center"/>
              <w:rPr>
                <w:rFonts w:ascii="Times New Roman" w:hAnsi="Times New Roman" w:cs="Times New Roman"/>
                <w:b/>
                <w:bCs/>
                <w:sz w:val="18"/>
                <w:szCs w:val="18"/>
              </w:rPr>
            </w:pPr>
            <w:r w:rsidRPr="00033B67">
              <w:rPr>
                <w:rFonts w:ascii="Times New Roman" w:hAnsi="Times New Roman" w:cs="Times New Roman"/>
                <w:b/>
                <w:bCs/>
                <w:sz w:val="18"/>
                <w:szCs w:val="18"/>
              </w:rPr>
              <w:t>Cutoff</w:t>
            </w:r>
            <w:r w:rsidR="00136957">
              <w:rPr>
                <w:rFonts w:ascii="Times New Roman" w:hAnsi="Times New Roman" w:cs="Times New Roman"/>
                <w:b/>
                <w:bCs/>
                <w:sz w:val="18"/>
                <w:szCs w:val="18"/>
              </w:rPr>
              <w:t>/</w:t>
            </w:r>
            <w:r w:rsidRPr="00033B67">
              <w:rPr>
                <w:rFonts w:ascii="Times New Roman" w:hAnsi="Times New Roman" w:cs="Times New Roman"/>
                <w:b/>
                <w:bCs/>
                <w:sz w:val="18"/>
                <w:szCs w:val="18"/>
              </w:rPr>
              <w:t>note</w:t>
            </w:r>
          </w:p>
        </w:tc>
      </w:tr>
      <w:tr w:rsidR="00FB53C7" w14:paraId="6159B874" w14:textId="77777777" w:rsidTr="00115971">
        <w:trPr>
          <w:jc w:val="center"/>
        </w:trPr>
        <w:tc>
          <w:tcPr>
            <w:tcW w:w="2830" w:type="dxa"/>
          </w:tcPr>
          <w:p w14:paraId="55CEC4CB" w14:textId="77777777" w:rsidR="00FB53C7" w:rsidRPr="00033B67" w:rsidRDefault="00FB53C7" w:rsidP="00115971">
            <w:pPr>
              <w:rPr>
                <w:rFonts w:ascii="Times New Roman" w:hAnsi="Times New Roman" w:cs="Times New Roman"/>
                <w:sz w:val="18"/>
                <w:szCs w:val="18"/>
              </w:rPr>
            </w:pPr>
            <w:r w:rsidRPr="00033B67">
              <w:rPr>
                <w:rFonts w:ascii="Times New Roman" w:hAnsi="Times New Roman" w:cs="Times New Roman"/>
                <w:sz w:val="18"/>
                <w:szCs w:val="18"/>
              </w:rPr>
              <w:t>CV median</w:t>
            </w:r>
          </w:p>
        </w:tc>
        <w:tc>
          <w:tcPr>
            <w:tcW w:w="1068" w:type="dxa"/>
          </w:tcPr>
          <w:p w14:paraId="786085DF"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1.855</w:t>
            </w:r>
          </w:p>
        </w:tc>
        <w:tc>
          <w:tcPr>
            <w:tcW w:w="1342" w:type="dxa"/>
          </w:tcPr>
          <w:p w14:paraId="29FCABF5"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[1.776, 1.937]</w:t>
            </w:r>
          </w:p>
        </w:tc>
        <w:tc>
          <w:tcPr>
            <w:tcW w:w="709" w:type="dxa"/>
          </w:tcPr>
          <w:p w14:paraId="5D5D97DD"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50</w:t>
            </w:r>
          </w:p>
        </w:tc>
        <w:tc>
          <w:tcPr>
            <w:tcW w:w="1276" w:type="dxa"/>
          </w:tcPr>
          <w:p w14:paraId="6A97EC86" w14:textId="77777777" w:rsidR="00FB53C7" w:rsidRPr="00033B67" w:rsidRDefault="00FB53C7" w:rsidP="00115971">
            <w:pPr>
              <w:jc w:val="center"/>
              <w:rPr>
                <w:rFonts w:ascii="Times New Roman" w:hAnsi="Times New Roman" w:cs="Times New Roman"/>
                <w:sz w:val="18"/>
                <w:szCs w:val="18"/>
              </w:rPr>
            </w:pPr>
          </w:p>
        </w:tc>
      </w:tr>
      <w:tr w:rsidR="00FB53C7" w14:paraId="08503BD6" w14:textId="77777777" w:rsidTr="00115971">
        <w:trPr>
          <w:jc w:val="center"/>
        </w:trPr>
        <w:tc>
          <w:tcPr>
            <w:tcW w:w="2830" w:type="dxa"/>
          </w:tcPr>
          <w:p w14:paraId="4A0629EF" w14:textId="77777777" w:rsidR="00FB53C7" w:rsidRPr="00033B67" w:rsidRDefault="00FB53C7" w:rsidP="00115971">
            <w:pPr>
              <w:rPr>
                <w:rFonts w:ascii="Times New Roman" w:hAnsi="Times New Roman" w:cs="Times New Roman"/>
                <w:sz w:val="18"/>
                <w:szCs w:val="18"/>
              </w:rPr>
            </w:pPr>
            <w:r w:rsidRPr="00033B67">
              <w:rPr>
                <w:rFonts w:ascii="Times New Roman" w:hAnsi="Times New Roman" w:cs="Times New Roman"/>
                <w:sz w:val="18"/>
                <w:szCs w:val="18"/>
              </w:rPr>
              <w:t>CV 75th percentile</w:t>
            </w:r>
          </w:p>
        </w:tc>
        <w:tc>
          <w:tcPr>
            <w:tcW w:w="1068" w:type="dxa"/>
          </w:tcPr>
          <w:p w14:paraId="69838FF6"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2.009</w:t>
            </w:r>
          </w:p>
        </w:tc>
        <w:tc>
          <w:tcPr>
            <w:tcW w:w="1342" w:type="dxa"/>
          </w:tcPr>
          <w:p w14:paraId="7736BDE9"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[1.927, 2.168]</w:t>
            </w:r>
          </w:p>
        </w:tc>
        <w:tc>
          <w:tcPr>
            <w:tcW w:w="709" w:type="dxa"/>
          </w:tcPr>
          <w:p w14:paraId="0A2082EB"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50</w:t>
            </w:r>
          </w:p>
        </w:tc>
        <w:tc>
          <w:tcPr>
            <w:tcW w:w="1276" w:type="dxa"/>
          </w:tcPr>
          <w:p w14:paraId="1C4B1ACF" w14:textId="77777777" w:rsidR="00FB53C7" w:rsidRPr="00033B67" w:rsidRDefault="00FB53C7" w:rsidP="00115971">
            <w:pPr>
              <w:jc w:val="center"/>
              <w:rPr>
                <w:rFonts w:ascii="Times New Roman" w:hAnsi="Times New Roman" w:cs="Times New Roman"/>
                <w:sz w:val="18"/>
                <w:szCs w:val="18"/>
              </w:rPr>
            </w:pPr>
          </w:p>
        </w:tc>
      </w:tr>
      <w:tr w:rsidR="00FB53C7" w14:paraId="3FC4A696" w14:textId="77777777" w:rsidTr="00115971">
        <w:trPr>
          <w:jc w:val="center"/>
        </w:trPr>
        <w:tc>
          <w:tcPr>
            <w:tcW w:w="2830" w:type="dxa"/>
          </w:tcPr>
          <w:p w14:paraId="091442E8" w14:textId="77777777" w:rsidR="00FB53C7" w:rsidRPr="00033B67" w:rsidRDefault="00FB53C7" w:rsidP="00115971">
            <w:pPr>
              <w:rPr>
                <w:rFonts w:ascii="Times New Roman" w:hAnsi="Times New Roman" w:cs="Times New Roman"/>
                <w:sz w:val="18"/>
                <w:szCs w:val="18"/>
              </w:rPr>
            </w:pPr>
            <w:r w:rsidRPr="00033B67">
              <w:rPr>
                <w:rFonts w:ascii="Times New Roman" w:hAnsi="Times New Roman" w:cs="Times New Roman"/>
                <w:sz w:val="18"/>
                <w:szCs w:val="18"/>
              </w:rPr>
              <w:t>Share(CV &gt;= 0.40)</w:t>
            </w:r>
          </w:p>
        </w:tc>
        <w:tc>
          <w:tcPr>
            <w:tcW w:w="1068" w:type="dxa"/>
          </w:tcPr>
          <w:p w14:paraId="695780AA"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100.0%</w:t>
            </w:r>
          </w:p>
        </w:tc>
        <w:tc>
          <w:tcPr>
            <w:tcW w:w="1342" w:type="dxa"/>
          </w:tcPr>
          <w:p w14:paraId="5CEFF769" w14:textId="77777777" w:rsidR="00FB53C7" w:rsidRPr="00033B67" w:rsidRDefault="00FB53C7" w:rsidP="00115971">
            <w:pPr>
              <w:jc w:val="center"/>
              <w:rPr>
                <w:rFonts w:ascii="Times New Roman" w:hAnsi="Times New Roman" w:cs="Times New Roman"/>
                <w:sz w:val="18"/>
                <w:szCs w:val="18"/>
              </w:rPr>
            </w:pPr>
          </w:p>
        </w:tc>
        <w:tc>
          <w:tcPr>
            <w:tcW w:w="709" w:type="dxa"/>
          </w:tcPr>
          <w:p w14:paraId="7CF3686F"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50</w:t>
            </w:r>
          </w:p>
        </w:tc>
        <w:tc>
          <w:tcPr>
            <w:tcW w:w="1276" w:type="dxa"/>
          </w:tcPr>
          <w:p w14:paraId="20FA5CBE"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cutoff = 0.40</w:t>
            </w:r>
          </w:p>
        </w:tc>
      </w:tr>
      <w:tr w:rsidR="00FB53C7" w14:paraId="42F75A10" w14:textId="77777777" w:rsidTr="00115971">
        <w:trPr>
          <w:jc w:val="center"/>
        </w:trPr>
        <w:tc>
          <w:tcPr>
            <w:tcW w:w="2830" w:type="dxa"/>
          </w:tcPr>
          <w:p w14:paraId="76379FDB" w14:textId="77777777" w:rsidR="00FB53C7" w:rsidRPr="00033B67" w:rsidRDefault="00FB53C7" w:rsidP="00115971">
            <w:pPr>
              <w:rPr>
                <w:rFonts w:ascii="Times New Roman" w:hAnsi="Times New Roman" w:cs="Times New Roman"/>
                <w:sz w:val="18"/>
                <w:szCs w:val="18"/>
              </w:rPr>
            </w:pPr>
            <w:r w:rsidRPr="00033B67">
              <w:rPr>
                <w:rFonts w:ascii="Times New Roman" w:hAnsi="Times New Roman" w:cs="Times New Roman"/>
                <w:sz w:val="18"/>
                <w:szCs w:val="18"/>
              </w:rPr>
              <w:t>Daily line volume median</w:t>
            </w:r>
          </w:p>
        </w:tc>
        <w:tc>
          <w:tcPr>
            <w:tcW w:w="1068" w:type="dxa"/>
          </w:tcPr>
          <w:p w14:paraId="4EFC8CD1"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4.0</w:t>
            </w:r>
          </w:p>
        </w:tc>
        <w:tc>
          <w:tcPr>
            <w:tcW w:w="1342" w:type="dxa"/>
          </w:tcPr>
          <w:p w14:paraId="49B31C4B"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[4.0, 4.0]</w:t>
            </w:r>
          </w:p>
        </w:tc>
        <w:tc>
          <w:tcPr>
            <w:tcW w:w="709" w:type="dxa"/>
          </w:tcPr>
          <w:p w14:paraId="77515870"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1095</w:t>
            </w:r>
          </w:p>
        </w:tc>
        <w:tc>
          <w:tcPr>
            <w:tcW w:w="1276" w:type="dxa"/>
          </w:tcPr>
          <w:p w14:paraId="06BAAFCF" w14:textId="77777777" w:rsidR="00FB53C7" w:rsidRPr="00033B67" w:rsidRDefault="00FB53C7" w:rsidP="00115971">
            <w:pPr>
              <w:jc w:val="center"/>
              <w:rPr>
                <w:rFonts w:ascii="Times New Roman" w:hAnsi="Times New Roman" w:cs="Times New Roman"/>
                <w:sz w:val="18"/>
                <w:szCs w:val="18"/>
              </w:rPr>
            </w:pPr>
          </w:p>
        </w:tc>
      </w:tr>
      <w:tr w:rsidR="00FB53C7" w14:paraId="1FE719CC" w14:textId="77777777" w:rsidTr="00115971">
        <w:trPr>
          <w:jc w:val="center"/>
        </w:trPr>
        <w:tc>
          <w:tcPr>
            <w:tcW w:w="2830" w:type="dxa"/>
          </w:tcPr>
          <w:p w14:paraId="2646E4B1" w14:textId="77777777" w:rsidR="00FB53C7" w:rsidRPr="00033B67" w:rsidRDefault="00FB53C7" w:rsidP="00115971">
            <w:pPr>
              <w:rPr>
                <w:rFonts w:ascii="Times New Roman" w:hAnsi="Times New Roman" w:cs="Times New Roman"/>
                <w:sz w:val="18"/>
                <w:szCs w:val="18"/>
              </w:rPr>
            </w:pPr>
            <w:r w:rsidRPr="00033B67">
              <w:rPr>
                <w:rFonts w:ascii="Times New Roman" w:hAnsi="Times New Roman" w:cs="Times New Roman"/>
                <w:sz w:val="18"/>
                <w:szCs w:val="18"/>
              </w:rPr>
              <w:lastRenderedPageBreak/>
              <w:t>Daily line volume 90th percentile</w:t>
            </w:r>
          </w:p>
        </w:tc>
        <w:tc>
          <w:tcPr>
            <w:tcW w:w="1068" w:type="dxa"/>
          </w:tcPr>
          <w:p w14:paraId="08C01BB8"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22.0</w:t>
            </w:r>
          </w:p>
        </w:tc>
        <w:tc>
          <w:tcPr>
            <w:tcW w:w="1342" w:type="dxa"/>
          </w:tcPr>
          <w:p w14:paraId="4CF404E9"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[21.0, 22.0]</w:t>
            </w:r>
          </w:p>
        </w:tc>
        <w:tc>
          <w:tcPr>
            <w:tcW w:w="709" w:type="dxa"/>
          </w:tcPr>
          <w:p w14:paraId="486D38C8"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1095</w:t>
            </w:r>
          </w:p>
        </w:tc>
        <w:tc>
          <w:tcPr>
            <w:tcW w:w="1276" w:type="dxa"/>
          </w:tcPr>
          <w:p w14:paraId="21283E34" w14:textId="77777777" w:rsidR="00FB53C7" w:rsidRPr="00033B67" w:rsidRDefault="00FB53C7" w:rsidP="00115971">
            <w:pPr>
              <w:jc w:val="center"/>
              <w:rPr>
                <w:rFonts w:ascii="Times New Roman" w:hAnsi="Times New Roman" w:cs="Times New Roman"/>
                <w:sz w:val="18"/>
                <w:szCs w:val="18"/>
              </w:rPr>
            </w:pPr>
          </w:p>
        </w:tc>
      </w:tr>
      <w:tr w:rsidR="00FB53C7" w14:paraId="2E3FD1CE" w14:textId="77777777" w:rsidTr="00115971">
        <w:trPr>
          <w:jc w:val="center"/>
        </w:trPr>
        <w:tc>
          <w:tcPr>
            <w:tcW w:w="2830" w:type="dxa"/>
          </w:tcPr>
          <w:p w14:paraId="7FD576D4" w14:textId="77777777" w:rsidR="00FB53C7" w:rsidRPr="00033B67" w:rsidRDefault="00FB53C7" w:rsidP="00115971">
            <w:pPr>
              <w:rPr>
                <w:rFonts w:ascii="Times New Roman" w:hAnsi="Times New Roman" w:cs="Times New Roman"/>
                <w:sz w:val="18"/>
                <w:szCs w:val="18"/>
              </w:rPr>
            </w:pPr>
            <w:r w:rsidRPr="00033B67">
              <w:rPr>
                <w:rFonts w:ascii="Times New Roman" w:hAnsi="Times New Roman" w:cs="Times New Roman"/>
                <w:sz w:val="18"/>
                <w:szCs w:val="18"/>
              </w:rPr>
              <w:t>Share(volume &gt;= 500)</w:t>
            </w:r>
          </w:p>
        </w:tc>
        <w:tc>
          <w:tcPr>
            <w:tcW w:w="1068" w:type="dxa"/>
          </w:tcPr>
          <w:p w14:paraId="3B3CAD69"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0.0%</w:t>
            </w:r>
          </w:p>
        </w:tc>
        <w:tc>
          <w:tcPr>
            <w:tcW w:w="1342" w:type="dxa"/>
          </w:tcPr>
          <w:p w14:paraId="21D55B81" w14:textId="77777777" w:rsidR="00FB53C7" w:rsidRPr="00033B67" w:rsidRDefault="00FB53C7" w:rsidP="00115971">
            <w:pPr>
              <w:jc w:val="center"/>
              <w:rPr>
                <w:rFonts w:ascii="Times New Roman" w:hAnsi="Times New Roman" w:cs="Times New Roman"/>
                <w:sz w:val="18"/>
                <w:szCs w:val="18"/>
              </w:rPr>
            </w:pPr>
          </w:p>
        </w:tc>
        <w:tc>
          <w:tcPr>
            <w:tcW w:w="709" w:type="dxa"/>
          </w:tcPr>
          <w:p w14:paraId="11242CD9"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1095</w:t>
            </w:r>
          </w:p>
        </w:tc>
        <w:tc>
          <w:tcPr>
            <w:tcW w:w="1276" w:type="dxa"/>
          </w:tcPr>
          <w:p w14:paraId="33D93129" w14:textId="77777777" w:rsidR="00FB53C7" w:rsidRPr="00033B67" w:rsidRDefault="00FB53C7" w:rsidP="00115971">
            <w:pPr>
              <w:jc w:val="center"/>
              <w:rPr>
                <w:rFonts w:ascii="Times New Roman" w:hAnsi="Times New Roman" w:cs="Times New Roman"/>
                <w:sz w:val="18"/>
                <w:szCs w:val="18"/>
              </w:rPr>
            </w:pPr>
            <w:r w:rsidRPr="00033B67">
              <w:rPr>
                <w:rFonts w:ascii="Times New Roman" w:hAnsi="Times New Roman" w:cs="Times New Roman"/>
                <w:sz w:val="18"/>
                <w:szCs w:val="18"/>
              </w:rPr>
              <w:t>cutoff = 500</w:t>
            </w:r>
          </w:p>
        </w:tc>
      </w:tr>
    </w:tbl>
    <w:p w14:paraId="6160927E" w14:textId="77777777" w:rsidR="0047501B" w:rsidRDefault="00000000">
      <w:pPr>
        <w:pStyle w:val="Ttulo3"/>
      </w:pPr>
      <w:r>
        <w:t>C.5 Horizon truncation and long lead-time arrivals</w:t>
      </w:r>
    </w:p>
    <w:p w14:paraId="50E0D0A0" w14:textId="1485AF0D" w:rsidR="0047501B" w:rsidRPr="00A25014" w:rsidRDefault="00000000" w:rsidP="00C44EDA">
      <w:pPr>
        <w:pStyle w:val="text-base"/>
        <w:jc w:val="both"/>
        <w:rPr>
          <w:lang w:val="en-US"/>
        </w:rPr>
      </w:pPr>
      <w:r w:rsidRPr="00F34B55">
        <w:rPr>
          <w:lang w:val="en-US"/>
        </w:rPr>
        <w:t xml:space="preserve">The disruption scenario assigns lead times of 8–10 weeks. The evaluation horizons (T ∈ {90, 180} days) can place some arrivals near the end of the window, especially under T = 90. The simulator </w:t>
      </w:r>
      <w:r w:rsidR="002B74AA">
        <w:rPr>
          <w:lang w:val="en-US"/>
        </w:rPr>
        <w:t>tracks pipeline inventory through the arrival process; orders remaining in the pipeline at time T do not satisfy post-window demand and do not inflate th</w:t>
      </w:r>
      <w:r w:rsidRPr="00F34B55">
        <w:rPr>
          <w:lang w:val="en-US"/>
        </w:rPr>
        <w:t xml:space="preserve">e fill rate. The 90-day horizon supports within-quarter planning cycles in SUS settings, while the 180-day horizon </w:t>
      </w:r>
      <w:r w:rsidR="002B74AA">
        <w:rPr>
          <w:lang w:val="en-US"/>
        </w:rPr>
        <w:t>reveals longer lead times</w:t>
      </w:r>
      <w:r w:rsidRPr="00F34B55">
        <w:rPr>
          <w:lang w:val="en-US"/>
        </w:rPr>
        <w:t xml:space="preserve"> and persistence dynamics.</w:t>
      </w:r>
    </w:p>
    <w:p w14:paraId="5BB076B2" w14:textId="77777777" w:rsidR="0047501B" w:rsidRDefault="00000000">
      <w:pPr>
        <w:pStyle w:val="Ttulo3"/>
      </w:pPr>
      <w:r>
        <w:t>C.6 Short-history forecasting ablation</w:t>
      </w:r>
    </w:p>
    <w:p w14:paraId="1BC66C13" w14:textId="77777777" w:rsidR="0047501B" w:rsidRPr="00A25014" w:rsidRDefault="00000000" w:rsidP="00C44EDA">
      <w:pPr>
        <w:pStyle w:val="text-base"/>
        <w:jc w:val="both"/>
        <w:rPr>
          <w:lang w:val="en-US"/>
        </w:rPr>
      </w:pPr>
      <w:r w:rsidRPr="00653ACC">
        <w:rPr>
          <w:lang w:val="en-US"/>
        </w:rPr>
        <w:t xml:space="preserve">We evaluate three parsimonious forecasters using a rolling origin evaluation (min_train = 12, horizon = 7 days) on the empirical daily panel. The sampling procedure selects up to 300 SKU-facility series; 50 series satisfy the minimum length </w:t>
      </w:r>
      <w:r w:rsidR="00D508F7">
        <w:rPr>
          <w:lang w:val="en-US"/>
        </w:rPr>
        <w:t>requirement</w:t>
      </w:r>
      <w:r w:rsidRPr="00653ACC">
        <w:rPr>
          <w:lang w:val="en-US"/>
        </w:rPr>
        <w:t xml:space="preserve"> and enter the summary. Table C6.1 reports RMSE and sMAPE for SES, Holt, and Croston. This ablation provides a short-history benchmark for intermittent and volatile demand; Appendix F.1 reports separate diagnostics for the LSTM-RF ensemble used in the AI policy.</w:t>
      </w:r>
    </w:p>
    <w:p w14:paraId="262CCD7A" w14:textId="77777777" w:rsidR="00115EB9" w:rsidRPr="00033B67" w:rsidRDefault="00115EB9" w:rsidP="00115EB9">
      <w:pPr>
        <w:pStyle w:val="Corpodetexto"/>
        <w:spacing w:before="100" w:beforeAutospacing="1" w:after="120" w:line="286" w:lineRule="auto"/>
        <w:ind w:left="288" w:right="14" w:hanging="72"/>
        <w:jc w:val="center"/>
        <w:rPr>
          <w:rFonts w:ascii="Times New Roman" w:eastAsia="Times New Roman" w:hAnsi="Times New Roman" w:cs="Times New Roman"/>
          <w:b/>
          <w:bCs/>
          <w:color w:val="000000" w:themeColor="text1"/>
          <w:sz w:val="22"/>
          <w:szCs w:val="22"/>
          <w:lang w:eastAsia="pt-BR"/>
        </w:rPr>
      </w:pPr>
      <w:bookmarkStart w:id="2" w:name="_Hlk210656406"/>
      <w:r w:rsidRPr="00033B67">
        <w:rPr>
          <w:rFonts w:ascii="Times New Roman" w:eastAsia="Times New Roman" w:hAnsi="Times New Roman" w:cs="Times New Roman"/>
          <w:b/>
          <w:bCs/>
          <w:color w:val="000000" w:themeColor="text1"/>
          <w:sz w:val="22"/>
          <w:szCs w:val="22"/>
          <w:lang w:eastAsia="pt-BR"/>
        </w:rPr>
        <w:t>Table C6.1 - Forecasting ablation under short histories (rolling-origin evaluation).</w:t>
      </w:r>
    </w:p>
    <w:tbl>
      <w:tblPr>
        <w:tblStyle w:val="Tabelacomgrade"/>
        <w:tblW w:w="0" w:type="auto"/>
        <w:jc w:val="center"/>
        <w:tblLook w:val="04A0" w:firstRow="1" w:lastRow="0" w:firstColumn="1" w:lastColumn="0" w:noHBand="0" w:noVBand="1"/>
      </w:tblPr>
      <w:tblGrid>
        <w:gridCol w:w="1217"/>
        <w:gridCol w:w="1217"/>
        <w:gridCol w:w="1217"/>
        <w:gridCol w:w="1217"/>
        <w:gridCol w:w="1217"/>
        <w:gridCol w:w="1217"/>
        <w:gridCol w:w="1217"/>
        <w:gridCol w:w="1217"/>
      </w:tblGrid>
      <w:tr w:rsidR="00115EB9" w14:paraId="6D431471" w14:textId="77777777" w:rsidTr="00115971">
        <w:trPr>
          <w:jc w:val="center"/>
        </w:trPr>
        <w:tc>
          <w:tcPr>
            <w:tcW w:w="1218" w:type="dxa"/>
            <w:vAlign w:val="center"/>
          </w:tcPr>
          <w:p w14:paraId="1FD37A1E" w14:textId="77777777" w:rsidR="00115EB9" w:rsidRPr="00033B67" w:rsidRDefault="00115EB9" w:rsidP="00115971">
            <w:pPr>
              <w:rPr>
                <w:rFonts w:ascii="Times New Roman" w:hAnsi="Times New Roman" w:cs="Times New Roman"/>
                <w:b/>
                <w:bCs/>
                <w:sz w:val="18"/>
                <w:szCs w:val="18"/>
              </w:rPr>
            </w:pPr>
            <w:r w:rsidRPr="00033B67">
              <w:rPr>
                <w:rFonts w:ascii="Times New Roman" w:hAnsi="Times New Roman" w:cs="Times New Roman"/>
                <w:b/>
                <w:bCs/>
                <w:sz w:val="18"/>
                <w:szCs w:val="18"/>
              </w:rPr>
              <w:t>Method</w:t>
            </w:r>
          </w:p>
        </w:tc>
        <w:tc>
          <w:tcPr>
            <w:tcW w:w="1218" w:type="dxa"/>
            <w:vAlign w:val="center"/>
          </w:tcPr>
          <w:p w14:paraId="0F009E9A" w14:textId="77777777" w:rsidR="00115EB9" w:rsidRPr="00033B67" w:rsidRDefault="00115EB9" w:rsidP="00115971">
            <w:pPr>
              <w:rPr>
                <w:rFonts w:ascii="Times New Roman" w:hAnsi="Times New Roman" w:cs="Times New Roman"/>
                <w:b/>
                <w:bCs/>
                <w:sz w:val="18"/>
                <w:szCs w:val="18"/>
              </w:rPr>
            </w:pPr>
            <w:r w:rsidRPr="00033B67">
              <w:rPr>
                <w:rFonts w:ascii="Times New Roman" w:hAnsi="Times New Roman" w:cs="Times New Roman"/>
                <w:b/>
                <w:bCs/>
                <w:sz w:val="18"/>
                <w:szCs w:val="18"/>
              </w:rPr>
              <w:t>RMSE mean</w:t>
            </w:r>
          </w:p>
        </w:tc>
        <w:tc>
          <w:tcPr>
            <w:tcW w:w="1218" w:type="dxa"/>
            <w:vAlign w:val="center"/>
          </w:tcPr>
          <w:p w14:paraId="25D13B49" w14:textId="77777777" w:rsidR="00115EB9" w:rsidRPr="00033B67" w:rsidRDefault="00115EB9" w:rsidP="00115971">
            <w:pPr>
              <w:rPr>
                <w:rFonts w:ascii="Times New Roman" w:hAnsi="Times New Roman" w:cs="Times New Roman"/>
                <w:b/>
                <w:bCs/>
                <w:sz w:val="18"/>
                <w:szCs w:val="18"/>
              </w:rPr>
            </w:pPr>
            <w:r w:rsidRPr="00033B67">
              <w:rPr>
                <w:rFonts w:ascii="Times New Roman" w:hAnsi="Times New Roman" w:cs="Times New Roman"/>
                <w:b/>
                <w:bCs/>
                <w:sz w:val="18"/>
                <w:szCs w:val="18"/>
              </w:rPr>
              <w:t>RMSE SD</w:t>
            </w:r>
          </w:p>
        </w:tc>
        <w:tc>
          <w:tcPr>
            <w:tcW w:w="1218" w:type="dxa"/>
            <w:vAlign w:val="center"/>
          </w:tcPr>
          <w:p w14:paraId="66DC21FB" w14:textId="77777777" w:rsidR="00115EB9" w:rsidRPr="00033B67" w:rsidRDefault="00115EB9" w:rsidP="00115971">
            <w:pPr>
              <w:rPr>
                <w:rFonts w:ascii="Times New Roman" w:hAnsi="Times New Roman" w:cs="Times New Roman"/>
                <w:b/>
                <w:bCs/>
                <w:sz w:val="18"/>
                <w:szCs w:val="18"/>
              </w:rPr>
            </w:pPr>
            <w:r w:rsidRPr="00033B67">
              <w:rPr>
                <w:rFonts w:ascii="Times New Roman" w:hAnsi="Times New Roman" w:cs="Times New Roman"/>
                <w:b/>
                <w:bCs/>
                <w:sz w:val="18"/>
                <w:szCs w:val="18"/>
              </w:rPr>
              <w:t>RMSE median</w:t>
            </w:r>
          </w:p>
        </w:tc>
        <w:tc>
          <w:tcPr>
            <w:tcW w:w="1218" w:type="dxa"/>
            <w:vAlign w:val="center"/>
          </w:tcPr>
          <w:p w14:paraId="26107872" w14:textId="77777777" w:rsidR="00115EB9" w:rsidRPr="00033B67" w:rsidRDefault="00115EB9" w:rsidP="00115971">
            <w:pPr>
              <w:rPr>
                <w:rFonts w:ascii="Times New Roman" w:hAnsi="Times New Roman" w:cs="Times New Roman"/>
                <w:b/>
                <w:bCs/>
                <w:sz w:val="18"/>
                <w:szCs w:val="18"/>
              </w:rPr>
            </w:pPr>
            <w:r w:rsidRPr="00033B67">
              <w:rPr>
                <w:rFonts w:ascii="Times New Roman" w:hAnsi="Times New Roman" w:cs="Times New Roman"/>
                <w:b/>
                <w:bCs/>
                <w:sz w:val="18"/>
                <w:szCs w:val="18"/>
              </w:rPr>
              <w:t>sMAPE mean</w:t>
            </w:r>
          </w:p>
        </w:tc>
        <w:tc>
          <w:tcPr>
            <w:tcW w:w="1218" w:type="dxa"/>
            <w:vAlign w:val="center"/>
          </w:tcPr>
          <w:p w14:paraId="60E97438" w14:textId="77777777" w:rsidR="00115EB9" w:rsidRPr="00033B67" w:rsidRDefault="00115EB9" w:rsidP="00115971">
            <w:pPr>
              <w:rPr>
                <w:rFonts w:ascii="Times New Roman" w:hAnsi="Times New Roman" w:cs="Times New Roman"/>
                <w:b/>
                <w:bCs/>
                <w:sz w:val="18"/>
                <w:szCs w:val="18"/>
              </w:rPr>
            </w:pPr>
            <w:r w:rsidRPr="00033B67">
              <w:rPr>
                <w:rFonts w:ascii="Times New Roman" w:hAnsi="Times New Roman" w:cs="Times New Roman"/>
                <w:b/>
                <w:bCs/>
                <w:sz w:val="18"/>
                <w:szCs w:val="18"/>
              </w:rPr>
              <w:t>sMAPE SD</w:t>
            </w:r>
          </w:p>
        </w:tc>
        <w:tc>
          <w:tcPr>
            <w:tcW w:w="1218" w:type="dxa"/>
            <w:vAlign w:val="center"/>
          </w:tcPr>
          <w:p w14:paraId="771C7B21" w14:textId="77777777" w:rsidR="00115EB9" w:rsidRPr="00033B67" w:rsidRDefault="00115EB9" w:rsidP="00115971">
            <w:pPr>
              <w:rPr>
                <w:rFonts w:ascii="Times New Roman" w:hAnsi="Times New Roman" w:cs="Times New Roman"/>
                <w:b/>
                <w:bCs/>
                <w:sz w:val="18"/>
                <w:szCs w:val="18"/>
              </w:rPr>
            </w:pPr>
            <w:r w:rsidRPr="00033B67">
              <w:rPr>
                <w:rFonts w:ascii="Times New Roman" w:hAnsi="Times New Roman" w:cs="Times New Roman"/>
                <w:b/>
                <w:bCs/>
                <w:sz w:val="18"/>
                <w:szCs w:val="18"/>
              </w:rPr>
              <w:t>sMAPE median</w:t>
            </w:r>
          </w:p>
        </w:tc>
        <w:tc>
          <w:tcPr>
            <w:tcW w:w="1218" w:type="dxa"/>
            <w:vAlign w:val="center"/>
          </w:tcPr>
          <w:p w14:paraId="1AACABAF" w14:textId="77777777" w:rsidR="00115EB9" w:rsidRPr="00033B67" w:rsidRDefault="00115EB9" w:rsidP="00115971">
            <w:pPr>
              <w:rPr>
                <w:rFonts w:ascii="Times New Roman" w:hAnsi="Times New Roman" w:cs="Times New Roman"/>
                <w:b/>
                <w:bCs/>
                <w:sz w:val="18"/>
                <w:szCs w:val="18"/>
              </w:rPr>
            </w:pPr>
            <w:r w:rsidRPr="00033B67">
              <w:rPr>
                <w:rFonts w:ascii="Times New Roman" w:hAnsi="Times New Roman" w:cs="Times New Roman"/>
                <w:b/>
                <w:bCs/>
                <w:sz w:val="18"/>
                <w:szCs w:val="18"/>
              </w:rPr>
              <w:t>Series used</w:t>
            </w:r>
          </w:p>
        </w:tc>
      </w:tr>
      <w:tr w:rsidR="00115EB9" w14:paraId="7EE12801" w14:textId="77777777" w:rsidTr="00115971">
        <w:trPr>
          <w:jc w:val="center"/>
        </w:trPr>
        <w:tc>
          <w:tcPr>
            <w:tcW w:w="1218" w:type="dxa"/>
          </w:tcPr>
          <w:p w14:paraId="417411E9" w14:textId="77777777" w:rsidR="00115EB9" w:rsidRPr="00033B67" w:rsidRDefault="00115EB9" w:rsidP="00115971">
            <w:pPr>
              <w:rPr>
                <w:rFonts w:ascii="Times New Roman" w:hAnsi="Times New Roman" w:cs="Times New Roman"/>
                <w:sz w:val="18"/>
                <w:szCs w:val="18"/>
              </w:rPr>
            </w:pPr>
            <w:r w:rsidRPr="00033B67">
              <w:rPr>
                <w:rFonts w:ascii="Times New Roman" w:hAnsi="Times New Roman" w:cs="Times New Roman"/>
                <w:sz w:val="18"/>
                <w:szCs w:val="18"/>
              </w:rPr>
              <w:t>Croston</w:t>
            </w:r>
          </w:p>
        </w:tc>
        <w:tc>
          <w:tcPr>
            <w:tcW w:w="1218" w:type="dxa"/>
            <w:vAlign w:val="center"/>
          </w:tcPr>
          <w:p w14:paraId="1CDFEFFD"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45,256.0</w:t>
            </w:r>
          </w:p>
        </w:tc>
        <w:tc>
          <w:tcPr>
            <w:tcW w:w="1218" w:type="dxa"/>
            <w:vAlign w:val="center"/>
          </w:tcPr>
          <w:p w14:paraId="5606764E"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59,629.0</w:t>
            </w:r>
          </w:p>
        </w:tc>
        <w:tc>
          <w:tcPr>
            <w:tcW w:w="1218" w:type="dxa"/>
            <w:vAlign w:val="center"/>
          </w:tcPr>
          <w:p w14:paraId="50F56D6B"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15,127.3</w:t>
            </w:r>
          </w:p>
        </w:tc>
        <w:tc>
          <w:tcPr>
            <w:tcW w:w="1218" w:type="dxa"/>
            <w:vAlign w:val="center"/>
          </w:tcPr>
          <w:p w14:paraId="72738EF7"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137.8</w:t>
            </w:r>
          </w:p>
        </w:tc>
        <w:tc>
          <w:tcPr>
            <w:tcW w:w="1218" w:type="dxa"/>
            <w:vAlign w:val="center"/>
          </w:tcPr>
          <w:p w14:paraId="5640858D"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5.3</w:t>
            </w:r>
          </w:p>
        </w:tc>
        <w:tc>
          <w:tcPr>
            <w:tcW w:w="1218" w:type="dxa"/>
            <w:vAlign w:val="center"/>
          </w:tcPr>
          <w:p w14:paraId="04505AC0"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139.1</w:t>
            </w:r>
          </w:p>
        </w:tc>
        <w:tc>
          <w:tcPr>
            <w:tcW w:w="1218" w:type="dxa"/>
            <w:vAlign w:val="center"/>
          </w:tcPr>
          <w:p w14:paraId="19B63A24"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50</w:t>
            </w:r>
          </w:p>
        </w:tc>
      </w:tr>
      <w:tr w:rsidR="00115EB9" w14:paraId="6CC30396" w14:textId="77777777" w:rsidTr="00115971">
        <w:trPr>
          <w:jc w:val="center"/>
        </w:trPr>
        <w:tc>
          <w:tcPr>
            <w:tcW w:w="1218" w:type="dxa"/>
          </w:tcPr>
          <w:p w14:paraId="1EC89FA8" w14:textId="77777777" w:rsidR="00115EB9" w:rsidRPr="00033B67" w:rsidRDefault="00115EB9" w:rsidP="00115971">
            <w:pPr>
              <w:rPr>
                <w:rFonts w:ascii="Times New Roman" w:hAnsi="Times New Roman" w:cs="Times New Roman"/>
                <w:sz w:val="18"/>
                <w:szCs w:val="18"/>
              </w:rPr>
            </w:pPr>
            <w:r w:rsidRPr="00033B67">
              <w:rPr>
                <w:rFonts w:ascii="Times New Roman" w:hAnsi="Times New Roman" w:cs="Times New Roman"/>
                <w:sz w:val="18"/>
                <w:szCs w:val="18"/>
              </w:rPr>
              <w:t>Holt</w:t>
            </w:r>
          </w:p>
        </w:tc>
        <w:tc>
          <w:tcPr>
            <w:tcW w:w="1218" w:type="dxa"/>
            <w:vAlign w:val="center"/>
          </w:tcPr>
          <w:p w14:paraId="11A1BC16"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50,528.9</w:t>
            </w:r>
          </w:p>
        </w:tc>
        <w:tc>
          <w:tcPr>
            <w:tcW w:w="1218" w:type="dxa"/>
            <w:vAlign w:val="center"/>
          </w:tcPr>
          <w:p w14:paraId="04B9597C"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66,122.7</w:t>
            </w:r>
          </w:p>
        </w:tc>
        <w:tc>
          <w:tcPr>
            <w:tcW w:w="1218" w:type="dxa"/>
            <w:vAlign w:val="center"/>
          </w:tcPr>
          <w:p w14:paraId="55AA9415"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16,823.8</w:t>
            </w:r>
          </w:p>
        </w:tc>
        <w:tc>
          <w:tcPr>
            <w:tcW w:w="1218" w:type="dxa"/>
            <w:vAlign w:val="center"/>
          </w:tcPr>
          <w:p w14:paraId="0BFFBFA6"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152.8</w:t>
            </w:r>
          </w:p>
        </w:tc>
        <w:tc>
          <w:tcPr>
            <w:tcW w:w="1218" w:type="dxa"/>
            <w:vAlign w:val="center"/>
          </w:tcPr>
          <w:p w14:paraId="6D680ADC"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5.8</w:t>
            </w:r>
          </w:p>
        </w:tc>
        <w:tc>
          <w:tcPr>
            <w:tcW w:w="1218" w:type="dxa"/>
            <w:vAlign w:val="center"/>
          </w:tcPr>
          <w:p w14:paraId="4B7585AB"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153.6</w:t>
            </w:r>
          </w:p>
        </w:tc>
        <w:tc>
          <w:tcPr>
            <w:tcW w:w="1218" w:type="dxa"/>
            <w:vAlign w:val="center"/>
          </w:tcPr>
          <w:p w14:paraId="7695D2C0"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50</w:t>
            </w:r>
          </w:p>
        </w:tc>
      </w:tr>
      <w:tr w:rsidR="00115EB9" w14:paraId="7698940F" w14:textId="77777777" w:rsidTr="00115971">
        <w:trPr>
          <w:jc w:val="center"/>
        </w:trPr>
        <w:tc>
          <w:tcPr>
            <w:tcW w:w="1218" w:type="dxa"/>
          </w:tcPr>
          <w:p w14:paraId="106D8ACE" w14:textId="77777777" w:rsidR="00115EB9" w:rsidRPr="00033B67" w:rsidRDefault="00115EB9" w:rsidP="00115971">
            <w:pPr>
              <w:rPr>
                <w:rFonts w:ascii="Times New Roman" w:hAnsi="Times New Roman" w:cs="Times New Roman"/>
                <w:sz w:val="18"/>
                <w:szCs w:val="18"/>
              </w:rPr>
            </w:pPr>
            <w:r w:rsidRPr="00033B67">
              <w:rPr>
                <w:rFonts w:ascii="Times New Roman" w:hAnsi="Times New Roman" w:cs="Times New Roman"/>
                <w:sz w:val="18"/>
                <w:szCs w:val="18"/>
              </w:rPr>
              <w:t>SES</w:t>
            </w:r>
          </w:p>
        </w:tc>
        <w:tc>
          <w:tcPr>
            <w:tcW w:w="1218" w:type="dxa"/>
            <w:vAlign w:val="center"/>
          </w:tcPr>
          <w:p w14:paraId="5572B74F"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46,457.0</w:t>
            </w:r>
          </w:p>
        </w:tc>
        <w:tc>
          <w:tcPr>
            <w:tcW w:w="1218" w:type="dxa"/>
            <w:vAlign w:val="center"/>
          </w:tcPr>
          <w:p w14:paraId="2CEF2D90"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60,855.1</w:t>
            </w:r>
          </w:p>
        </w:tc>
        <w:tc>
          <w:tcPr>
            <w:tcW w:w="1218" w:type="dxa"/>
            <w:vAlign w:val="center"/>
          </w:tcPr>
          <w:p w14:paraId="6EB3BB4F"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15,448.4</w:t>
            </w:r>
          </w:p>
        </w:tc>
        <w:tc>
          <w:tcPr>
            <w:tcW w:w="1218" w:type="dxa"/>
            <w:vAlign w:val="center"/>
          </w:tcPr>
          <w:p w14:paraId="0025C947"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142.8</w:t>
            </w:r>
          </w:p>
        </w:tc>
        <w:tc>
          <w:tcPr>
            <w:tcW w:w="1218" w:type="dxa"/>
            <w:vAlign w:val="center"/>
          </w:tcPr>
          <w:p w14:paraId="44A75AC5"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5.1</w:t>
            </w:r>
          </w:p>
        </w:tc>
        <w:tc>
          <w:tcPr>
            <w:tcW w:w="1218" w:type="dxa"/>
            <w:vAlign w:val="center"/>
          </w:tcPr>
          <w:p w14:paraId="63521753"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143.4</w:t>
            </w:r>
          </w:p>
        </w:tc>
        <w:tc>
          <w:tcPr>
            <w:tcW w:w="1218" w:type="dxa"/>
            <w:vAlign w:val="center"/>
          </w:tcPr>
          <w:p w14:paraId="5F55B89F" w14:textId="77777777" w:rsidR="00115EB9" w:rsidRPr="00033B67" w:rsidRDefault="00115EB9" w:rsidP="00115971">
            <w:pPr>
              <w:jc w:val="center"/>
              <w:rPr>
                <w:rFonts w:ascii="Times New Roman" w:hAnsi="Times New Roman" w:cs="Times New Roman"/>
                <w:sz w:val="18"/>
                <w:szCs w:val="18"/>
              </w:rPr>
            </w:pPr>
            <w:r w:rsidRPr="00033B67">
              <w:rPr>
                <w:rFonts w:ascii="Times New Roman" w:hAnsi="Times New Roman" w:cs="Times New Roman"/>
                <w:sz w:val="18"/>
                <w:szCs w:val="18"/>
              </w:rPr>
              <w:t>50</w:t>
            </w:r>
          </w:p>
        </w:tc>
      </w:tr>
    </w:tbl>
    <w:p w14:paraId="5674FDA8" w14:textId="77777777" w:rsidR="00115EB9" w:rsidRPr="00033B67" w:rsidRDefault="00115EB9" w:rsidP="00115EB9">
      <w:pPr>
        <w:pStyle w:val="text-base"/>
        <w:jc w:val="both"/>
        <w:rPr>
          <w:lang w:val="en-US"/>
        </w:rPr>
      </w:pPr>
      <w:r w:rsidRPr="00033B67">
        <w:rPr>
          <w:lang w:val="en-US"/>
        </w:rPr>
        <w:t>Given the observed cost penalties and/or service degradation of the hybrid AI policy in most regimes, an implementation business case is not supported for the evaluated configuration. Any future feasibility analysis should be conditional on demonstrable improvements relative to the best classical baseline under the same service constraints.</w:t>
      </w:r>
    </w:p>
    <w:p w14:paraId="6133F9C2" w14:textId="77777777" w:rsidR="00115EB9" w:rsidRPr="00033B67" w:rsidRDefault="00115EB9" w:rsidP="00115EB9">
      <w:pPr>
        <w:pStyle w:val="text-base"/>
        <w:jc w:val="both"/>
        <w:rPr>
          <w:lang w:val="en-US"/>
        </w:rPr>
      </w:pPr>
      <w:r w:rsidRPr="00033B67">
        <w:rPr>
          <w:lang w:val="en-US"/>
        </w:rPr>
        <w:t>The following appendix includes all additional calculations and viability assessments referred to in the main text of the paper.</w:t>
      </w:r>
    </w:p>
    <w:p w14:paraId="22017E9D" w14:textId="77777777" w:rsidR="00747409" w:rsidRPr="00A70916" w:rsidRDefault="00747409" w:rsidP="00AB3735">
      <w:pPr>
        <w:pStyle w:val="Ttulo3"/>
        <w:rPr>
          <w:lang w:eastAsia="pt-BR"/>
        </w:rPr>
      </w:pPr>
      <w:r w:rsidRPr="00A70916">
        <w:rPr>
          <w:lang w:eastAsia="pt-BR"/>
        </w:rPr>
        <w:t xml:space="preserve">D.1 </w:t>
      </w:r>
      <w:r w:rsidR="00CE02F3" w:rsidRPr="00A70916">
        <w:rPr>
          <w:lang w:eastAsia="pt-BR"/>
        </w:rPr>
        <w:t xml:space="preserve">Sensitivity </w:t>
      </w:r>
      <w:r w:rsidRPr="00A70916">
        <w:rPr>
          <w:lang w:eastAsia="pt-BR"/>
        </w:rPr>
        <w:t>Checks</w:t>
      </w:r>
    </w:p>
    <w:p w14:paraId="2E631F88" w14:textId="77777777" w:rsidR="004F4E8A" w:rsidRPr="00AA0753" w:rsidRDefault="00000000" w:rsidP="00AA0753">
      <w:pPr>
        <w:pStyle w:val="text-base"/>
        <w:jc w:val="both"/>
        <w:rPr>
          <w:lang w:val="en-US"/>
        </w:rPr>
      </w:pPr>
      <w:r w:rsidRPr="00AA0753">
        <w:rPr>
          <w:lang w:val="en-US"/>
        </w:rPr>
        <w:t>We treat synthetic supply-side parameters as a source of uncertainty in absolute cost magnitudes. Sensitivity checks should therefore perturb key cost ratios (holding, ordering, stockout penalties) and lead-time distributions and re-estimate policy rankings under the same paired design. The current manuscript reports primary results under a single calibrated parameter set and frames broader robustness analysis as future work.</w:t>
      </w:r>
    </w:p>
    <w:bookmarkEnd w:id="2"/>
    <w:p w14:paraId="2BBD7DB9" w14:textId="77777777" w:rsidR="00747409" w:rsidRPr="00A70916" w:rsidRDefault="00747409" w:rsidP="00AB3735">
      <w:pPr>
        <w:pStyle w:val="Ttulo3"/>
        <w:rPr>
          <w:lang w:eastAsia="pt-BR"/>
        </w:rPr>
      </w:pPr>
      <w:r>
        <w:t>D.3 Cost Magnitude Justification</w:t>
      </w:r>
    </w:p>
    <w:p w14:paraId="1F8CE977" w14:textId="77777777" w:rsidR="00747409" w:rsidRPr="00A70916" w:rsidRDefault="00747409" w:rsidP="00E91127">
      <w:pPr>
        <w:pStyle w:val="text-base"/>
        <w:jc w:val="both"/>
        <w:rPr>
          <w:color w:val="000000" w:themeColor="text1"/>
          <w:lang w:val="en-US"/>
        </w:rPr>
      </w:pPr>
      <w:r w:rsidRPr="00A25014">
        <w:rPr>
          <w:lang w:val="en-US"/>
        </w:rPr>
        <w:t xml:space="preserve">We employed the Wilcoxon signed-rank test for non-parametric performance comparisons on paired replications enabled by common random numbers. We controlled the family-wise error rate at </w:t>
      </w:r>
      <w:r>
        <w:t>α</w:t>
      </w:r>
      <w:r w:rsidRPr="00A25014">
        <w:rPr>
          <w:lang w:val="en-US"/>
        </w:rPr>
        <w:t xml:space="preserve"> = 0.05 using Holm correction across pairwise policy contrasts within each scenario. We computed 95% bootstrap percentile confidence intervals using 1,000 resamples and report standardized mean differences (Cohen’s d) as a descriptive magnitude indicator.</w:t>
      </w:r>
    </w:p>
    <w:p w14:paraId="7BE54A1A" w14:textId="77777777" w:rsidR="00747409" w:rsidRPr="00A70916" w:rsidRDefault="00747409" w:rsidP="00B40008">
      <w:pPr>
        <w:pStyle w:val="Ttulo2"/>
      </w:pPr>
      <w:r w:rsidRPr="00A70916">
        <w:lastRenderedPageBreak/>
        <w:t>Appendix E: Statistical Methods &amp; Power</w:t>
      </w:r>
    </w:p>
    <w:p w14:paraId="2658B96A" w14:textId="77777777" w:rsidR="00493C6B" w:rsidRPr="00A70916" w:rsidRDefault="00493C6B" w:rsidP="00AB3735">
      <w:pPr>
        <w:pStyle w:val="Ttulo3"/>
        <w:rPr>
          <w:lang w:eastAsia="pt-BR"/>
        </w:rPr>
      </w:pPr>
      <w:r w:rsidRPr="00A70916">
        <w:rPr>
          <w:lang w:eastAsia="pt-BR"/>
        </w:rPr>
        <w:t>E.1 Statistical Analysis Framework</w:t>
      </w:r>
    </w:p>
    <w:p w14:paraId="34CDD5A0" w14:textId="77777777" w:rsidR="00493C6B" w:rsidRPr="00A70916" w:rsidRDefault="00493C6B" w:rsidP="00E91127">
      <w:pPr>
        <w:pStyle w:val="text-base"/>
        <w:jc w:val="both"/>
        <w:rPr>
          <w:color w:val="000000" w:themeColor="text1"/>
          <w:lang w:val="en-US"/>
        </w:rPr>
      </w:pPr>
      <w:r w:rsidRPr="00A25014">
        <w:rPr>
          <w:lang w:val="en-US"/>
        </w:rPr>
        <w:t>We base statistical testing on replicate-level paired differences enabled by the common-random-numbers design. For each scenario and outcome, we compare policies using the Wilcoxon signed-rank test on paired replications. We report two-sided p-values with Holm sequential correction within each scenario. Effect sizes are expressed as Cohen’s d computed on paired differences. Uncertainty around mean differences is summarized with percentile bootstrap confidence intervals (B = 1,000 resamples) drawn over paired replications.</w:t>
      </w:r>
    </w:p>
    <w:p w14:paraId="578924DA" w14:textId="77777777" w:rsidR="00F61BA8" w:rsidRPr="003868EC" w:rsidRDefault="00000000">
      <w:pPr>
        <w:pStyle w:val="text-base"/>
        <w:rPr>
          <w:lang w:val="en-US"/>
        </w:rPr>
      </w:pPr>
      <w:r w:rsidRPr="003868EC">
        <w:rPr>
          <w:lang w:val="en-US"/>
        </w:rPr>
        <w:t>For High Volatility, we also report within-run TOST equivalence tests and minimum detectable effects as sensitivity checks (Appendix E.10).</w:t>
      </w:r>
    </w:p>
    <w:p w14:paraId="4357B535" w14:textId="77777777" w:rsidR="00493C6B" w:rsidRPr="00A70916" w:rsidRDefault="00493C6B" w:rsidP="00AB3735">
      <w:pPr>
        <w:pStyle w:val="Ttulo3"/>
        <w:rPr>
          <w:lang w:eastAsia="pt-BR"/>
        </w:rPr>
      </w:pPr>
      <w:r w:rsidRPr="00A70916">
        <w:rPr>
          <w:lang w:eastAsia="pt-BR"/>
        </w:rPr>
        <w:t>E.2 Cross-Validation Protocol for Temporal Data</w:t>
      </w:r>
    </w:p>
    <w:p w14:paraId="16CF8F51" w14:textId="66538436" w:rsidR="00493C6B" w:rsidRPr="00A70916" w:rsidRDefault="00AF56A8" w:rsidP="00E91127">
      <w:pPr>
        <w:pStyle w:val="text-base"/>
        <w:jc w:val="both"/>
        <w:rPr>
          <w:color w:val="000000" w:themeColor="text1"/>
          <w:lang w:val="en-US"/>
        </w:rPr>
      </w:pPr>
      <w:r w:rsidRPr="00A70916">
        <w:rPr>
          <w:color w:val="000000" w:themeColor="text1"/>
          <w:lang w:val="en-US"/>
        </w:rPr>
        <w:t xml:space="preserve">To prevent data leakage, </w:t>
      </w:r>
      <w:r w:rsidR="00FF55C1" w:rsidRPr="00A70916">
        <w:rPr>
          <w:color w:val="000000" w:themeColor="text1"/>
          <w:lang w:val="en-US"/>
        </w:rPr>
        <w:t>a common issue</w:t>
      </w:r>
      <w:r w:rsidRPr="00A70916">
        <w:rPr>
          <w:color w:val="000000" w:themeColor="text1"/>
          <w:lang w:val="en-US"/>
        </w:rPr>
        <w:t xml:space="preserve"> in time series studies, we applied a deliberate temporal split. The training set </w:t>
      </w:r>
      <w:r w:rsidR="00FF55C1" w:rsidRPr="00A70916">
        <w:rPr>
          <w:color w:val="000000" w:themeColor="text1"/>
          <w:lang w:val="en-US"/>
        </w:rPr>
        <w:t xml:space="preserve">spans days </w:t>
      </w:r>
      <w:r w:rsidR="009B20C1">
        <w:rPr>
          <w:color w:val="000000" w:themeColor="text1"/>
          <w:lang w:val="en-US"/>
        </w:rPr>
        <w:t>one</w:t>
      </w:r>
      <w:r w:rsidR="00B96954">
        <w:rPr>
          <w:color w:val="000000" w:themeColor="text1"/>
          <w:lang w:val="en-US"/>
        </w:rPr>
        <w:t xml:space="preserve"> to </w:t>
      </w:r>
      <w:r w:rsidR="00FF55C1" w:rsidRPr="00A70916">
        <w:rPr>
          <w:color w:val="000000" w:themeColor="text1"/>
          <w:lang w:val="en-US"/>
        </w:rPr>
        <w:t>240, while days 241</w:t>
      </w:r>
      <w:r w:rsidR="00B96954">
        <w:rPr>
          <w:color w:val="000000" w:themeColor="text1"/>
          <w:lang w:val="en-US"/>
        </w:rPr>
        <w:t xml:space="preserve"> to </w:t>
      </w:r>
      <w:r w:rsidR="00FF55C1" w:rsidRPr="00A70916">
        <w:rPr>
          <w:color w:val="000000" w:themeColor="text1"/>
          <w:lang w:val="en-US"/>
        </w:rPr>
        <w:t>300 are reserved</w:t>
      </w:r>
      <w:r w:rsidRPr="00A70916">
        <w:rPr>
          <w:color w:val="000000" w:themeColor="text1"/>
          <w:lang w:val="en-US"/>
        </w:rPr>
        <w:t xml:space="preserve"> for model assessment and hyperparameter selection. Finally, days 301</w:t>
      </w:r>
      <w:r w:rsidR="00B96954">
        <w:rPr>
          <w:color w:val="000000" w:themeColor="text1"/>
          <w:lang w:val="en-US"/>
        </w:rPr>
        <w:t xml:space="preserve"> to </w:t>
      </w:r>
      <w:r w:rsidRPr="00A70916">
        <w:rPr>
          <w:color w:val="000000" w:themeColor="text1"/>
          <w:lang w:val="en-US"/>
        </w:rPr>
        <w:t xml:space="preserve">390 </w:t>
      </w:r>
      <w:r w:rsidR="00136957">
        <w:rPr>
          <w:color w:val="000000" w:themeColor="text1"/>
          <w:lang w:val="en-US"/>
        </w:rPr>
        <w:t>are used for</w:t>
      </w:r>
      <w:r w:rsidRPr="00A70916">
        <w:rPr>
          <w:color w:val="000000" w:themeColor="text1"/>
          <w:lang w:val="en-US"/>
        </w:rPr>
        <w:t xml:space="preserve"> out-of-sample assessment. Hyperparameter tuning was </w:t>
      </w:r>
      <w:r w:rsidR="00FF55C1" w:rsidRPr="00A70916">
        <w:rPr>
          <w:color w:val="000000" w:themeColor="text1"/>
          <w:lang w:val="en-US"/>
        </w:rPr>
        <w:t>performed on the training set</w:t>
      </w:r>
      <w:r w:rsidR="006F48C9">
        <w:rPr>
          <w:color w:val="000000" w:themeColor="text1"/>
          <w:lang w:val="en-US"/>
        </w:rPr>
        <w:t>, but not</w:t>
      </w:r>
      <w:r w:rsidR="00FF55C1" w:rsidRPr="00A70916">
        <w:rPr>
          <w:color w:val="000000" w:themeColor="text1"/>
          <w:lang w:val="en-US"/>
        </w:rPr>
        <w:t xml:space="preserve"> on the validation set</w:t>
      </w:r>
      <w:r w:rsidR="00493C6B" w:rsidRPr="00A70916">
        <w:rPr>
          <w:color w:val="000000" w:themeColor="text1"/>
          <w:lang w:val="en-US"/>
        </w:rPr>
        <w:t>.</w:t>
      </w:r>
    </w:p>
    <w:p w14:paraId="33B9E0D5" w14:textId="77777777" w:rsidR="00493C6B" w:rsidRPr="00A70916" w:rsidRDefault="00493C6B" w:rsidP="00AB3735">
      <w:pPr>
        <w:pStyle w:val="Ttulo3"/>
        <w:rPr>
          <w:lang w:eastAsia="pt-BR"/>
        </w:rPr>
      </w:pPr>
      <w:r w:rsidRPr="00A70916">
        <w:rPr>
          <w:lang w:eastAsia="pt-BR"/>
        </w:rPr>
        <w:t>E.3 Statistical Power Analysis</w:t>
      </w:r>
    </w:p>
    <w:p w14:paraId="7CF30D03" w14:textId="77777777" w:rsidR="00493C6B" w:rsidRPr="00A70916" w:rsidRDefault="006E49F7" w:rsidP="00E91127">
      <w:pPr>
        <w:pStyle w:val="text-base"/>
        <w:jc w:val="both"/>
        <w:rPr>
          <w:color w:val="000000" w:themeColor="text1"/>
          <w:lang w:val="en-US"/>
        </w:rPr>
      </w:pPr>
      <w:r w:rsidRPr="00653ACC">
        <w:rPr>
          <w:lang w:val="en-US"/>
        </w:rPr>
        <w:t xml:space="preserve">We conducted power calculations in </w:t>
      </w:r>
      <w:r w:rsidRPr="009B20C1">
        <w:rPr>
          <w:i/>
          <w:iCs/>
          <w:lang w:val="en-US"/>
        </w:rPr>
        <w:t>G*Power 3.1.9.7</w:t>
      </w:r>
      <w:r w:rsidRPr="00653ACC">
        <w:rPr>
          <w:lang w:val="en-US"/>
        </w:rPr>
        <w:t xml:space="preserve"> using a conservative unpaired two-tailed approximation, because G*Power does not directly implement the Wilcoxon signed-rank test under our paired CRN design. Given the observed variance structures (CV ≈ 0.42), 80% power for medium standardized effects (Glass’s </w:t>
      </w:r>
      <w:r>
        <w:t>Δ</w:t>
      </w:r>
      <w:r w:rsidRPr="00653ACC">
        <w:rPr>
          <w:lang w:val="en-US"/>
        </w:rPr>
        <w:t xml:space="preserve"> = 0.40–0.75) </w:t>
      </w:r>
      <w:r w:rsidR="008E66BF">
        <w:rPr>
          <w:lang w:val="en-US"/>
        </w:rPr>
        <w:t>requires</w:t>
      </w:r>
      <w:r w:rsidRPr="00653ACC">
        <w:rPr>
          <w:lang w:val="en-US"/>
        </w:rPr>
        <w:t xml:space="preserve"> about 285 replications per condition. The current design (n = 100 paired replications) achieves about 45% power for medium effects under this conservative approximation. We therefore interpret small and medium deltas—especially in High Volatility—as sensitivity findings, while large effects (Glass’s </w:t>
      </w:r>
      <w:r>
        <w:t>Δ</w:t>
      </w:r>
      <w:r w:rsidRPr="00653ACC">
        <w:rPr>
          <w:lang w:val="en-US"/>
        </w:rPr>
        <w:t xml:space="preserve"> ≥ 2.0) remain detectable with high probability.</w:t>
      </w:r>
    </w:p>
    <w:p w14:paraId="134730CA" w14:textId="77777777" w:rsidR="00493C6B" w:rsidRPr="00A70916" w:rsidRDefault="00493C6B" w:rsidP="00AB3735">
      <w:pPr>
        <w:pStyle w:val="Ttulo3"/>
        <w:rPr>
          <w:lang w:eastAsia="pt-BR"/>
        </w:rPr>
      </w:pPr>
      <w:r w:rsidRPr="00A70916">
        <w:rPr>
          <w:lang w:eastAsia="pt-BR"/>
        </w:rPr>
        <w:t>E.4 Effect Size Thresholds for Healthcare Operations</w:t>
      </w:r>
    </w:p>
    <w:p w14:paraId="2D27833C" w14:textId="77777777" w:rsidR="007E5F24" w:rsidRPr="00A70916" w:rsidRDefault="007E5F24" w:rsidP="00E91127">
      <w:pPr>
        <w:pStyle w:val="text-base"/>
        <w:jc w:val="both"/>
        <w:rPr>
          <w:color w:val="000000" w:themeColor="text1"/>
          <w:lang w:val="en-US"/>
        </w:rPr>
      </w:pPr>
      <w:r w:rsidRPr="00A70916">
        <w:rPr>
          <w:color w:val="000000" w:themeColor="text1"/>
          <w:lang w:val="en-US"/>
        </w:rPr>
        <w:t>The ways healthcare supply chains are measured are different from the statistical standard. We established domain-specific thresholds.</w:t>
      </w:r>
    </w:p>
    <w:p w14:paraId="5FE26412" w14:textId="77777777" w:rsidR="007E5F24" w:rsidRPr="00A70916" w:rsidRDefault="007E5F24" w:rsidP="00E91127">
      <w:pPr>
        <w:pStyle w:val="text-base"/>
        <w:jc w:val="both"/>
        <w:rPr>
          <w:color w:val="000000" w:themeColor="text1"/>
          <w:lang w:val="en-US"/>
        </w:rPr>
      </w:pPr>
      <w:r w:rsidRPr="00A70916">
        <w:rPr>
          <w:color w:val="000000" w:themeColor="text1"/>
          <w:lang w:val="en-US"/>
        </w:rPr>
        <w:t>Small effects</w:t>
      </w:r>
      <w:r w:rsidR="00FF55C1" w:rsidRPr="00A70916">
        <w:rPr>
          <w:color w:val="000000" w:themeColor="text1"/>
          <w:lang w:val="en-US"/>
        </w:rPr>
        <w:t>, ranging from d = 0.15 to 0.39,</w:t>
      </w:r>
      <w:r w:rsidRPr="00A70916">
        <w:rPr>
          <w:color w:val="000000" w:themeColor="text1"/>
          <w:lang w:val="en-US"/>
        </w:rPr>
        <w:t xml:space="preserve"> correspond to a 5</w:t>
      </w:r>
      <w:r w:rsidR="00136957">
        <w:rPr>
          <w:color w:val="000000" w:themeColor="text1"/>
          <w:lang w:val="en-US"/>
        </w:rPr>
        <w:t>-</w:t>
      </w:r>
      <w:r w:rsidRPr="00A70916">
        <w:rPr>
          <w:color w:val="000000" w:themeColor="text1"/>
          <w:lang w:val="en-US"/>
        </w:rPr>
        <w:t xml:space="preserve">15% difference in costs. When </w:t>
      </w:r>
      <w:r w:rsidR="00136957">
        <w:rPr>
          <w:color w:val="000000" w:themeColor="text1"/>
          <w:lang w:val="en-US"/>
        </w:rPr>
        <w:t>compounded across networks, this</w:t>
      </w:r>
      <w:r w:rsidRPr="00A70916">
        <w:rPr>
          <w:color w:val="000000" w:themeColor="text1"/>
          <w:lang w:val="en-US"/>
        </w:rPr>
        <w:t xml:space="preserve"> could justify implementation.</w:t>
      </w:r>
    </w:p>
    <w:p w14:paraId="0B25E720" w14:textId="77777777" w:rsidR="007E5F24" w:rsidRPr="00A70916" w:rsidRDefault="007E5F24" w:rsidP="00E91127">
      <w:pPr>
        <w:pStyle w:val="text-base"/>
        <w:jc w:val="both"/>
        <w:rPr>
          <w:color w:val="000000" w:themeColor="text1"/>
          <w:lang w:val="en-US"/>
        </w:rPr>
      </w:pPr>
      <w:r w:rsidRPr="00A70916">
        <w:rPr>
          <w:color w:val="000000" w:themeColor="text1"/>
          <w:lang w:val="en-US"/>
        </w:rPr>
        <w:t>Medium effects (d</w:t>
      </w:r>
      <w:r w:rsidR="00FF55C1" w:rsidRPr="00A70916">
        <w:rPr>
          <w:color w:val="000000" w:themeColor="text1"/>
          <w:lang w:val="en-US"/>
        </w:rPr>
        <w:t xml:space="preserve"> = </w:t>
      </w:r>
      <w:r w:rsidRPr="00A70916">
        <w:rPr>
          <w:color w:val="000000" w:themeColor="text1"/>
          <w:lang w:val="en-US"/>
        </w:rPr>
        <w:t>0.40</w:t>
      </w:r>
      <w:r w:rsidR="009A6467" w:rsidRPr="009A6467">
        <w:rPr>
          <w:color w:val="000000" w:themeColor="text1"/>
          <w:lang w:val="en-US"/>
        </w:rPr>
        <w:t xml:space="preserve"> </w:t>
      </w:r>
      <w:r w:rsidR="009A6467" w:rsidRPr="00A70916">
        <w:rPr>
          <w:color w:val="000000" w:themeColor="text1"/>
          <w:lang w:val="en-US"/>
        </w:rPr>
        <w:t xml:space="preserve">to </w:t>
      </w:r>
      <w:r w:rsidRPr="00A70916">
        <w:rPr>
          <w:color w:val="000000" w:themeColor="text1"/>
          <w:lang w:val="en-US"/>
        </w:rPr>
        <w:t>0.75) indicate cost differences of 15</w:t>
      </w:r>
      <w:r w:rsidR="00136957">
        <w:rPr>
          <w:color w:val="000000" w:themeColor="text1"/>
          <w:lang w:val="en-US"/>
        </w:rPr>
        <w:t>-</w:t>
      </w:r>
      <w:r w:rsidRPr="00A70916">
        <w:rPr>
          <w:color w:val="000000" w:themeColor="text1"/>
          <w:lang w:val="en-US"/>
        </w:rPr>
        <w:t xml:space="preserve">35%. These effects provide economic justification </w:t>
      </w:r>
      <w:r w:rsidR="008064B5">
        <w:rPr>
          <w:color w:val="000000" w:themeColor="text1"/>
          <w:lang w:val="en-US"/>
        </w:rPr>
        <w:t xml:space="preserve">for </w:t>
      </w:r>
      <w:r w:rsidR="00136957">
        <w:rPr>
          <w:color w:val="000000" w:themeColor="text1"/>
          <w:lang w:val="en-US"/>
        </w:rPr>
        <w:t>adopting</w:t>
      </w:r>
      <w:r w:rsidR="008064B5">
        <w:rPr>
          <w:color w:val="000000" w:themeColor="text1"/>
          <w:lang w:val="en-US"/>
        </w:rPr>
        <w:t xml:space="preserve"> the technology, pending further</w:t>
      </w:r>
      <w:r w:rsidRPr="00A70916">
        <w:rPr>
          <w:color w:val="000000" w:themeColor="text1"/>
          <w:lang w:val="en-US"/>
        </w:rPr>
        <w:t xml:space="preserve"> validation.</w:t>
      </w:r>
    </w:p>
    <w:p w14:paraId="48206F45" w14:textId="77777777" w:rsidR="00493C6B" w:rsidRPr="00A70916" w:rsidRDefault="007E5F24" w:rsidP="00E91127">
      <w:pPr>
        <w:pStyle w:val="text-base"/>
        <w:jc w:val="both"/>
        <w:rPr>
          <w:color w:val="000000" w:themeColor="text1"/>
          <w:lang w:val="en-US"/>
        </w:rPr>
      </w:pPr>
      <w:r w:rsidRPr="00A25014">
        <w:rPr>
          <w:lang w:val="en-US"/>
        </w:rPr>
        <w:t>This study relies on synchronized stochastic inputs across policies (common random numbers) and paired testing to improve precision. As a result, small cost gaps should be interpreted in the context of the paired design and the pre-specified practical-effect thresholds, rather than as evidence of broad operational superiority.</w:t>
      </w:r>
    </w:p>
    <w:p w14:paraId="1F599032" w14:textId="77777777" w:rsidR="00493C6B" w:rsidRPr="00A70916" w:rsidRDefault="00493C6B" w:rsidP="00AB3735">
      <w:pPr>
        <w:pStyle w:val="Ttulo3"/>
        <w:rPr>
          <w:lang w:eastAsia="pt-BR"/>
        </w:rPr>
      </w:pPr>
      <w:r w:rsidRPr="00A70916">
        <w:rPr>
          <w:lang w:eastAsia="pt-BR"/>
        </w:rPr>
        <w:lastRenderedPageBreak/>
        <w:t>E.5 Phased Implementation Roadmap</w:t>
      </w:r>
    </w:p>
    <w:p w14:paraId="49FD97BE" w14:textId="77777777" w:rsidR="002332FB" w:rsidRPr="002332FB" w:rsidRDefault="002332FB" w:rsidP="002332FB">
      <w:pPr>
        <w:pStyle w:val="text-base"/>
        <w:jc w:val="both"/>
        <w:rPr>
          <w:color w:val="000000" w:themeColor="text1"/>
          <w:lang w:val="en-US"/>
        </w:rPr>
      </w:pPr>
      <w:r w:rsidRPr="00653ACC">
        <w:rPr>
          <w:lang w:val="en-US"/>
        </w:rPr>
        <w:t xml:space="preserve">Organizations that use this model typically </w:t>
      </w:r>
      <w:r w:rsidR="008E66BF">
        <w:rPr>
          <w:lang w:val="en-US"/>
        </w:rPr>
        <w:t>need</w:t>
      </w:r>
      <w:r w:rsidR="008E66BF" w:rsidRPr="00653ACC">
        <w:rPr>
          <w:lang w:val="en-US"/>
        </w:rPr>
        <w:t xml:space="preserve"> </w:t>
      </w:r>
      <w:r w:rsidRPr="00653ACC">
        <w:rPr>
          <w:lang w:val="en-US"/>
        </w:rPr>
        <w:t>an 18 to 36-month rollout period. We structure the deployment into five operational phases.</w:t>
      </w:r>
    </w:p>
    <w:p w14:paraId="20B33C1A" w14:textId="77777777" w:rsidR="002332FB" w:rsidRPr="002332FB" w:rsidRDefault="002332FB" w:rsidP="002332FB">
      <w:pPr>
        <w:pStyle w:val="text-base"/>
        <w:jc w:val="both"/>
        <w:rPr>
          <w:color w:val="000000" w:themeColor="text1"/>
          <w:lang w:val="en-US"/>
        </w:rPr>
      </w:pPr>
      <w:r w:rsidRPr="0076758F">
        <w:rPr>
          <w:b/>
          <w:bCs/>
          <w:lang w:val="en-US"/>
        </w:rPr>
        <w:t>Phase 1</w:t>
      </w:r>
      <w:r w:rsidRPr="00653ACC">
        <w:rPr>
          <w:lang w:val="en-US"/>
        </w:rPr>
        <w:t xml:space="preserve">: Testing Pilot (Months 1 to 2). Select 5-10 high-variance SKUs (CV ≥ 0.40) at one facility. Operate AI policies in parallel with classical policies (no operational commitment). For 2 months, observe both methods in parallel. A critical design modification is to use paired testing with synchronized stochastic inputs across all policies. Each Monte Carlo experiment replication executes identical realizations of demand and lead times for the Static, Dynamic, AI, and Base-stock policies, using fixed random seeds (42 for NumPy and TensorFlow). This design enables paired statistical testing (the Wilcoxon signed-rank test), which has greater power than unpaired testing. The present study indicates 45% power; however, a paired testing with </w:t>
      </w:r>
      <w:r w:rsidR="00D508F7">
        <w:rPr>
          <w:lang w:val="en-US"/>
        </w:rPr>
        <w:t>a synchronized stochastic-</w:t>
      </w:r>
      <w:r w:rsidRPr="00653ACC">
        <w:rPr>
          <w:lang w:val="en-US"/>
        </w:rPr>
        <w:t>inputs design achieves power of 80% or greater (Appendix C.4). Policy-specific randomness (GA mutation and RL exploration noise) remains seeded independently but deterministically. Decision Gate: Do all four KPIs meet their targets (Appendix H)? If YES, proceed to Phase 2. If NO, diagnose the issue, adjust hyperparameters, and return to Phase 1.</w:t>
      </w:r>
    </w:p>
    <w:p w14:paraId="17157063" w14:textId="77777777" w:rsidR="002332FB" w:rsidRPr="002332FB" w:rsidRDefault="002332FB" w:rsidP="002332FB">
      <w:pPr>
        <w:pStyle w:val="text-base"/>
        <w:jc w:val="both"/>
        <w:rPr>
          <w:color w:val="000000" w:themeColor="text1"/>
          <w:lang w:val="en-US"/>
        </w:rPr>
      </w:pPr>
      <w:r w:rsidRPr="0076758F">
        <w:rPr>
          <w:b/>
          <w:bCs/>
          <w:lang w:val="en-US"/>
        </w:rPr>
        <w:t>Phase 2</w:t>
      </w:r>
      <w:r w:rsidRPr="00653ACC">
        <w:rPr>
          <w:lang w:val="en-US"/>
        </w:rPr>
        <w:t xml:space="preserve">: Operational Scaling (Months 3 to 12): Conduct operational determination, collect site-specific input values, </w:t>
      </w:r>
      <w:r w:rsidR="00D508F7">
        <w:rPr>
          <w:lang w:val="en-US"/>
        </w:rPr>
        <w:t>and ensure financial accountability and alignment</w:t>
      </w:r>
      <w:r w:rsidRPr="00653ACC">
        <w:rPr>
          <w:lang w:val="en-US"/>
        </w:rPr>
        <w:t xml:space="preserve"> with clinical decision-making protocols.</w:t>
      </w:r>
    </w:p>
    <w:p w14:paraId="2C854F9F" w14:textId="77777777" w:rsidR="002332FB" w:rsidRPr="002332FB" w:rsidRDefault="002332FB" w:rsidP="002332FB">
      <w:pPr>
        <w:pStyle w:val="text-base"/>
        <w:jc w:val="both"/>
        <w:rPr>
          <w:color w:val="000000" w:themeColor="text1"/>
          <w:lang w:val="en-US"/>
        </w:rPr>
      </w:pPr>
      <w:r w:rsidRPr="0076758F">
        <w:rPr>
          <w:b/>
          <w:bCs/>
          <w:color w:val="000000" w:themeColor="text1"/>
          <w:lang w:val="en-US"/>
        </w:rPr>
        <w:t>Phase 3</w:t>
      </w:r>
      <w:r w:rsidRPr="002332FB">
        <w:rPr>
          <w:color w:val="000000" w:themeColor="text1"/>
          <w:lang w:val="en-US"/>
        </w:rPr>
        <w:t>: Data Infrastructure and Compliance (Months 12 to 18)</w:t>
      </w:r>
      <w:r>
        <w:rPr>
          <w:color w:val="000000" w:themeColor="text1"/>
          <w:lang w:val="en-US"/>
        </w:rPr>
        <w:t xml:space="preserve">: </w:t>
      </w:r>
      <w:r w:rsidRPr="002332FB">
        <w:rPr>
          <w:color w:val="000000" w:themeColor="text1"/>
          <w:lang w:val="en-US"/>
        </w:rPr>
        <w:t>Develop data infrastructure and assess regulatory compliance applications. Phase 3 may proceed concurrently with Phase 2</w:t>
      </w:r>
      <w:r w:rsidR="004C1558">
        <w:rPr>
          <w:color w:val="000000" w:themeColor="text1"/>
          <w:lang w:val="en-US"/>
        </w:rPr>
        <w:t>; however, i</w:t>
      </w:r>
      <w:r w:rsidRPr="002332FB">
        <w:rPr>
          <w:color w:val="000000" w:themeColor="text1"/>
          <w:lang w:val="en-US"/>
        </w:rPr>
        <w:t>t may be delayed due to procurement cycles.</w:t>
      </w:r>
    </w:p>
    <w:p w14:paraId="114C4F72" w14:textId="77777777" w:rsidR="002332FB" w:rsidRPr="002332FB" w:rsidRDefault="002332FB" w:rsidP="002332FB">
      <w:pPr>
        <w:pStyle w:val="text-base"/>
        <w:jc w:val="both"/>
        <w:rPr>
          <w:color w:val="000000" w:themeColor="text1"/>
          <w:lang w:val="en-US"/>
        </w:rPr>
      </w:pPr>
      <w:r w:rsidRPr="0076758F">
        <w:rPr>
          <w:b/>
          <w:bCs/>
          <w:color w:val="000000" w:themeColor="text1"/>
          <w:lang w:val="en-US"/>
        </w:rPr>
        <w:t>Phase 4</w:t>
      </w:r>
      <w:r w:rsidRPr="002332FB">
        <w:rPr>
          <w:color w:val="000000" w:themeColor="text1"/>
          <w:lang w:val="en-US"/>
        </w:rPr>
        <w:t>: Parallel Operations and Validation (Months 18</w:t>
      </w:r>
      <w:r w:rsidR="004C1558">
        <w:rPr>
          <w:color w:val="000000" w:themeColor="text1"/>
          <w:lang w:val="en-US"/>
        </w:rPr>
        <w:t>-</w:t>
      </w:r>
      <w:r w:rsidRPr="002332FB">
        <w:rPr>
          <w:color w:val="000000" w:themeColor="text1"/>
          <w:lang w:val="en-US"/>
        </w:rPr>
        <w:t>24)</w:t>
      </w:r>
      <w:r>
        <w:rPr>
          <w:color w:val="000000" w:themeColor="text1"/>
          <w:lang w:val="en-US"/>
        </w:rPr>
        <w:t xml:space="preserve">: </w:t>
      </w:r>
      <w:r w:rsidRPr="002332FB">
        <w:rPr>
          <w:color w:val="000000" w:themeColor="text1"/>
          <w:lang w:val="en-US"/>
        </w:rPr>
        <w:t>Execute parallel operations once the AI framework is operational. Conduct parallel runs alongside the legacy system; validate training and system functions under actual operational conditions.</w:t>
      </w:r>
    </w:p>
    <w:p w14:paraId="3790833C" w14:textId="77777777" w:rsidR="00D81FF8" w:rsidRPr="00D81FF8" w:rsidRDefault="002332FB" w:rsidP="002332FB">
      <w:pPr>
        <w:pStyle w:val="text-base"/>
        <w:jc w:val="both"/>
        <w:rPr>
          <w:color w:val="000000" w:themeColor="text1"/>
          <w:lang w:val="en-US"/>
        </w:rPr>
      </w:pPr>
      <w:r w:rsidRPr="0076758F">
        <w:rPr>
          <w:b/>
          <w:bCs/>
          <w:lang w:val="en-US"/>
        </w:rPr>
        <w:t>Phase 5</w:t>
      </w:r>
      <w:r w:rsidRPr="00653ACC">
        <w:rPr>
          <w:lang w:val="en-US"/>
        </w:rPr>
        <w:t xml:space="preserve">: Full Deployment (Months 24 to 36): The cutover is typically completed 24 to 36 months after initial implementation, with management assistance. Implementations that </w:t>
      </w:r>
      <w:r w:rsidR="00D508F7">
        <w:rPr>
          <w:lang w:val="en-US"/>
        </w:rPr>
        <w:t>requir</w:t>
      </w:r>
      <w:r w:rsidRPr="00653ACC">
        <w:rPr>
          <w:lang w:val="en-US"/>
        </w:rPr>
        <w:t>e less than 18 months of development time are typically inefficient.</w:t>
      </w:r>
    </w:p>
    <w:p w14:paraId="3E075ED4" w14:textId="77777777" w:rsidR="00493C6B" w:rsidRPr="00A70916" w:rsidRDefault="00493C6B" w:rsidP="00AB3735">
      <w:pPr>
        <w:pStyle w:val="Ttulo3"/>
        <w:rPr>
          <w:lang w:eastAsia="pt-BR"/>
        </w:rPr>
      </w:pPr>
      <w:r w:rsidRPr="00A70916">
        <w:rPr>
          <w:lang w:eastAsia="pt-BR"/>
        </w:rPr>
        <w:t>E.6 Supplementary Analysis: Non-Stationarity</w:t>
      </w:r>
    </w:p>
    <w:p w14:paraId="3BCDB02D" w14:textId="77777777" w:rsidR="00493C6B" w:rsidRPr="00A70916" w:rsidRDefault="00214B00" w:rsidP="00E91127">
      <w:pPr>
        <w:pStyle w:val="text-base"/>
        <w:jc w:val="both"/>
        <w:rPr>
          <w:color w:val="000000" w:themeColor="text1"/>
          <w:lang w:val="en-US"/>
        </w:rPr>
      </w:pPr>
      <w:r w:rsidRPr="00A25014">
        <w:rPr>
          <w:lang w:val="en-US"/>
        </w:rPr>
        <w:t xml:space="preserve">The Dynamic baseline implements exponential smoothing with a fixed </w:t>
      </w:r>
      <w:r>
        <w:t>α</w:t>
      </w:r>
      <w:r w:rsidRPr="00A25014">
        <w:rPr>
          <w:lang w:val="en-US"/>
        </w:rPr>
        <w:t xml:space="preserve"> and applies analytical reorder logic. Under stable demand, this structure remains competitive with Base-Stock, while under stress conditions</w:t>
      </w:r>
      <w:r w:rsidR="00136957">
        <w:rPr>
          <w:lang w:val="en-US"/>
        </w:rPr>
        <w:t>,</w:t>
      </w:r>
      <w:r w:rsidRPr="00A25014">
        <w:rPr>
          <w:lang w:val="en-US"/>
        </w:rPr>
        <w:t xml:space="preserve"> it lags adaptive control policies.</w:t>
      </w:r>
    </w:p>
    <w:p w14:paraId="5CEC7AEC" w14:textId="77777777" w:rsidR="00493C6B" w:rsidRPr="00A70916" w:rsidRDefault="00493C6B" w:rsidP="00AB3735">
      <w:pPr>
        <w:pStyle w:val="Ttulo3"/>
        <w:rPr>
          <w:lang w:eastAsia="pt-BR"/>
        </w:rPr>
      </w:pPr>
      <w:r w:rsidRPr="00A70916">
        <w:rPr>
          <w:lang w:eastAsia="pt-BR"/>
        </w:rPr>
        <w:lastRenderedPageBreak/>
        <w:t>E.7 Supplementary Figures</w:t>
      </w:r>
    </w:p>
    <w:tbl>
      <w:tblPr>
        <w:tblStyle w:val="Tabelacomgrade"/>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tblGrid>
      <w:tr w:rsidR="00A70916" w:rsidRPr="00A70916" w14:paraId="3937B3EA" w14:textId="77777777" w:rsidTr="00493C6B">
        <w:tc>
          <w:tcPr>
            <w:tcW w:w="7937" w:type="dxa"/>
          </w:tcPr>
          <w:p w14:paraId="7734A1FF" w14:textId="77777777" w:rsidR="00747409" w:rsidRPr="00A70916" w:rsidRDefault="003868EC" w:rsidP="00CE3CB4">
            <w:pPr>
              <w:tabs>
                <w:tab w:val="left" w:pos="567"/>
              </w:tabs>
              <w:spacing w:before="166" w:after="240"/>
              <w:jc w:val="both"/>
              <w:rPr>
                <w:color w:val="000000" w:themeColor="text1"/>
              </w:rPr>
            </w:pPr>
            <w:r w:rsidRPr="00A70916">
              <w:rPr>
                <w:noProof/>
                <w:color w:val="000000" w:themeColor="text1"/>
              </w:rPr>
              <w:drawing>
                <wp:inline distT="0" distB="0" distL="0" distR="0" wp14:anchorId="41757C6C" wp14:editId="53330FCA">
                  <wp:extent cx="5902036" cy="3935276"/>
                  <wp:effectExtent l="0" t="0" r="3810" b="8255"/>
                  <wp:docPr id="1390928" name="Imagem 1" descr="Figure S1. RL Learning Curves Demonstrating Convergence and Discretization Sensitivity Across Different Learning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S1. RL Learning Curves Demonstrating Convergence and Discretization Sensitivity Across Different Learning Rat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1346" cy="3941483"/>
                          </a:xfrm>
                          <a:prstGeom prst="rect">
                            <a:avLst/>
                          </a:prstGeom>
                          <a:noFill/>
                          <a:ln>
                            <a:noFill/>
                          </a:ln>
                        </pic:spPr>
                      </pic:pic>
                    </a:graphicData>
                  </a:graphic>
                </wp:inline>
              </w:drawing>
            </w:r>
          </w:p>
        </w:tc>
      </w:tr>
      <w:tr w:rsidR="00A70916" w:rsidRPr="00A70916" w14:paraId="3105E593" w14:textId="77777777" w:rsidTr="00493C6B">
        <w:tc>
          <w:tcPr>
            <w:tcW w:w="7937" w:type="dxa"/>
          </w:tcPr>
          <w:p w14:paraId="28FDF0A6" w14:textId="77777777" w:rsidR="00747409" w:rsidRPr="00A70916" w:rsidRDefault="00456E08" w:rsidP="00133D9F">
            <w:pPr>
              <w:pStyle w:val="Corpodetexto"/>
              <w:spacing w:before="100" w:beforeAutospacing="1" w:line="286" w:lineRule="auto"/>
              <w:ind w:left="0" w:right="14"/>
              <w:jc w:val="both"/>
              <w:rPr>
                <w:noProof/>
                <w:color w:val="000000" w:themeColor="text1"/>
                <w:sz w:val="22"/>
                <w:szCs w:val="22"/>
              </w:rPr>
            </w:pPr>
            <w:r w:rsidRPr="00A70916">
              <w:rPr>
                <w:rFonts w:ascii="Times New Roman" w:eastAsia="Times New Roman" w:hAnsi="Times New Roman" w:cs="Times New Roman"/>
                <w:b/>
                <w:bCs/>
                <w:color w:val="000000" w:themeColor="text1"/>
                <w:sz w:val="22"/>
                <w:szCs w:val="22"/>
                <w:lang w:eastAsia="pt-BR"/>
              </w:rPr>
              <w:t>Figure E1</w:t>
            </w:r>
            <w:r w:rsidRPr="00A70916">
              <w:rPr>
                <w:rFonts w:ascii="Times New Roman" w:eastAsia="Times New Roman" w:hAnsi="Times New Roman" w:cs="Times New Roman"/>
                <w:color w:val="000000" w:themeColor="text1"/>
                <w:sz w:val="22"/>
                <w:szCs w:val="22"/>
                <w:lang w:eastAsia="pt-BR"/>
              </w:rPr>
              <w:t>. RL Learning Curves Demonstrating Convergence and Discretization Sensitivity Across Different Learning Rates</w:t>
            </w:r>
          </w:p>
        </w:tc>
      </w:tr>
    </w:tbl>
    <w:p w14:paraId="4A450700" w14:textId="77777777" w:rsidR="00AB22A2" w:rsidRPr="00A70916" w:rsidRDefault="00AB22A2" w:rsidP="004841B0">
      <w:pPr>
        <w:pStyle w:val="text-base"/>
        <w:ind w:left="142"/>
        <w:jc w:val="both"/>
        <w:rPr>
          <w:color w:val="000000" w:themeColor="text1"/>
          <w:lang w:val="en-US"/>
        </w:rPr>
      </w:pPr>
      <w:r>
        <w:t>RL training diagnostics (Figure E1) indicate cumulative reward (y-axis; summed reward units) over training episodes (x-axis) for learning rates α = 0.05 (slow learning), α = 0.10 (default), and α = 0.20 (fast learning). The shaded regions represent 95% bootstrap percentile confidence intervals computed from 1,000 resamples of the per-episode reward series within each deterministic training run (fixed seeds: NumPy = 42, TensorFlow = 42, training seed = 2024). Convergence uses a maximum Q-value difference &lt; 0.001 sustained for 50 consecutive episodes. Under α = 0.10, the monitored criterion is met around episode ~400, after which the reward trajectory stabilizes. The discount factor is γ = 0.95, and the exploration factor ε decreases linearly from 0.20 to 0.02 across episodes.</w:t>
      </w:r>
    </w:p>
    <w:p w14:paraId="552A7998" w14:textId="77777777" w:rsidR="0047501B" w:rsidRDefault="00000000">
      <w:pPr>
        <w:pStyle w:val="Ttulo3"/>
      </w:pPr>
      <w:r>
        <w:lastRenderedPageBreak/>
        <w:t>Appendix E.8. Supply-disruption diagnostic: cost and service distributions</w:t>
      </w:r>
    </w:p>
    <w:tbl>
      <w:tblPr>
        <w:tblStyle w:val="Tabelacomgrade"/>
        <w:tblW w:w="0" w:type="auto"/>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0"/>
      </w:tblGrid>
      <w:tr w:rsidR="009915A3" w:rsidRPr="00801790" w14:paraId="422A0865" w14:textId="77777777" w:rsidTr="005E2831">
        <w:tc>
          <w:tcPr>
            <w:tcW w:w="9330" w:type="dxa"/>
          </w:tcPr>
          <w:p w14:paraId="598799F4" w14:textId="77777777" w:rsidR="009915A3" w:rsidRPr="00801790" w:rsidRDefault="009915A3" w:rsidP="00115971">
            <w:pPr>
              <w:pStyle w:val="text-base"/>
              <w:jc w:val="both"/>
              <w:rPr>
                <w:lang w:val="en-US"/>
              </w:rPr>
            </w:pPr>
            <w:r w:rsidRPr="00801790">
              <w:rPr>
                <w:lang w:val="en-US"/>
              </w:rPr>
              <w:t xml:space="preserve"> </w:t>
            </w:r>
            <w:r w:rsidR="003868EC" w:rsidRPr="00801790">
              <w:rPr>
                <w:noProof/>
                <w:lang w:val="en-US"/>
                <w14:ligatures w14:val="standardContextual"/>
              </w:rPr>
              <w:drawing>
                <wp:inline distT="0" distB="0" distL="0" distR="0" wp14:anchorId="002B65FC" wp14:editId="1BF42E18">
                  <wp:extent cx="5852358" cy="4389268"/>
                  <wp:effectExtent l="0" t="0" r="0" b="0"/>
                  <wp:docPr id="349350115" name="Imagem 1" descr="Gráfico, Gráfico de caixa estre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0115" name="Imagem 1" descr="Gráfico, Gráfico de caixa estreita"/>
                          <pic:cNvPicPr/>
                        </pic:nvPicPr>
                        <pic:blipFill>
                          <a:blip r:embed="rId10">
                            <a:extLst>
                              <a:ext uri="{28A0092B-C50C-407E-A947-70E740481C1C}">
                                <a14:useLocalDpi xmlns:a14="http://schemas.microsoft.com/office/drawing/2010/main" val="0"/>
                              </a:ext>
                            </a:extLst>
                          </a:blip>
                          <a:stretch>
                            <a:fillRect/>
                          </a:stretch>
                        </pic:blipFill>
                        <pic:spPr>
                          <a:xfrm>
                            <a:off x="0" y="0"/>
                            <a:ext cx="5852358" cy="4389268"/>
                          </a:xfrm>
                          <a:prstGeom prst="rect">
                            <a:avLst/>
                          </a:prstGeom>
                        </pic:spPr>
                      </pic:pic>
                    </a:graphicData>
                  </a:graphic>
                </wp:inline>
              </w:drawing>
            </w:r>
          </w:p>
        </w:tc>
      </w:tr>
      <w:tr w:rsidR="009915A3" w:rsidRPr="009B20C1" w14:paraId="10EC2C71" w14:textId="77777777" w:rsidTr="005E2831">
        <w:tc>
          <w:tcPr>
            <w:tcW w:w="9330" w:type="dxa"/>
          </w:tcPr>
          <w:p w14:paraId="6190F3F7" w14:textId="77777777" w:rsidR="004A70BA" w:rsidRPr="009B20C1" w:rsidRDefault="00000000">
            <w:pPr>
              <w:rPr>
                <w:rFonts w:ascii="Times New Roman" w:hAnsi="Times New Roman" w:cs="Times New Roman"/>
              </w:rPr>
            </w:pPr>
            <w:r w:rsidRPr="009B20C1">
              <w:rPr>
                <w:rFonts w:ascii="Times New Roman" w:hAnsi="Times New Roman" w:cs="Times New Roman"/>
                <w:b/>
                <w:bCs/>
              </w:rPr>
              <w:t>Figure E.8.1</w:t>
            </w:r>
            <w:r w:rsidRPr="009B20C1">
              <w:rPr>
                <w:rFonts w:ascii="Times New Roman" w:hAnsi="Times New Roman" w:cs="Times New Roman"/>
              </w:rPr>
              <w:t>. Distribution of total cost across replications by policy under Supply Disruption (180-day horizon; n = 30). Diagnostic run settings: GA off; reward = inventory_only.</w:t>
            </w:r>
          </w:p>
        </w:tc>
      </w:tr>
    </w:tbl>
    <w:p w14:paraId="4F719922" w14:textId="77777777" w:rsidR="005E2831" w:rsidRPr="0004536B" w:rsidRDefault="005E2831" w:rsidP="00115971">
      <w:pPr>
        <w:pStyle w:val="text-base"/>
        <w:jc w:val="both"/>
        <w:rPr>
          <w:b/>
          <w:bCs/>
          <w:lang w:val="en-US"/>
        </w:rPr>
      </w:pPr>
    </w:p>
    <w:tbl>
      <w:tblPr>
        <w:tblStyle w:val="Tabelacomgrade"/>
        <w:tblW w:w="0" w:type="auto"/>
        <w:tblInd w:w="416" w:type="dxa"/>
        <w:tblLook w:val="04A0" w:firstRow="1" w:lastRow="0" w:firstColumn="1" w:lastColumn="0" w:noHBand="0" w:noVBand="1"/>
      </w:tblPr>
      <w:tblGrid>
        <w:gridCol w:w="9330"/>
      </w:tblGrid>
      <w:tr w:rsidR="009915A3" w:rsidRPr="00801790" w14:paraId="7DFEE7BD" w14:textId="77777777" w:rsidTr="005E2831">
        <w:tc>
          <w:tcPr>
            <w:tcW w:w="9330" w:type="dxa"/>
            <w:tcBorders>
              <w:top w:val="nil"/>
              <w:left w:val="nil"/>
              <w:bottom w:val="nil"/>
              <w:right w:val="nil"/>
            </w:tcBorders>
          </w:tcPr>
          <w:p w14:paraId="540C7C06" w14:textId="77777777" w:rsidR="009915A3" w:rsidRPr="00801790" w:rsidRDefault="003868EC" w:rsidP="00115971">
            <w:pPr>
              <w:pStyle w:val="text-base"/>
              <w:jc w:val="both"/>
              <w:rPr>
                <w:lang w:val="en-US"/>
              </w:rPr>
            </w:pPr>
            <w:r w:rsidRPr="00801790">
              <w:rPr>
                <w:noProof/>
                <w:lang w:val="en-US"/>
                <w14:ligatures w14:val="standardContextual"/>
              </w:rPr>
              <w:lastRenderedPageBreak/>
              <w:drawing>
                <wp:inline distT="0" distB="0" distL="0" distR="0" wp14:anchorId="0C85A656" wp14:editId="7E4AE64A">
                  <wp:extent cx="5852358" cy="4389268"/>
                  <wp:effectExtent l="0" t="0" r="0" b="0"/>
                  <wp:docPr id="2140777145" name="Imagem 2"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77145" name="Imagem 2" descr="Gráfico, Gráfico de caixa estreita&#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852358" cy="4389268"/>
                          </a:xfrm>
                          <a:prstGeom prst="rect">
                            <a:avLst/>
                          </a:prstGeom>
                        </pic:spPr>
                      </pic:pic>
                    </a:graphicData>
                  </a:graphic>
                </wp:inline>
              </w:drawing>
            </w:r>
          </w:p>
        </w:tc>
      </w:tr>
      <w:tr w:rsidR="009915A3" w:rsidRPr="009B20C1" w14:paraId="12027959" w14:textId="77777777" w:rsidTr="005E28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30" w:type="dxa"/>
          </w:tcPr>
          <w:p w14:paraId="370D3DA3" w14:textId="77777777" w:rsidR="004A70BA" w:rsidRPr="009B20C1" w:rsidRDefault="00000000">
            <w:pPr>
              <w:rPr>
                <w:rFonts w:ascii="Times New Roman" w:hAnsi="Times New Roman" w:cs="Times New Roman"/>
              </w:rPr>
            </w:pPr>
            <w:r w:rsidRPr="009B20C1">
              <w:rPr>
                <w:rFonts w:ascii="Times New Roman" w:hAnsi="Times New Roman" w:cs="Times New Roman"/>
                <w:b/>
                <w:bCs/>
              </w:rPr>
              <w:t>Figure E.8.2</w:t>
            </w:r>
            <w:r w:rsidRPr="009B20C1">
              <w:rPr>
                <w:rFonts w:ascii="Times New Roman" w:hAnsi="Times New Roman" w:cs="Times New Roman"/>
              </w:rPr>
              <w:t>. Distribution of fill rate across replications by policy under Supply Disruption (180-day horizon; n = 30). Same diagnostic settings as Figure E.8.1.</w:t>
            </w:r>
          </w:p>
        </w:tc>
      </w:tr>
    </w:tbl>
    <w:p w14:paraId="1887F856" w14:textId="77777777" w:rsidR="009B20C1" w:rsidRDefault="009B20C1"/>
    <w:tbl>
      <w:tblPr>
        <w:tblStyle w:val="Tabelacomgrade"/>
        <w:tblW w:w="0" w:type="auto"/>
        <w:tblInd w:w="416" w:type="dxa"/>
        <w:tblLook w:val="04A0" w:firstRow="1" w:lastRow="0" w:firstColumn="1" w:lastColumn="0" w:noHBand="0" w:noVBand="1"/>
      </w:tblPr>
      <w:tblGrid>
        <w:gridCol w:w="9320"/>
      </w:tblGrid>
      <w:tr w:rsidR="009915A3" w:rsidRPr="0037418A" w14:paraId="11062850" w14:textId="77777777" w:rsidTr="005E2831">
        <w:tc>
          <w:tcPr>
            <w:tcW w:w="9330" w:type="dxa"/>
          </w:tcPr>
          <w:p w14:paraId="03F60ABA" w14:textId="77777777" w:rsidR="009915A3" w:rsidRPr="0037418A" w:rsidRDefault="003868EC" w:rsidP="00115971">
            <w:pPr>
              <w:pStyle w:val="text-base"/>
              <w:jc w:val="both"/>
              <w:rPr>
                <w:lang w:val="en-US"/>
              </w:rPr>
            </w:pPr>
            <w:r w:rsidRPr="0037418A">
              <w:rPr>
                <w:noProof/>
                <w:lang w:val="en-US"/>
                <w14:ligatures w14:val="standardContextual"/>
              </w:rPr>
              <w:lastRenderedPageBreak/>
              <w:drawing>
                <wp:inline distT="0" distB="0" distL="0" distR="0" wp14:anchorId="44915B40" wp14:editId="1766735B">
                  <wp:extent cx="5852358" cy="4389268"/>
                  <wp:effectExtent l="0" t="0" r="0" b="0"/>
                  <wp:docPr id="1531556570" name="Imagem 3"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56570" name="Imagem 3" descr="Gráfico, Gráfico de dispersão&#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5852358" cy="4389268"/>
                          </a:xfrm>
                          <a:prstGeom prst="rect">
                            <a:avLst/>
                          </a:prstGeom>
                        </pic:spPr>
                      </pic:pic>
                    </a:graphicData>
                  </a:graphic>
                </wp:inline>
              </w:drawing>
            </w:r>
          </w:p>
        </w:tc>
      </w:tr>
      <w:tr w:rsidR="009915A3" w:rsidRPr="009B20C1" w14:paraId="5E0FBDE2" w14:textId="77777777" w:rsidTr="005E2831">
        <w:tc>
          <w:tcPr>
            <w:tcW w:w="9330" w:type="dxa"/>
          </w:tcPr>
          <w:p w14:paraId="34453505" w14:textId="77777777" w:rsidR="004A70BA" w:rsidRPr="009B20C1" w:rsidRDefault="00000000">
            <w:pPr>
              <w:rPr>
                <w:rFonts w:ascii="Times New Roman" w:hAnsi="Times New Roman" w:cs="Times New Roman"/>
              </w:rPr>
            </w:pPr>
            <w:r w:rsidRPr="009B20C1">
              <w:rPr>
                <w:rFonts w:ascii="Times New Roman" w:hAnsi="Times New Roman" w:cs="Times New Roman"/>
                <w:b/>
                <w:bCs/>
              </w:rPr>
              <w:t>Figure E.8.3</w:t>
            </w:r>
            <w:r w:rsidRPr="009B20C1">
              <w:rPr>
                <w:rFonts w:ascii="Times New Roman" w:hAnsi="Times New Roman" w:cs="Times New Roman"/>
              </w:rPr>
              <w:t>. Replication-level relationship between service and cost under Supply Disruption (180-day horizon; n = 30). Each point is a replication; markers are colored by policy.</w:t>
            </w:r>
          </w:p>
        </w:tc>
      </w:tr>
    </w:tbl>
    <w:p w14:paraId="1CF4625E" w14:textId="77777777" w:rsidR="00884D0D" w:rsidRPr="005E2831" w:rsidRDefault="00000000" w:rsidP="005E2831">
      <w:pPr>
        <w:pStyle w:val="text-base"/>
        <w:ind w:left="426"/>
        <w:jc w:val="both"/>
        <w:rPr>
          <w:sz w:val="18"/>
          <w:szCs w:val="18"/>
          <w:lang w:val="en-US"/>
        </w:rPr>
      </w:pPr>
      <w:r w:rsidRPr="005E2831">
        <w:rPr>
          <w:sz w:val="18"/>
          <w:szCs w:val="18"/>
          <w:lang w:val="en-US"/>
        </w:rPr>
        <w:t>Note: The diagnostic run uses a reduced replication count and a simplified configuration and therefore supports qualitative mechanism interpretation; quantitative conclusions remain based on the primary paired Monte Carlo design in Tables 1–4.</w:t>
      </w:r>
    </w:p>
    <w:p w14:paraId="666E6CC3" w14:textId="77777777" w:rsidR="00F61BA8" w:rsidRPr="003868EC" w:rsidRDefault="00000000" w:rsidP="003868EC">
      <w:pPr>
        <w:pStyle w:val="text-base"/>
        <w:ind w:left="142"/>
        <w:jc w:val="both"/>
        <w:rPr>
          <w:lang w:val="en-US"/>
        </w:rPr>
      </w:pPr>
      <w:r w:rsidRPr="00F34B55">
        <w:rPr>
          <w:lang w:val="en-US"/>
        </w:rPr>
        <w:t>We report a bottleneck-isolation diagnostic for the Supply Disruption regime to test whether the collapse observed in Table 3 originates from the routing proxy (GA), the forecaster (LSTM+RF), or reward coupling. We ran an auxiliary experiment at a 180-day horizon in quick mode (n = 30 paired replications per policy), with GA off and reward = inventory_only. The diagnostic preserves paired-replication-index alignment and exports the standard audit trail (</w:t>
      </w:r>
      <w:r w:rsidRPr="009B20C1">
        <w:rPr>
          <w:i/>
          <w:iCs/>
          <w:lang w:val="en-US"/>
        </w:rPr>
        <w:t>raw_replications.csv, summary_means_ci.csv, run_manifest.json, run_fingerprint.json</w:t>
      </w:r>
      <w:r w:rsidRPr="00F34B55">
        <w:rPr>
          <w:lang w:val="en-US"/>
        </w:rPr>
        <w:t>).</w:t>
      </w:r>
    </w:p>
    <w:p w14:paraId="354F7305" w14:textId="77777777" w:rsidR="00884D0D" w:rsidRPr="005E2831" w:rsidRDefault="00000000" w:rsidP="005E2831">
      <w:pPr>
        <w:pStyle w:val="text-base"/>
        <w:ind w:left="142"/>
        <w:jc w:val="both"/>
        <w:rPr>
          <w:lang w:val="en-US"/>
        </w:rPr>
      </w:pPr>
      <w:r w:rsidRPr="00F34B55">
        <w:rPr>
          <w:lang w:val="en-US"/>
        </w:rPr>
        <w:t>In this GA-off, inventory-only diagnostic, Hybrid AI reduces mean total cost relative to Dynamic+Forecast and Base-stock, but it also yields a lower mean fill rate (Table E.8). The diagnostic therefore isolates a failure mode in which the routing-aware objective and bounded action space jointly amplify under-ordering under long lead times. The result does not establish safe deployment; it motivates explicit guardrails and constrained objectives for disruption regimes.</w:t>
      </w:r>
    </w:p>
    <w:p w14:paraId="43FC5C29" w14:textId="77777777" w:rsidR="00884D0D" w:rsidRPr="005E2831" w:rsidRDefault="00000000" w:rsidP="005E2831">
      <w:pPr>
        <w:pStyle w:val="Corpodetexto"/>
        <w:spacing w:before="100" w:beforeAutospacing="1" w:after="120" w:line="286" w:lineRule="auto"/>
        <w:ind w:left="288" w:right="14" w:hanging="72"/>
        <w:jc w:val="center"/>
        <w:rPr>
          <w:rFonts w:ascii="Times New Roman" w:eastAsia="Times New Roman" w:hAnsi="Times New Roman" w:cs="Times New Roman"/>
          <w:b/>
          <w:bCs/>
          <w:color w:val="000000" w:themeColor="text1"/>
          <w:sz w:val="22"/>
          <w:szCs w:val="22"/>
          <w:lang w:eastAsia="pt-BR"/>
        </w:rPr>
      </w:pPr>
      <w:r w:rsidRPr="005E2831">
        <w:rPr>
          <w:rFonts w:ascii="Times New Roman" w:eastAsia="Times New Roman" w:hAnsi="Times New Roman" w:cs="Times New Roman"/>
          <w:b/>
          <w:bCs/>
          <w:color w:val="000000" w:themeColor="text1"/>
          <w:sz w:val="22"/>
          <w:szCs w:val="22"/>
          <w:lang w:eastAsia="pt-BR"/>
        </w:rPr>
        <w:t xml:space="preserve">Table E.8. Supply Disruption bottleneck-isolation diagnostic </w:t>
      </w:r>
      <w:r w:rsidR="005E2831" w:rsidRPr="00F534AF">
        <w:rPr>
          <w:rFonts w:ascii="Times New Roman" w:hAnsi="Times New Roman" w:cs="Times New Roman"/>
          <w:b/>
          <w:sz w:val="18"/>
          <w:szCs w:val="18"/>
        </w:rPr>
        <w:t>(180d)</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993"/>
        <w:gridCol w:w="1984"/>
        <w:gridCol w:w="1701"/>
        <w:gridCol w:w="1559"/>
        <w:gridCol w:w="1276"/>
        <w:gridCol w:w="1276"/>
      </w:tblGrid>
      <w:tr w:rsidR="00F61BA8" w14:paraId="5DF37236" w14:textId="77777777" w:rsidTr="00EE1D9F">
        <w:tc>
          <w:tcPr>
            <w:tcW w:w="1134" w:type="dxa"/>
            <w:vAlign w:val="center"/>
          </w:tcPr>
          <w:p w14:paraId="43686676" w14:textId="77777777" w:rsidR="00F61BA8" w:rsidRPr="00F534AF" w:rsidRDefault="00000000" w:rsidP="00F534AF">
            <w:pPr>
              <w:jc w:val="center"/>
              <w:rPr>
                <w:rFonts w:ascii="Times New Roman" w:hAnsi="Times New Roman" w:cs="Times New Roman"/>
                <w:sz w:val="18"/>
                <w:szCs w:val="18"/>
              </w:rPr>
            </w:pPr>
            <w:r w:rsidRPr="00F534AF">
              <w:rPr>
                <w:rFonts w:ascii="Times New Roman" w:hAnsi="Times New Roman" w:cs="Times New Roman"/>
                <w:b/>
                <w:sz w:val="18"/>
                <w:szCs w:val="18"/>
              </w:rPr>
              <w:t>Variant</w:t>
            </w:r>
          </w:p>
        </w:tc>
        <w:tc>
          <w:tcPr>
            <w:tcW w:w="993" w:type="dxa"/>
            <w:vAlign w:val="center"/>
          </w:tcPr>
          <w:p w14:paraId="172FA758" w14:textId="77777777" w:rsidR="00F61BA8" w:rsidRPr="00F534AF" w:rsidRDefault="00000000" w:rsidP="00F534AF">
            <w:pPr>
              <w:jc w:val="center"/>
              <w:rPr>
                <w:rFonts w:ascii="Times New Roman" w:hAnsi="Times New Roman" w:cs="Times New Roman"/>
                <w:sz w:val="18"/>
                <w:szCs w:val="18"/>
              </w:rPr>
            </w:pPr>
            <w:r w:rsidRPr="00F534AF">
              <w:rPr>
                <w:rFonts w:ascii="Times New Roman" w:hAnsi="Times New Roman" w:cs="Times New Roman"/>
                <w:b/>
                <w:sz w:val="18"/>
                <w:szCs w:val="18"/>
              </w:rPr>
              <w:t>Policy</w:t>
            </w:r>
          </w:p>
        </w:tc>
        <w:tc>
          <w:tcPr>
            <w:tcW w:w="1984" w:type="dxa"/>
            <w:vAlign w:val="center"/>
          </w:tcPr>
          <w:p w14:paraId="1A3392B8" w14:textId="77777777" w:rsidR="00F61BA8" w:rsidRPr="00F534AF" w:rsidRDefault="00000000" w:rsidP="00F534AF">
            <w:pPr>
              <w:jc w:val="center"/>
              <w:rPr>
                <w:rFonts w:ascii="Times New Roman" w:hAnsi="Times New Roman" w:cs="Times New Roman"/>
                <w:sz w:val="18"/>
                <w:szCs w:val="18"/>
              </w:rPr>
            </w:pPr>
            <w:r w:rsidRPr="00F534AF">
              <w:rPr>
                <w:rFonts w:ascii="Times New Roman" w:hAnsi="Times New Roman" w:cs="Times New Roman"/>
                <w:b/>
                <w:sz w:val="18"/>
                <w:szCs w:val="18"/>
              </w:rPr>
              <w:t xml:space="preserve">Total cost </w:t>
            </w:r>
          </w:p>
        </w:tc>
        <w:tc>
          <w:tcPr>
            <w:tcW w:w="1701" w:type="dxa"/>
            <w:vAlign w:val="center"/>
          </w:tcPr>
          <w:p w14:paraId="479055B7" w14:textId="77777777" w:rsidR="00F61BA8" w:rsidRPr="00F534AF" w:rsidRDefault="00000000" w:rsidP="00F534AF">
            <w:pPr>
              <w:jc w:val="center"/>
              <w:rPr>
                <w:rFonts w:ascii="Times New Roman" w:hAnsi="Times New Roman" w:cs="Times New Roman"/>
                <w:sz w:val="18"/>
                <w:szCs w:val="18"/>
              </w:rPr>
            </w:pPr>
            <w:r w:rsidRPr="00F534AF">
              <w:rPr>
                <w:rFonts w:ascii="Times New Roman" w:hAnsi="Times New Roman" w:cs="Times New Roman"/>
                <w:b/>
                <w:sz w:val="18"/>
                <w:szCs w:val="18"/>
              </w:rPr>
              <w:t>Ordering cost</w:t>
            </w:r>
          </w:p>
        </w:tc>
        <w:tc>
          <w:tcPr>
            <w:tcW w:w="1559" w:type="dxa"/>
            <w:vAlign w:val="center"/>
          </w:tcPr>
          <w:p w14:paraId="07352227" w14:textId="77777777" w:rsidR="00F61BA8" w:rsidRPr="00F534AF" w:rsidRDefault="00000000" w:rsidP="00F534AF">
            <w:pPr>
              <w:jc w:val="center"/>
              <w:rPr>
                <w:rFonts w:ascii="Times New Roman" w:hAnsi="Times New Roman" w:cs="Times New Roman"/>
                <w:sz w:val="18"/>
                <w:szCs w:val="18"/>
              </w:rPr>
            </w:pPr>
            <w:r w:rsidRPr="00F534AF">
              <w:rPr>
                <w:rFonts w:ascii="Times New Roman" w:hAnsi="Times New Roman" w:cs="Times New Roman"/>
                <w:b/>
                <w:sz w:val="18"/>
                <w:szCs w:val="18"/>
              </w:rPr>
              <w:t>Routing cost</w:t>
            </w:r>
          </w:p>
        </w:tc>
        <w:tc>
          <w:tcPr>
            <w:tcW w:w="1276" w:type="dxa"/>
            <w:vAlign w:val="center"/>
          </w:tcPr>
          <w:p w14:paraId="1C6BEF63" w14:textId="77777777" w:rsidR="00F61BA8" w:rsidRPr="00F534AF" w:rsidRDefault="00000000" w:rsidP="00F534AF">
            <w:pPr>
              <w:jc w:val="center"/>
              <w:rPr>
                <w:rFonts w:ascii="Times New Roman" w:hAnsi="Times New Roman" w:cs="Times New Roman"/>
                <w:sz w:val="18"/>
                <w:szCs w:val="18"/>
              </w:rPr>
            </w:pPr>
            <w:r w:rsidRPr="00F534AF">
              <w:rPr>
                <w:rFonts w:ascii="Times New Roman" w:hAnsi="Times New Roman" w:cs="Times New Roman"/>
                <w:b/>
                <w:sz w:val="18"/>
                <w:szCs w:val="18"/>
              </w:rPr>
              <w:t>Fill rate</w:t>
            </w:r>
          </w:p>
        </w:tc>
        <w:tc>
          <w:tcPr>
            <w:tcW w:w="1276" w:type="dxa"/>
            <w:vAlign w:val="center"/>
          </w:tcPr>
          <w:p w14:paraId="73CB6BCC" w14:textId="77777777" w:rsidR="00F61BA8" w:rsidRPr="00F534AF" w:rsidRDefault="00000000" w:rsidP="00F534AF">
            <w:pPr>
              <w:jc w:val="center"/>
              <w:rPr>
                <w:rFonts w:ascii="Times New Roman" w:hAnsi="Times New Roman" w:cs="Times New Roman"/>
                <w:sz w:val="18"/>
                <w:szCs w:val="18"/>
              </w:rPr>
            </w:pPr>
            <w:r w:rsidRPr="00F534AF">
              <w:rPr>
                <w:rFonts w:ascii="Times New Roman" w:hAnsi="Times New Roman" w:cs="Times New Roman"/>
                <w:b/>
                <w:sz w:val="18"/>
                <w:szCs w:val="18"/>
              </w:rPr>
              <w:t xml:space="preserve">Stockout rate </w:t>
            </w:r>
          </w:p>
        </w:tc>
      </w:tr>
      <w:tr w:rsidR="00A5533F" w14:paraId="5E41641F" w14:textId="77777777" w:rsidTr="00EE1D9F">
        <w:tc>
          <w:tcPr>
            <w:tcW w:w="1134" w:type="dxa"/>
            <w:vMerge w:val="restart"/>
            <w:vAlign w:val="center"/>
          </w:tcPr>
          <w:p w14:paraId="5F715A41" w14:textId="77777777" w:rsidR="00A5533F" w:rsidRPr="00EE1D9F" w:rsidRDefault="00A5533F" w:rsidP="00F534AF">
            <w:pPr>
              <w:rPr>
                <w:rFonts w:ascii="Times New Roman" w:hAnsi="Times New Roman" w:cs="Times New Roman"/>
                <w:sz w:val="16"/>
                <w:szCs w:val="16"/>
              </w:rPr>
            </w:pPr>
            <w:r w:rsidRPr="00EE1D9F">
              <w:rPr>
                <w:rFonts w:ascii="Times New Roman" w:hAnsi="Times New Roman" w:cs="Times New Roman"/>
                <w:sz w:val="16"/>
                <w:szCs w:val="16"/>
              </w:rPr>
              <w:t>Baseline diagnostic</w:t>
            </w:r>
          </w:p>
        </w:tc>
        <w:tc>
          <w:tcPr>
            <w:tcW w:w="993" w:type="dxa"/>
            <w:vAlign w:val="center"/>
          </w:tcPr>
          <w:p w14:paraId="1AA06B3F"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Dynamic + Forecast</w:t>
            </w:r>
          </w:p>
        </w:tc>
        <w:tc>
          <w:tcPr>
            <w:tcW w:w="1984" w:type="dxa"/>
            <w:vAlign w:val="center"/>
          </w:tcPr>
          <w:p w14:paraId="173F1E7D"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23,651,225</w:t>
            </w:r>
            <w:r w:rsidRPr="00F534AF">
              <w:rPr>
                <w:rFonts w:ascii="Times New Roman" w:hAnsi="Times New Roman" w:cs="Times New Roman"/>
                <w:sz w:val="16"/>
                <w:szCs w:val="16"/>
              </w:rPr>
              <w:br/>
              <w:t>[22,985,171; 24,367,153]</w:t>
            </w:r>
          </w:p>
        </w:tc>
        <w:tc>
          <w:tcPr>
            <w:tcW w:w="1701" w:type="dxa"/>
            <w:vAlign w:val="center"/>
          </w:tcPr>
          <w:p w14:paraId="6B8169A4"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993,808</w:t>
            </w:r>
            <w:r w:rsidRPr="00F534AF">
              <w:rPr>
                <w:rFonts w:ascii="Times New Roman" w:hAnsi="Times New Roman" w:cs="Times New Roman"/>
                <w:sz w:val="16"/>
                <w:szCs w:val="16"/>
              </w:rPr>
              <w:br/>
              <w:t>[970,516; 1,019,517]</w:t>
            </w:r>
          </w:p>
        </w:tc>
        <w:tc>
          <w:tcPr>
            <w:tcW w:w="1559" w:type="dxa"/>
            <w:vAlign w:val="center"/>
          </w:tcPr>
          <w:p w14:paraId="5EBE9650"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178,261</w:t>
            </w:r>
            <w:r w:rsidRPr="00F534AF">
              <w:rPr>
                <w:rFonts w:ascii="Times New Roman" w:hAnsi="Times New Roman" w:cs="Times New Roman"/>
                <w:sz w:val="16"/>
                <w:szCs w:val="16"/>
              </w:rPr>
              <w:br/>
              <w:t>[173,692; 182,923]</w:t>
            </w:r>
          </w:p>
        </w:tc>
        <w:tc>
          <w:tcPr>
            <w:tcW w:w="1276" w:type="dxa"/>
            <w:vAlign w:val="center"/>
          </w:tcPr>
          <w:p w14:paraId="50995DE4"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75.4%</w:t>
            </w:r>
            <w:r w:rsidRPr="00F534AF">
              <w:rPr>
                <w:rFonts w:ascii="Times New Roman" w:hAnsi="Times New Roman" w:cs="Times New Roman"/>
                <w:sz w:val="16"/>
                <w:szCs w:val="16"/>
              </w:rPr>
              <w:br/>
              <w:t>[75.0%; 75.8%]</w:t>
            </w:r>
          </w:p>
        </w:tc>
        <w:tc>
          <w:tcPr>
            <w:tcW w:w="1276" w:type="dxa"/>
            <w:vAlign w:val="center"/>
          </w:tcPr>
          <w:p w14:paraId="26B3E413"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24.6%</w:t>
            </w:r>
            <w:r w:rsidRPr="00F534AF">
              <w:rPr>
                <w:rFonts w:ascii="Times New Roman" w:hAnsi="Times New Roman" w:cs="Times New Roman"/>
                <w:sz w:val="16"/>
                <w:szCs w:val="16"/>
              </w:rPr>
              <w:br/>
              <w:t>[24.2%; 25.0%]</w:t>
            </w:r>
          </w:p>
        </w:tc>
      </w:tr>
      <w:tr w:rsidR="00A5533F" w14:paraId="70519645" w14:textId="77777777" w:rsidTr="00EE1D9F">
        <w:tc>
          <w:tcPr>
            <w:tcW w:w="1134" w:type="dxa"/>
            <w:vMerge/>
            <w:vAlign w:val="center"/>
          </w:tcPr>
          <w:p w14:paraId="0DAAF472" w14:textId="77777777" w:rsidR="00A5533F" w:rsidRPr="00EE1D9F" w:rsidRDefault="00A5533F" w:rsidP="00F534AF">
            <w:pPr>
              <w:rPr>
                <w:rFonts w:ascii="Times New Roman" w:hAnsi="Times New Roman" w:cs="Times New Roman"/>
                <w:sz w:val="16"/>
                <w:szCs w:val="16"/>
              </w:rPr>
            </w:pPr>
          </w:p>
        </w:tc>
        <w:tc>
          <w:tcPr>
            <w:tcW w:w="993" w:type="dxa"/>
            <w:vAlign w:val="center"/>
          </w:tcPr>
          <w:p w14:paraId="72708490"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Base-stock</w:t>
            </w:r>
          </w:p>
        </w:tc>
        <w:tc>
          <w:tcPr>
            <w:tcW w:w="1984" w:type="dxa"/>
            <w:vAlign w:val="center"/>
          </w:tcPr>
          <w:p w14:paraId="619A8FA2"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23,559,000</w:t>
            </w:r>
            <w:r w:rsidRPr="00F534AF">
              <w:rPr>
                <w:rFonts w:ascii="Times New Roman" w:hAnsi="Times New Roman" w:cs="Times New Roman"/>
                <w:sz w:val="16"/>
                <w:szCs w:val="16"/>
              </w:rPr>
              <w:br/>
              <w:t>[22,890,317; 24,237,406]</w:t>
            </w:r>
          </w:p>
        </w:tc>
        <w:tc>
          <w:tcPr>
            <w:tcW w:w="1701" w:type="dxa"/>
            <w:vAlign w:val="center"/>
          </w:tcPr>
          <w:p w14:paraId="0185157E"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987,750</w:t>
            </w:r>
            <w:r w:rsidRPr="00F534AF">
              <w:rPr>
                <w:rFonts w:ascii="Times New Roman" w:hAnsi="Times New Roman" w:cs="Times New Roman"/>
                <w:sz w:val="16"/>
                <w:szCs w:val="16"/>
              </w:rPr>
              <w:br/>
              <w:t>[964,540; 1,011,761]</w:t>
            </w:r>
          </w:p>
        </w:tc>
        <w:tc>
          <w:tcPr>
            <w:tcW w:w="1559" w:type="dxa"/>
            <w:vAlign w:val="center"/>
          </w:tcPr>
          <w:p w14:paraId="69963BDE"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176,593</w:t>
            </w:r>
            <w:r w:rsidRPr="00F534AF">
              <w:rPr>
                <w:rFonts w:ascii="Times New Roman" w:hAnsi="Times New Roman" w:cs="Times New Roman"/>
                <w:sz w:val="16"/>
                <w:szCs w:val="16"/>
              </w:rPr>
              <w:br/>
              <w:t>[171,980; 180,910]</w:t>
            </w:r>
          </w:p>
        </w:tc>
        <w:tc>
          <w:tcPr>
            <w:tcW w:w="1276" w:type="dxa"/>
            <w:vAlign w:val="center"/>
          </w:tcPr>
          <w:p w14:paraId="43839D3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75.5%</w:t>
            </w:r>
            <w:r w:rsidRPr="00F534AF">
              <w:rPr>
                <w:rFonts w:ascii="Times New Roman" w:hAnsi="Times New Roman" w:cs="Times New Roman"/>
                <w:sz w:val="16"/>
                <w:szCs w:val="16"/>
              </w:rPr>
              <w:br/>
              <w:t>[75.0%; 75.9%]</w:t>
            </w:r>
          </w:p>
        </w:tc>
        <w:tc>
          <w:tcPr>
            <w:tcW w:w="1276" w:type="dxa"/>
            <w:vAlign w:val="center"/>
          </w:tcPr>
          <w:p w14:paraId="2B337664"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24.4%</w:t>
            </w:r>
            <w:r w:rsidRPr="00F534AF">
              <w:rPr>
                <w:rFonts w:ascii="Times New Roman" w:hAnsi="Times New Roman" w:cs="Times New Roman"/>
                <w:sz w:val="16"/>
                <w:szCs w:val="16"/>
              </w:rPr>
              <w:br/>
              <w:t>[24.1%; 24.8%]</w:t>
            </w:r>
          </w:p>
        </w:tc>
      </w:tr>
      <w:tr w:rsidR="00A5533F" w14:paraId="5BAEF249" w14:textId="77777777" w:rsidTr="00EE1D9F">
        <w:tc>
          <w:tcPr>
            <w:tcW w:w="1134" w:type="dxa"/>
            <w:vMerge/>
            <w:vAlign w:val="center"/>
          </w:tcPr>
          <w:p w14:paraId="04FEBAE6" w14:textId="77777777" w:rsidR="00A5533F" w:rsidRPr="00EE1D9F" w:rsidRDefault="00A5533F" w:rsidP="00F534AF">
            <w:pPr>
              <w:rPr>
                <w:rFonts w:ascii="Times New Roman" w:hAnsi="Times New Roman" w:cs="Times New Roman"/>
                <w:sz w:val="16"/>
                <w:szCs w:val="16"/>
              </w:rPr>
            </w:pPr>
          </w:p>
        </w:tc>
        <w:tc>
          <w:tcPr>
            <w:tcW w:w="993" w:type="dxa"/>
            <w:vAlign w:val="center"/>
          </w:tcPr>
          <w:p w14:paraId="3B54B756"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Hybrid AI</w:t>
            </w:r>
          </w:p>
        </w:tc>
        <w:tc>
          <w:tcPr>
            <w:tcW w:w="1984" w:type="dxa"/>
            <w:vAlign w:val="center"/>
          </w:tcPr>
          <w:p w14:paraId="3C0A3768"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12,785,152</w:t>
            </w:r>
            <w:r w:rsidRPr="00F534AF">
              <w:rPr>
                <w:rFonts w:ascii="Times New Roman" w:hAnsi="Times New Roman" w:cs="Times New Roman"/>
                <w:sz w:val="16"/>
                <w:szCs w:val="16"/>
              </w:rPr>
              <w:br/>
              <w:t>[12,193,929; 13,404,870]</w:t>
            </w:r>
          </w:p>
        </w:tc>
        <w:tc>
          <w:tcPr>
            <w:tcW w:w="1701" w:type="dxa"/>
            <w:vAlign w:val="center"/>
          </w:tcPr>
          <w:p w14:paraId="6EFC7076"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195,115</w:t>
            </w:r>
            <w:r w:rsidRPr="00F534AF">
              <w:rPr>
                <w:rFonts w:ascii="Times New Roman" w:hAnsi="Times New Roman" w:cs="Times New Roman"/>
                <w:sz w:val="16"/>
                <w:szCs w:val="16"/>
              </w:rPr>
              <w:br/>
              <w:t>[172,740; 220,299]</w:t>
            </w:r>
          </w:p>
        </w:tc>
        <w:tc>
          <w:tcPr>
            <w:tcW w:w="1559" w:type="dxa"/>
            <w:vAlign w:val="center"/>
          </w:tcPr>
          <w:p w14:paraId="65735D58"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36,966</w:t>
            </w:r>
            <w:r w:rsidRPr="00F534AF">
              <w:rPr>
                <w:rFonts w:ascii="Times New Roman" w:hAnsi="Times New Roman" w:cs="Times New Roman"/>
                <w:sz w:val="16"/>
                <w:szCs w:val="16"/>
              </w:rPr>
              <w:br/>
              <w:t>[32,687; 41,585]</w:t>
            </w:r>
          </w:p>
        </w:tc>
        <w:tc>
          <w:tcPr>
            <w:tcW w:w="1276" w:type="dxa"/>
            <w:vAlign w:val="center"/>
          </w:tcPr>
          <w:p w14:paraId="15D0EA30"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73.7%</w:t>
            </w:r>
            <w:r w:rsidRPr="00F534AF">
              <w:rPr>
                <w:rFonts w:ascii="Times New Roman" w:hAnsi="Times New Roman" w:cs="Times New Roman"/>
                <w:sz w:val="16"/>
                <w:szCs w:val="16"/>
              </w:rPr>
              <w:br/>
              <w:t>[72.8%; 74.7%]</w:t>
            </w:r>
          </w:p>
        </w:tc>
        <w:tc>
          <w:tcPr>
            <w:tcW w:w="1276" w:type="dxa"/>
            <w:vAlign w:val="center"/>
          </w:tcPr>
          <w:p w14:paraId="0AB4F886"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26.2%</w:t>
            </w:r>
            <w:r w:rsidRPr="00F534AF">
              <w:rPr>
                <w:rFonts w:ascii="Times New Roman" w:hAnsi="Times New Roman" w:cs="Times New Roman"/>
                <w:sz w:val="16"/>
                <w:szCs w:val="16"/>
              </w:rPr>
              <w:br/>
              <w:t>[25.3%; 27.2%]</w:t>
            </w:r>
          </w:p>
        </w:tc>
      </w:tr>
      <w:tr w:rsidR="00A5533F" w14:paraId="637372BF" w14:textId="77777777" w:rsidTr="00EE1D9F">
        <w:tc>
          <w:tcPr>
            <w:tcW w:w="1134" w:type="dxa"/>
            <w:vMerge w:val="restart"/>
            <w:vAlign w:val="center"/>
          </w:tcPr>
          <w:p w14:paraId="6191D0E8" w14:textId="77777777" w:rsidR="00A5533F" w:rsidRPr="00EE1D9F" w:rsidRDefault="00A5533F" w:rsidP="00F534AF">
            <w:pPr>
              <w:rPr>
                <w:rFonts w:ascii="Times New Roman" w:hAnsi="Times New Roman" w:cs="Times New Roman"/>
                <w:sz w:val="16"/>
                <w:szCs w:val="16"/>
              </w:rPr>
            </w:pPr>
            <w:r w:rsidRPr="00EE1D9F">
              <w:rPr>
                <w:rFonts w:ascii="Times New Roman" w:hAnsi="Times New Roman" w:cs="Times New Roman"/>
                <w:sz w:val="16"/>
                <w:szCs w:val="16"/>
              </w:rPr>
              <w:t>No-bonus ablation</w:t>
            </w:r>
          </w:p>
        </w:tc>
        <w:tc>
          <w:tcPr>
            <w:tcW w:w="993" w:type="dxa"/>
            <w:vAlign w:val="center"/>
          </w:tcPr>
          <w:p w14:paraId="32082DD2"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Dynamic + Forecast</w:t>
            </w:r>
          </w:p>
        </w:tc>
        <w:tc>
          <w:tcPr>
            <w:tcW w:w="1984" w:type="dxa"/>
            <w:vAlign w:val="center"/>
          </w:tcPr>
          <w:p w14:paraId="7ED2AD73"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23,660,775</w:t>
            </w:r>
            <w:r w:rsidRPr="00F534AF">
              <w:rPr>
                <w:rFonts w:ascii="Times New Roman" w:hAnsi="Times New Roman" w:cs="Times New Roman"/>
                <w:sz w:val="16"/>
                <w:szCs w:val="16"/>
              </w:rPr>
              <w:br/>
              <w:t>[22,923,469; 24,437,251]</w:t>
            </w:r>
          </w:p>
        </w:tc>
        <w:tc>
          <w:tcPr>
            <w:tcW w:w="1701" w:type="dxa"/>
            <w:vAlign w:val="center"/>
          </w:tcPr>
          <w:p w14:paraId="7354FEA6"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994,545</w:t>
            </w:r>
            <w:r w:rsidRPr="00F534AF">
              <w:rPr>
                <w:rFonts w:ascii="Times New Roman" w:hAnsi="Times New Roman" w:cs="Times New Roman"/>
                <w:sz w:val="16"/>
                <w:szCs w:val="16"/>
              </w:rPr>
              <w:br/>
              <w:t>[970,339; 1,017,655]</w:t>
            </w:r>
          </w:p>
        </w:tc>
        <w:tc>
          <w:tcPr>
            <w:tcW w:w="1559" w:type="dxa"/>
            <w:vAlign w:val="center"/>
          </w:tcPr>
          <w:p w14:paraId="1EBA197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178,317</w:t>
            </w:r>
            <w:r w:rsidRPr="00F534AF">
              <w:rPr>
                <w:rFonts w:ascii="Times New Roman" w:hAnsi="Times New Roman" w:cs="Times New Roman"/>
                <w:sz w:val="16"/>
                <w:szCs w:val="16"/>
              </w:rPr>
              <w:br/>
              <w:t>[173,672; 182,747]</w:t>
            </w:r>
          </w:p>
        </w:tc>
        <w:tc>
          <w:tcPr>
            <w:tcW w:w="1276" w:type="dxa"/>
            <w:vAlign w:val="center"/>
          </w:tcPr>
          <w:p w14:paraId="646FF17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75.4%</w:t>
            </w:r>
            <w:r w:rsidRPr="00F534AF">
              <w:rPr>
                <w:rFonts w:ascii="Times New Roman" w:hAnsi="Times New Roman" w:cs="Times New Roman"/>
                <w:sz w:val="16"/>
                <w:szCs w:val="16"/>
              </w:rPr>
              <w:br/>
              <w:t>[74.9%; 75.8%]</w:t>
            </w:r>
          </w:p>
        </w:tc>
        <w:tc>
          <w:tcPr>
            <w:tcW w:w="1276" w:type="dxa"/>
            <w:vAlign w:val="center"/>
          </w:tcPr>
          <w:p w14:paraId="358FA9D7"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24.6%</w:t>
            </w:r>
            <w:r w:rsidRPr="00F534AF">
              <w:rPr>
                <w:rFonts w:ascii="Times New Roman" w:hAnsi="Times New Roman" w:cs="Times New Roman"/>
                <w:sz w:val="16"/>
                <w:szCs w:val="16"/>
              </w:rPr>
              <w:br/>
              <w:t>[24.2%; 24.9%]</w:t>
            </w:r>
          </w:p>
        </w:tc>
      </w:tr>
      <w:tr w:rsidR="00A5533F" w14:paraId="39D47DF1" w14:textId="77777777" w:rsidTr="00EE1D9F">
        <w:tc>
          <w:tcPr>
            <w:tcW w:w="1134" w:type="dxa"/>
            <w:vMerge/>
            <w:vAlign w:val="center"/>
          </w:tcPr>
          <w:p w14:paraId="5F05FAD4" w14:textId="77777777" w:rsidR="00A5533F" w:rsidRPr="00EE1D9F" w:rsidRDefault="00A5533F" w:rsidP="00F534AF">
            <w:pPr>
              <w:rPr>
                <w:rFonts w:ascii="Times New Roman" w:hAnsi="Times New Roman" w:cs="Times New Roman"/>
                <w:sz w:val="16"/>
                <w:szCs w:val="16"/>
              </w:rPr>
            </w:pPr>
          </w:p>
        </w:tc>
        <w:tc>
          <w:tcPr>
            <w:tcW w:w="993" w:type="dxa"/>
            <w:vAlign w:val="center"/>
          </w:tcPr>
          <w:p w14:paraId="03747102"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Base-stock</w:t>
            </w:r>
          </w:p>
        </w:tc>
        <w:tc>
          <w:tcPr>
            <w:tcW w:w="1984" w:type="dxa"/>
            <w:vAlign w:val="center"/>
          </w:tcPr>
          <w:p w14:paraId="252012F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23,616,735</w:t>
            </w:r>
            <w:r w:rsidRPr="00F534AF">
              <w:rPr>
                <w:rFonts w:ascii="Times New Roman" w:hAnsi="Times New Roman" w:cs="Times New Roman"/>
                <w:sz w:val="16"/>
                <w:szCs w:val="16"/>
              </w:rPr>
              <w:br/>
            </w:r>
            <w:r w:rsidRPr="00F534AF">
              <w:rPr>
                <w:rFonts w:ascii="Times New Roman" w:hAnsi="Times New Roman" w:cs="Times New Roman"/>
                <w:sz w:val="16"/>
                <w:szCs w:val="16"/>
              </w:rPr>
              <w:lastRenderedPageBreak/>
              <w:t>[22,998,590; 24,263,143]</w:t>
            </w:r>
          </w:p>
        </w:tc>
        <w:tc>
          <w:tcPr>
            <w:tcW w:w="1701" w:type="dxa"/>
            <w:vAlign w:val="center"/>
          </w:tcPr>
          <w:p w14:paraId="5A84AB9A"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lastRenderedPageBreak/>
              <w:t>989,593</w:t>
            </w:r>
            <w:r w:rsidRPr="00F534AF">
              <w:rPr>
                <w:rFonts w:ascii="Times New Roman" w:hAnsi="Times New Roman" w:cs="Times New Roman"/>
                <w:sz w:val="16"/>
                <w:szCs w:val="16"/>
              </w:rPr>
              <w:br/>
            </w:r>
            <w:r w:rsidRPr="00F534AF">
              <w:rPr>
                <w:rFonts w:ascii="Times New Roman" w:hAnsi="Times New Roman" w:cs="Times New Roman"/>
                <w:sz w:val="16"/>
                <w:szCs w:val="16"/>
              </w:rPr>
              <w:lastRenderedPageBreak/>
              <w:t>[967,315; 1,010,341]</w:t>
            </w:r>
          </w:p>
        </w:tc>
        <w:tc>
          <w:tcPr>
            <w:tcW w:w="1559" w:type="dxa"/>
            <w:vAlign w:val="center"/>
          </w:tcPr>
          <w:p w14:paraId="2EB8284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lastRenderedPageBreak/>
              <w:t>176,948</w:t>
            </w:r>
            <w:r w:rsidRPr="00F534AF">
              <w:rPr>
                <w:rFonts w:ascii="Times New Roman" w:hAnsi="Times New Roman" w:cs="Times New Roman"/>
                <w:sz w:val="16"/>
                <w:szCs w:val="16"/>
              </w:rPr>
              <w:br/>
            </w:r>
            <w:r w:rsidRPr="00F534AF">
              <w:rPr>
                <w:rFonts w:ascii="Times New Roman" w:hAnsi="Times New Roman" w:cs="Times New Roman"/>
                <w:sz w:val="16"/>
                <w:szCs w:val="16"/>
              </w:rPr>
              <w:lastRenderedPageBreak/>
              <w:t>[172,856; 181,137]</w:t>
            </w:r>
          </w:p>
        </w:tc>
        <w:tc>
          <w:tcPr>
            <w:tcW w:w="1276" w:type="dxa"/>
            <w:vAlign w:val="center"/>
          </w:tcPr>
          <w:p w14:paraId="69EE3D3A"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lastRenderedPageBreak/>
              <w:t>75.4%</w:t>
            </w:r>
            <w:r w:rsidRPr="00F534AF">
              <w:rPr>
                <w:rFonts w:ascii="Times New Roman" w:hAnsi="Times New Roman" w:cs="Times New Roman"/>
                <w:sz w:val="16"/>
                <w:szCs w:val="16"/>
              </w:rPr>
              <w:br/>
            </w:r>
            <w:r w:rsidRPr="00F534AF">
              <w:rPr>
                <w:rFonts w:ascii="Times New Roman" w:hAnsi="Times New Roman" w:cs="Times New Roman"/>
                <w:sz w:val="16"/>
                <w:szCs w:val="16"/>
              </w:rPr>
              <w:lastRenderedPageBreak/>
              <w:t>[74.9%; 75.9%]</w:t>
            </w:r>
          </w:p>
        </w:tc>
        <w:tc>
          <w:tcPr>
            <w:tcW w:w="1276" w:type="dxa"/>
            <w:vAlign w:val="center"/>
          </w:tcPr>
          <w:p w14:paraId="73AFC990"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lastRenderedPageBreak/>
              <w:t>24.5%</w:t>
            </w:r>
            <w:r w:rsidRPr="00F534AF">
              <w:rPr>
                <w:rFonts w:ascii="Times New Roman" w:hAnsi="Times New Roman" w:cs="Times New Roman"/>
                <w:sz w:val="16"/>
                <w:szCs w:val="16"/>
              </w:rPr>
              <w:br/>
            </w:r>
            <w:r w:rsidRPr="00F534AF">
              <w:rPr>
                <w:rFonts w:ascii="Times New Roman" w:hAnsi="Times New Roman" w:cs="Times New Roman"/>
                <w:sz w:val="16"/>
                <w:szCs w:val="16"/>
              </w:rPr>
              <w:lastRenderedPageBreak/>
              <w:t>[24.2%; 24.9%]</w:t>
            </w:r>
          </w:p>
        </w:tc>
      </w:tr>
      <w:tr w:rsidR="00A5533F" w14:paraId="4EB007C3" w14:textId="77777777" w:rsidTr="00EE1D9F">
        <w:tc>
          <w:tcPr>
            <w:tcW w:w="1134" w:type="dxa"/>
            <w:vMerge/>
            <w:vAlign w:val="center"/>
          </w:tcPr>
          <w:p w14:paraId="27F05E4B" w14:textId="77777777" w:rsidR="00A5533F" w:rsidRPr="00EE1D9F" w:rsidRDefault="00A5533F" w:rsidP="00F534AF">
            <w:pPr>
              <w:rPr>
                <w:rFonts w:ascii="Times New Roman" w:hAnsi="Times New Roman" w:cs="Times New Roman"/>
                <w:sz w:val="16"/>
                <w:szCs w:val="16"/>
              </w:rPr>
            </w:pPr>
          </w:p>
        </w:tc>
        <w:tc>
          <w:tcPr>
            <w:tcW w:w="993" w:type="dxa"/>
            <w:vAlign w:val="center"/>
          </w:tcPr>
          <w:p w14:paraId="4B5E319F"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Hybrid AI</w:t>
            </w:r>
          </w:p>
        </w:tc>
        <w:tc>
          <w:tcPr>
            <w:tcW w:w="1984" w:type="dxa"/>
            <w:vAlign w:val="center"/>
          </w:tcPr>
          <w:p w14:paraId="77A27A73"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12,871,800</w:t>
            </w:r>
            <w:r w:rsidRPr="00F534AF">
              <w:rPr>
                <w:rFonts w:ascii="Times New Roman" w:hAnsi="Times New Roman" w:cs="Times New Roman"/>
                <w:sz w:val="16"/>
                <w:szCs w:val="16"/>
              </w:rPr>
              <w:br/>
              <w:t>[12,305,444; 13,454,011]</w:t>
            </w:r>
          </w:p>
        </w:tc>
        <w:tc>
          <w:tcPr>
            <w:tcW w:w="1701" w:type="dxa"/>
            <w:vAlign w:val="center"/>
          </w:tcPr>
          <w:p w14:paraId="2F4077E1"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201,867</w:t>
            </w:r>
            <w:r w:rsidRPr="00F534AF">
              <w:rPr>
                <w:rFonts w:ascii="Times New Roman" w:hAnsi="Times New Roman" w:cs="Times New Roman"/>
                <w:sz w:val="16"/>
                <w:szCs w:val="16"/>
              </w:rPr>
              <w:br/>
              <w:t>[174,710; 232,281]</w:t>
            </w:r>
          </w:p>
        </w:tc>
        <w:tc>
          <w:tcPr>
            <w:tcW w:w="1559" w:type="dxa"/>
            <w:vAlign w:val="center"/>
          </w:tcPr>
          <w:p w14:paraId="5743AE01"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38,263</w:t>
            </w:r>
            <w:r w:rsidRPr="00F534AF">
              <w:rPr>
                <w:rFonts w:ascii="Times New Roman" w:hAnsi="Times New Roman" w:cs="Times New Roman"/>
                <w:sz w:val="16"/>
                <w:szCs w:val="16"/>
              </w:rPr>
              <w:br/>
              <w:t>[33,726; 43,227]</w:t>
            </w:r>
          </w:p>
        </w:tc>
        <w:tc>
          <w:tcPr>
            <w:tcW w:w="1276" w:type="dxa"/>
            <w:vAlign w:val="center"/>
          </w:tcPr>
          <w:p w14:paraId="5A775033"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73.7%</w:t>
            </w:r>
            <w:r w:rsidRPr="00F534AF">
              <w:rPr>
                <w:rFonts w:ascii="Times New Roman" w:hAnsi="Times New Roman" w:cs="Times New Roman"/>
                <w:sz w:val="16"/>
                <w:szCs w:val="16"/>
              </w:rPr>
              <w:br/>
              <w:t>[72.6%; 74.6%]</w:t>
            </w:r>
          </w:p>
        </w:tc>
        <w:tc>
          <w:tcPr>
            <w:tcW w:w="1276" w:type="dxa"/>
            <w:vAlign w:val="center"/>
          </w:tcPr>
          <w:p w14:paraId="2E4CADB0"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26.3%</w:t>
            </w:r>
            <w:r w:rsidRPr="00F534AF">
              <w:rPr>
                <w:rFonts w:ascii="Times New Roman" w:hAnsi="Times New Roman" w:cs="Times New Roman"/>
                <w:sz w:val="16"/>
                <w:szCs w:val="16"/>
              </w:rPr>
              <w:br/>
              <w:t>[25.4%; 27.2%]</w:t>
            </w:r>
          </w:p>
        </w:tc>
      </w:tr>
      <w:tr w:rsidR="00A5533F" w14:paraId="1D75874C" w14:textId="77777777" w:rsidTr="00EE1D9F">
        <w:tc>
          <w:tcPr>
            <w:tcW w:w="1134" w:type="dxa"/>
            <w:vMerge w:val="restart"/>
            <w:vAlign w:val="center"/>
          </w:tcPr>
          <w:p w14:paraId="5226A0FA" w14:textId="77777777" w:rsidR="00A5533F" w:rsidRPr="00EE1D9F" w:rsidRDefault="00A5533F" w:rsidP="00F534AF">
            <w:pPr>
              <w:rPr>
                <w:rFonts w:ascii="Times New Roman" w:hAnsi="Times New Roman" w:cs="Times New Roman"/>
                <w:sz w:val="16"/>
                <w:szCs w:val="16"/>
              </w:rPr>
            </w:pPr>
            <w:r w:rsidRPr="00EE1D9F">
              <w:rPr>
                <w:rFonts w:ascii="Times New Roman" w:hAnsi="Times New Roman" w:cs="Times New Roman"/>
                <w:sz w:val="16"/>
                <w:szCs w:val="16"/>
              </w:rPr>
              <w:t>Fallback ablation</w:t>
            </w:r>
          </w:p>
        </w:tc>
        <w:tc>
          <w:tcPr>
            <w:tcW w:w="993" w:type="dxa"/>
            <w:vAlign w:val="center"/>
          </w:tcPr>
          <w:p w14:paraId="2EFA6832"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Dynamic + Forecast</w:t>
            </w:r>
          </w:p>
        </w:tc>
        <w:tc>
          <w:tcPr>
            <w:tcW w:w="1984" w:type="dxa"/>
            <w:vAlign w:val="center"/>
          </w:tcPr>
          <w:p w14:paraId="577C03AE"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23,651,225</w:t>
            </w:r>
            <w:r w:rsidRPr="00F534AF">
              <w:rPr>
                <w:rFonts w:ascii="Times New Roman" w:hAnsi="Times New Roman" w:cs="Times New Roman"/>
                <w:sz w:val="16"/>
                <w:szCs w:val="16"/>
              </w:rPr>
              <w:br/>
              <w:t>[22,910,645; 24,361,177]</w:t>
            </w:r>
          </w:p>
        </w:tc>
        <w:tc>
          <w:tcPr>
            <w:tcW w:w="1701" w:type="dxa"/>
            <w:vAlign w:val="center"/>
          </w:tcPr>
          <w:p w14:paraId="4BA608EB"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993,808</w:t>
            </w:r>
            <w:r w:rsidRPr="00F534AF">
              <w:rPr>
                <w:rFonts w:ascii="Times New Roman" w:hAnsi="Times New Roman" w:cs="Times New Roman"/>
                <w:sz w:val="16"/>
                <w:szCs w:val="16"/>
              </w:rPr>
              <w:br/>
              <w:t>[968,272; 1,017,063]</w:t>
            </w:r>
          </w:p>
        </w:tc>
        <w:tc>
          <w:tcPr>
            <w:tcW w:w="1559" w:type="dxa"/>
            <w:vAlign w:val="center"/>
          </w:tcPr>
          <w:p w14:paraId="3BB10FFD"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178,261</w:t>
            </w:r>
            <w:r w:rsidRPr="00F534AF">
              <w:rPr>
                <w:rFonts w:ascii="Times New Roman" w:hAnsi="Times New Roman" w:cs="Times New Roman"/>
                <w:sz w:val="16"/>
                <w:szCs w:val="16"/>
              </w:rPr>
              <w:br/>
              <w:t>[173,496; 182,488]</w:t>
            </w:r>
          </w:p>
        </w:tc>
        <w:tc>
          <w:tcPr>
            <w:tcW w:w="1276" w:type="dxa"/>
            <w:vAlign w:val="center"/>
          </w:tcPr>
          <w:p w14:paraId="12BF36FA"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75.4%</w:t>
            </w:r>
            <w:r w:rsidRPr="00F534AF">
              <w:rPr>
                <w:rFonts w:ascii="Times New Roman" w:hAnsi="Times New Roman" w:cs="Times New Roman"/>
                <w:sz w:val="16"/>
                <w:szCs w:val="16"/>
              </w:rPr>
              <w:br/>
              <w:t>[75.0%; 75.8%]</w:t>
            </w:r>
          </w:p>
        </w:tc>
        <w:tc>
          <w:tcPr>
            <w:tcW w:w="1276" w:type="dxa"/>
            <w:vAlign w:val="center"/>
          </w:tcPr>
          <w:p w14:paraId="4CACD50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24.6%</w:t>
            </w:r>
            <w:r w:rsidRPr="00F534AF">
              <w:rPr>
                <w:rFonts w:ascii="Times New Roman" w:hAnsi="Times New Roman" w:cs="Times New Roman"/>
                <w:sz w:val="16"/>
                <w:szCs w:val="16"/>
              </w:rPr>
              <w:br/>
              <w:t>[24.2%; 25.0%]</w:t>
            </w:r>
          </w:p>
        </w:tc>
      </w:tr>
      <w:tr w:rsidR="00A5533F" w14:paraId="45A30A9B" w14:textId="77777777" w:rsidTr="00EE1D9F">
        <w:tc>
          <w:tcPr>
            <w:tcW w:w="1134" w:type="dxa"/>
            <w:vMerge/>
            <w:vAlign w:val="center"/>
          </w:tcPr>
          <w:p w14:paraId="40D43DF5" w14:textId="77777777" w:rsidR="00A5533F" w:rsidRPr="00EE1D9F" w:rsidRDefault="00A5533F" w:rsidP="00F534AF">
            <w:pPr>
              <w:rPr>
                <w:rFonts w:ascii="Times New Roman" w:hAnsi="Times New Roman" w:cs="Times New Roman"/>
                <w:sz w:val="16"/>
                <w:szCs w:val="16"/>
              </w:rPr>
            </w:pPr>
          </w:p>
        </w:tc>
        <w:tc>
          <w:tcPr>
            <w:tcW w:w="993" w:type="dxa"/>
            <w:vAlign w:val="center"/>
          </w:tcPr>
          <w:p w14:paraId="2959C78E"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Base-stock</w:t>
            </w:r>
          </w:p>
        </w:tc>
        <w:tc>
          <w:tcPr>
            <w:tcW w:w="1984" w:type="dxa"/>
            <w:vAlign w:val="center"/>
          </w:tcPr>
          <w:p w14:paraId="74496D7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23,559,000</w:t>
            </w:r>
            <w:r w:rsidRPr="00F534AF">
              <w:rPr>
                <w:rFonts w:ascii="Times New Roman" w:hAnsi="Times New Roman" w:cs="Times New Roman"/>
                <w:sz w:val="16"/>
                <w:szCs w:val="16"/>
              </w:rPr>
              <w:br/>
              <w:t>[22,860,914; 24,271,140]</w:t>
            </w:r>
          </w:p>
        </w:tc>
        <w:tc>
          <w:tcPr>
            <w:tcW w:w="1701" w:type="dxa"/>
            <w:vAlign w:val="center"/>
          </w:tcPr>
          <w:p w14:paraId="3FF9A176"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987,750</w:t>
            </w:r>
            <w:r w:rsidRPr="00F534AF">
              <w:rPr>
                <w:rFonts w:ascii="Times New Roman" w:hAnsi="Times New Roman" w:cs="Times New Roman"/>
                <w:sz w:val="16"/>
                <w:szCs w:val="16"/>
              </w:rPr>
              <w:br/>
              <w:t>[965,294; 1,010,585]</w:t>
            </w:r>
          </w:p>
        </w:tc>
        <w:tc>
          <w:tcPr>
            <w:tcW w:w="1559" w:type="dxa"/>
            <w:vAlign w:val="center"/>
          </w:tcPr>
          <w:p w14:paraId="66B3F1EC"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176,593</w:t>
            </w:r>
            <w:r w:rsidRPr="00F534AF">
              <w:rPr>
                <w:rFonts w:ascii="Times New Roman" w:hAnsi="Times New Roman" w:cs="Times New Roman"/>
                <w:sz w:val="16"/>
                <w:szCs w:val="16"/>
              </w:rPr>
              <w:br/>
              <w:t>[171,857; 180,478]</w:t>
            </w:r>
          </w:p>
        </w:tc>
        <w:tc>
          <w:tcPr>
            <w:tcW w:w="1276" w:type="dxa"/>
            <w:vAlign w:val="center"/>
          </w:tcPr>
          <w:p w14:paraId="2054E492"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75.5%</w:t>
            </w:r>
            <w:r w:rsidRPr="00F534AF">
              <w:rPr>
                <w:rFonts w:ascii="Times New Roman" w:hAnsi="Times New Roman" w:cs="Times New Roman"/>
                <w:sz w:val="16"/>
                <w:szCs w:val="16"/>
              </w:rPr>
              <w:br/>
              <w:t>[75.0%; 75.9%]</w:t>
            </w:r>
          </w:p>
        </w:tc>
        <w:tc>
          <w:tcPr>
            <w:tcW w:w="1276" w:type="dxa"/>
            <w:vAlign w:val="center"/>
          </w:tcPr>
          <w:p w14:paraId="73D175D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24.4%</w:t>
            </w:r>
            <w:r w:rsidRPr="00F534AF">
              <w:rPr>
                <w:rFonts w:ascii="Times New Roman" w:hAnsi="Times New Roman" w:cs="Times New Roman"/>
                <w:sz w:val="16"/>
                <w:szCs w:val="16"/>
              </w:rPr>
              <w:br/>
              <w:t>[24.1%; 24.8%]</w:t>
            </w:r>
          </w:p>
        </w:tc>
      </w:tr>
      <w:tr w:rsidR="00A5533F" w14:paraId="44ECE9C1" w14:textId="77777777" w:rsidTr="00EE1D9F">
        <w:tc>
          <w:tcPr>
            <w:tcW w:w="1134" w:type="dxa"/>
            <w:vMerge/>
            <w:vAlign w:val="center"/>
          </w:tcPr>
          <w:p w14:paraId="1ADAB10E" w14:textId="77777777" w:rsidR="00A5533F" w:rsidRPr="00EE1D9F" w:rsidRDefault="00A5533F" w:rsidP="00F534AF">
            <w:pPr>
              <w:rPr>
                <w:rFonts w:ascii="Times New Roman" w:hAnsi="Times New Roman" w:cs="Times New Roman"/>
                <w:sz w:val="16"/>
                <w:szCs w:val="16"/>
              </w:rPr>
            </w:pPr>
          </w:p>
        </w:tc>
        <w:tc>
          <w:tcPr>
            <w:tcW w:w="993" w:type="dxa"/>
            <w:vAlign w:val="center"/>
          </w:tcPr>
          <w:p w14:paraId="52C72A45"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Hybrid AI</w:t>
            </w:r>
          </w:p>
        </w:tc>
        <w:tc>
          <w:tcPr>
            <w:tcW w:w="1984" w:type="dxa"/>
            <w:vAlign w:val="center"/>
          </w:tcPr>
          <w:p w14:paraId="3DAD7E25"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12,785,152</w:t>
            </w:r>
            <w:r w:rsidRPr="00F534AF">
              <w:rPr>
                <w:rFonts w:ascii="Times New Roman" w:hAnsi="Times New Roman" w:cs="Times New Roman"/>
                <w:sz w:val="16"/>
                <w:szCs w:val="16"/>
              </w:rPr>
              <w:br/>
              <w:t>[12,200,914; 13,312,368]</w:t>
            </w:r>
          </w:p>
        </w:tc>
        <w:tc>
          <w:tcPr>
            <w:tcW w:w="1701" w:type="dxa"/>
            <w:vAlign w:val="center"/>
          </w:tcPr>
          <w:p w14:paraId="43CD2C8E"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195,115</w:t>
            </w:r>
            <w:r w:rsidRPr="00F534AF">
              <w:rPr>
                <w:rFonts w:ascii="Times New Roman" w:hAnsi="Times New Roman" w:cs="Times New Roman"/>
                <w:sz w:val="16"/>
                <w:szCs w:val="16"/>
              </w:rPr>
              <w:br/>
              <w:t>[171,601; 221,860]</w:t>
            </w:r>
          </w:p>
        </w:tc>
        <w:tc>
          <w:tcPr>
            <w:tcW w:w="1559" w:type="dxa"/>
            <w:vAlign w:val="center"/>
          </w:tcPr>
          <w:p w14:paraId="313318A1"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36,966</w:t>
            </w:r>
            <w:r w:rsidRPr="00F534AF">
              <w:rPr>
                <w:rFonts w:ascii="Times New Roman" w:hAnsi="Times New Roman" w:cs="Times New Roman"/>
                <w:sz w:val="16"/>
                <w:szCs w:val="16"/>
              </w:rPr>
              <w:br/>
              <w:t>[32,900; 41,094]</w:t>
            </w:r>
          </w:p>
        </w:tc>
        <w:tc>
          <w:tcPr>
            <w:tcW w:w="1276" w:type="dxa"/>
            <w:vAlign w:val="center"/>
          </w:tcPr>
          <w:p w14:paraId="1044B88D"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73.7%</w:t>
            </w:r>
            <w:r w:rsidRPr="00F534AF">
              <w:rPr>
                <w:rFonts w:ascii="Times New Roman" w:hAnsi="Times New Roman" w:cs="Times New Roman"/>
                <w:sz w:val="16"/>
                <w:szCs w:val="16"/>
              </w:rPr>
              <w:br/>
              <w:t>[72.9%; 74.7%]</w:t>
            </w:r>
          </w:p>
        </w:tc>
        <w:tc>
          <w:tcPr>
            <w:tcW w:w="1276" w:type="dxa"/>
            <w:vAlign w:val="center"/>
          </w:tcPr>
          <w:p w14:paraId="3768A774"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26.2%</w:t>
            </w:r>
            <w:r w:rsidRPr="00F534AF">
              <w:rPr>
                <w:rFonts w:ascii="Times New Roman" w:hAnsi="Times New Roman" w:cs="Times New Roman"/>
                <w:sz w:val="16"/>
                <w:szCs w:val="16"/>
              </w:rPr>
              <w:br/>
              <w:t>[25.3%; 27.1%]</w:t>
            </w:r>
          </w:p>
        </w:tc>
      </w:tr>
      <w:tr w:rsidR="00A5533F" w14:paraId="619C06CC" w14:textId="77777777" w:rsidTr="00EE1D9F">
        <w:tc>
          <w:tcPr>
            <w:tcW w:w="1134" w:type="dxa"/>
            <w:vMerge w:val="restart"/>
            <w:vAlign w:val="center"/>
          </w:tcPr>
          <w:p w14:paraId="4FD05812" w14:textId="77777777" w:rsidR="00A5533F" w:rsidRPr="00EE1D9F" w:rsidRDefault="00A5533F" w:rsidP="00F534AF">
            <w:pPr>
              <w:rPr>
                <w:rFonts w:ascii="Times New Roman" w:hAnsi="Times New Roman" w:cs="Times New Roman"/>
                <w:sz w:val="16"/>
                <w:szCs w:val="16"/>
              </w:rPr>
            </w:pPr>
            <w:r w:rsidRPr="00EE1D9F">
              <w:rPr>
                <w:rFonts w:ascii="Times New Roman" w:hAnsi="Times New Roman" w:cs="Times New Roman"/>
                <w:sz w:val="16"/>
                <w:szCs w:val="16"/>
              </w:rPr>
              <w:t>Wide-action ablation (×3)</w:t>
            </w:r>
          </w:p>
        </w:tc>
        <w:tc>
          <w:tcPr>
            <w:tcW w:w="993" w:type="dxa"/>
            <w:vAlign w:val="center"/>
          </w:tcPr>
          <w:p w14:paraId="06CF84E8"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Dynamic + Forecast</w:t>
            </w:r>
          </w:p>
        </w:tc>
        <w:tc>
          <w:tcPr>
            <w:tcW w:w="1984" w:type="dxa"/>
            <w:vAlign w:val="center"/>
          </w:tcPr>
          <w:p w14:paraId="622A6E01"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23,660,302</w:t>
            </w:r>
            <w:r w:rsidRPr="00F534AF">
              <w:rPr>
                <w:rFonts w:ascii="Times New Roman" w:hAnsi="Times New Roman" w:cs="Times New Roman"/>
                <w:sz w:val="16"/>
                <w:szCs w:val="16"/>
              </w:rPr>
              <w:br/>
              <w:t>[22,904,040; 24,333,464]</w:t>
            </w:r>
          </w:p>
        </w:tc>
        <w:tc>
          <w:tcPr>
            <w:tcW w:w="1701" w:type="dxa"/>
            <w:vAlign w:val="center"/>
          </w:tcPr>
          <w:p w14:paraId="10CAFF46"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994,705</w:t>
            </w:r>
            <w:r w:rsidRPr="00F534AF">
              <w:rPr>
                <w:rFonts w:ascii="Times New Roman" w:hAnsi="Times New Roman" w:cs="Times New Roman"/>
                <w:sz w:val="16"/>
                <w:szCs w:val="16"/>
              </w:rPr>
              <w:br/>
              <w:t>[969,981; 1,017,048]</w:t>
            </w:r>
          </w:p>
        </w:tc>
        <w:tc>
          <w:tcPr>
            <w:tcW w:w="1559" w:type="dxa"/>
            <w:vAlign w:val="center"/>
          </w:tcPr>
          <w:p w14:paraId="56AFCAEA"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178,479</w:t>
            </w:r>
            <w:r w:rsidRPr="00F534AF">
              <w:rPr>
                <w:rFonts w:ascii="Times New Roman" w:hAnsi="Times New Roman" w:cs="Times New Roman"/>
                <w:sz w:val="16"/>
                <w:szCs w:val="16"/>
              </w:rPr>
              <w:br/>
              <w:t>[174,351; 182,612]</w:t>
            </w:r>
          </w:p>
        </w:tc>
        <w:tc>
          <w:tcPr>
            <w:tcW w:w="1276" w:type="dxa"/>
            <w:vAlign w:val="center"/>
          </w:tcPr>
          <w:p w14:paraId="31084C79"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75.4%</w:t>
            </w:r>
            <w:r w:rsidRPr="00F534AF">
              <w:rPr>
                <w:rFonts w:ascii="Times New Roman" w:hAnsi="Times New Roman" w:cs="Times New Roman"/>
                <w:sz w:val="16"/>
                <w:szCs w:val="16"/>
              </w:rPr>
              <w:br/>
              <w:t>[74.9%; 75.8%]</w:t>
            </w:r>
          </w:p>
        </w:tc>
        <w:tc>
          <w:tcPr>
            <w:tcW w:w="1276" w:type="dxa"/>
            <w:vAlign w:val="center"/>
          </w:tcPr>
          <w:p w14:paraId="266A9327"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24.6%</w:t>
            </w:r>
            <w:r w:rsidRPr="00F534AF">
              <w:rPr>
                <w:rFonts w:ascii="Times New Roman" w:hAnsi="Times New Roman" w:cs="Times New Roman"/>
                <w:sz w:val="16"/>
                <w:szCs w:val="16"/>
              </w:rPr>
              <w:br/>
              <w:t>[24.2%; 24.9%]</w:t>
            </w:r>
          </w:p>
        </w:tc>
      </w:tr>
      <w:tr w:rsidR="00A5533F" w14:paraId="55D40DCF" w14:textId="77777777" w:rsidTr="00EE1D9F">
        <w:tc>
          <w:tcPr>
            <w:tcW w:w="1134" w:type="dxa"/>
            <w:vMerge/>
            <w:vAlign w:val="center"/>
          </w:tcPr>
          <w:p w14:paraId="39BDB2D3" w14:textId="77777777" w:rsidR="00A5533F" w:rsidRPr="00EE1D9F" w:rsidRDefault="00A5533F" w:rsidP="00F534AF">
            <w:pPr>
              <w:rPr>
                <w:rFonts w:ascii="Times New Roman" w:hAnsi="Times New Roman" w:cs="Times New Roman"/>
                <w:sz w:val="16"/>
                <w:szCs w:val="16"/>
              </w:rPr>
            </w:pPr>
          </w:p>
        </w:tc>
        <w:tc>
          <w:tcPr>
            <w:tcW w:w="993" w:type="dxa"/>
            <w:vAlign w:val="center"/>
          </w:tcPr>
          <w:p w14:paraId="3D822603"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Base-stock</w:t>
            </w:r>
          </w:p>
        </w:tc>
        <w:tc>
          <w:tcPr>
            <w:tcW w:w="1984" w:type="dxa"/>
            <w:vAlign w:val="center"/>
          </w:tcPr>
          <w:p w14:paraId="44F9275E"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23,575,315</w:t>
            </w:r>
            <w:r w:rsidRPr="00F534AF">
              <w:rPr>
                <w:rFonts w:ascii="Times New Roman" w:hAnsi="Times New Roman" w:cs="Times New Roman"/>
                <w:sz w:val="16"/>
                <w:szCs w:val="16"/>
              </w:rPr>
              <w:br/>
              <w:t>[22,948,915; 24,291,166]</w:t>
            </w:r>
          </w:p>
        </w:tc>
        <w:tc>
          <w:tcPr>
            <w:tcW w:w="1701" w:type="dxa"/>
            <w:vAlign w:val="center"/>
          </w:tcPr>
          <w:p w14:paraId="256818AB"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988,754</w:t>
            </w:r>
            <w:r w:rsidRPr="00F534AF">
              <w:rPr>
                <w:rFonts w:ascii="Times New Roman" w:hAnsi="Times New Roman" w:cs="Times New Roman"/>
                <w:sz w:val="16"/>
                <w:szCs w:val="16"/>
              </w:rPr>
              <w:br/>
              <w:t>[964,117; 1,013,891]</w:t>
            </w:r>
          </w:p>
        </w:tc>
        <w:tc>
          <w:tcPr>
            <w:tcW w:w="1559" w:type="dxa"/>
            <w:vAlign w:val="center"/>
          </w:tcPr>
          <w:p w14:paraId="25871198"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176,903</w:t>
            </w:r>
            <w:r w:rsidRPr="00F534AF">
              <w:rPr>
                <w:rFonts w:ascii="Times New Roman" w:hAnsi="Times New Roman" w:cs="Times New Roman"/>
                <w:sz w:val="16"/>
                <w:szCs w:val="16"/>
              </w:rPr>
              <w:br/>
              <w:t>[172,151; 181,443]</w:t>
            </w:r>
          </w:p>
        </w:tc>
        <w:tc>
          <w:tcPr>
            <w:tcW w:w="1276" w:type="dxa"/>
            <w:vAlign w:val="center"/>
          </w:tcPr>
          <w:p w14:paraId="49BAB3E8"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75.4%</w:t>
            </w:r>
            <w:r w:rsidRPr="00F534AF">
              <w:rPr>
                <w:rFonts w:ascii="Times New Roman" w:hAnsi="Times New Roman" w:cs="Times New Roman"/>
                <w:sz w:val="16"/>
                <w:szCs w:val="16"/>
              </w:rPr>
              <w:br/>
              <w:t>[75.0%; 75.9%]</w:t>
            </w:r>
          </w:p>
        </w:tc>
        <w:tc>
          <w:tcPr>
            <w:tcW w:w="1276" w:type="dxa"/>
            <w:vAlign w:val="center"/>
          </w:tcPr>
          <w:p w14:paraId="1A94B442"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24.5%</w:t>
            </w:r>
            <w:r w:rsidRPr="00F534AF">
              <w:rPr>
                <w:rFonts w:ascii="Times New Roman" w:hAnsi="Times New Roman" w:cs="Times New Roman"/>
                <w:sz w:val="16"/>
                <w:szCs w:val="16"/>
              </w:rPr>
              <w:br/>
              <w:t>[24.1%; 24.8%]</w:t>
            </w:r>
          </w:p>
        </w:tc>
      </w:tr>
      <w:tr w:rsidR="00A5533F" w14:paraId="0CC1B4D9" w14:textId="77777777" w:rsidTr="00EE1D9F">
        <w:tc>
          <w:tcPr>
            <w:tcW w:w="1134" w:type="dxa"/>
            <w:vMerge/>
            <w:vAlign w:val="center"/>
          </w:tcPr>
          <w:p w14:paraId="4322A321" w14:textId="77777777" w:rsidR="00A5533F" w:rsidRPr="00EE1D9F" w:rsidRDefault="00A5533F" w:rsidP="00F534AF">
            <w:pPr>
              <w:rPr>
                <w:rFonts w:ascii="Times New Roman" w:hAnsi="Times New Roman" w:cs="Times New Roman"/>
                <w:sz w:val="16"/>
                <w:szCs w:val="16"/>
              </w:rPr>
            </w:pPr>
          </w:p>
        </w:tc>
        <w:tc>
          <w:tcPr>
            <w:tcW w:w="993" w:type="dxa"/>
            <w:vAlign w:val="center"/>
          </w:tcPr>
          <w:p w14:paraId="22D8F62B" w14:textId="77777777" w:rsidR="00A5533F" w:rsidRPr="00EE1D9F" w:rsidRDefault="00A5533F" w:rsidP="00F534AF">
            <w:pPr>
              <w:jc w:val="center"/>
              <w:rPr>
                <w:rFonts w:ascii="Times New Roman" w:hAnsi="Times New Roman" w:cs="Times New Roman"/>
                <w:sz w:val="16"/>
                <w:szCs w:val="16"/>
              </w:rPr>
            </w:pPr>
            <w:r w:rsidRPr="00EE1D9F">
              <w:rPr>
                <w:rFonts w:ascii="Times New Roman" w:hAnsi="Times New Roman" w:cs="Times New Roman"/>
                <w:sz w:val="16"/>
                <w:szCs w:val="16"/>
              </w:rPr>
              <w:t>Hybrid AI</w:t>
            </w:r>
          </w:p>
        </w:tc>
        <w:tc>
          <w:tcPr>
            <w:tcW w:w="1984" w:type="dxa"/>
            <w:vAlign w:val="center"/>
          </w:tcPr>
          <w:p w14:paraId="7868868A"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41,403,259</w:t>
            </w:r>
            <w:r w:rsidRPr="00F534AF">
              <w:rPr>
                <w:rFonts w:ascii="Times New Roman" w:hAnsi="Times New Roman" w:cs="Times New Roman"/>
                <w:sz w:val="16"/>
                <w:szCs w:val="16"/>
              </w:rPr>
              <w:br/>
              <w:t>[40,270,732; 42,468,441]</w:t>
            </w:r>
          </w:p>
        </w:tc>
        <w:tc>
          <w:tcPr>
            <w:tcW w:w="1701" w:type="dxa"/>
            <w:vAlign w:val="center"/>
          </w:tcPr>
          <w:p w14:paraId="5CFE61CE"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0</w:t>
            </w:r>
            <w:r w:rsidRPr="00F534AF">
              <w:rPr>
                <w:rFonts w:ascii="Times New Roman" w:hAnsi="Times New Roman" w:cs="Times New Roman"/>
                <w:sz w:val="16"/>
                <w:szCs w:val="16"/>
              </w:rPr>
              <w:br/>
              <w:t>[0; 0]</w:t>
            </w:r>
          </w:p>
        </w:tc>
        <w:tc>
          <w:tcPr>
            <w:tcW w:w="1559" w:type="dxa"/>
            <w:vAlign w:val="center"/>
          </w:tcPr>
          <w:p w14:paraId="25FAF77A"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0</w:t>
            </w:r>
            <w:r w:rsidRPr="00F534AF">
              <w:rPr>
                <w:rFonts w:ascii="Times New Roman" w:hAnsi="Times New Roman" w:cs="Times New Roman"/>
                <w:sz w:val="16"/>
                <w:szCs w:val="16"/>
              </w:rPr>
              <w:br/>
              <w:t>[0; 0]</w:t>
            </w:r>
          </w:p>
        </w:tc>
        <w:tc>
          <w:tcPr>
            <w:tcW w:w="1276" w:type="dxa"/>
            <w:vAlign w:val="center"/>
          </w:tcPr>
          <w:p w14:paraId="27F4BC6B"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0.9%</w:t>
            </w:r>
            <w:r w:rsidRPr="00F534AF">
              <w:rPr>
                <w:rFonts w:ascii="Times New Roman" w:hAnsi="Times New Roman" w:cs="Times New Roman"/>
                <w:sz w:val="16"/>
                <w:szCs w:val="16"/>
              </w:rPr>
              <w:br/>
              <w:t>[0.8%; 0.9%]</w:t>
            </w:r>
          </w:p>
        </w:tc>
        <w:tc>
          <w:tcPr>
            <w:tcW w:w="1276" w:type="dxa"/>
            <w:vAlign w:val="center"/>
          </w:tcPr>
          <w:p w14:paraId="72ED1814" w14:textId="77777777" w:rsidR="00A5533F" w:rsidRPr="00F534AF" w:rsidRDefault="00A5533F" w:rsidP="00F534AF">
            <w:pPr>
              <w:jc w:val="center"/>
              <w:rPr>
                <w:rFonts w:ascii="Times New Roman" w:hAnsi="Times New Roman" w:cs="Times New Roman"/>
                <w:sz w:val="16"/>
                <w:szCs w:val="16"/>
              </w:rPr>
            </w:pPr>
            <w:r w:rsidRPr="00F534AF">
              <w:rPr>
                <w:rFonts w:ascii="Times New Roman" w:hAnsi="Times New Roman" w:cs="Times New Roman"/>
                <w:sz w:val="16"/>
                <w:szCs w:val="16"/>
              </w:rPr>
              <w:t>98.4%</w:t>
            </w:r>
            <w:r w:rsidRPr="00F534AF">
              <w:rPr>
                <w:rFonts w:ascii="Times New Roman" w:hAnsi="Times New Roman" w:cs="Times New Roman"/>
                <w:sz w:val="16"/>
                <w:szCs w:val="16"/>
              </w:rPr>
              <w:br/>
              <w:t>[98.2%; 98.7%]</w:t>
            </w:r>
          </w:p>
        </w:tc>
      </w:tr>
    </w:tbl>
    <w:p w14:paraId="7E43ACCA" w14:textId="77777777" w:rsidR="005E2831" w:rsidRPr="005E2831" w:rsidRDefault="005E2831" w:rsidP="005E2831">
      <w:pPr>
        <w:pStyle w:val="text-base"/>
        <w:ind w:left="426"/>
        <w:jc w:val="both"/>
        <w:rPr>
          <w:sz w:val="18"/>
          <w:szCs w:val="18"/>
          <w:lang w:val="en-US"/>
        </w:rPr>
      </w:pPr>
      <w:r w:rsidRPr="005E2831">
        <w:rPr>
          <w:sz w:val="18"/>
          <w:szCs w:val="18"/>
          <w:lang w:val="en-US"/>
        </w:rPr>
        <w:t>Note: n=30; GA off; reward = inventory_only. Mean [95% CI].</w:t>
      </w:r>
    </w:p>
    <w:p w14:paraId="0548B7EC" w14:textId="77777777" w:rsidR="00F61BA8" w:rsidRDefault="00000000">
      <w:pPr>
        <w:pStyle w:val="Ttulo3"/>
      </w:pPr>
      <w:r>
        <w:t>Appendix E.9. 365-day horizon sensitivity check (Stable and Supply Disruption)</w:t>
      </w:r>
    </w:p>
    <w:p w14:paraId="51C499FF" w14:textId="5E450351" w:rsidR="00F61BA8" w:rsidRPr="00EE1D9F" w:rsidRDefault="00000000" w:rsidP="00EE1D9F">
      <w:pPr>
        <w:pStyle w:val="text-base"/>
        <w:ind w:left="142"/>
        <w:jc w:val="both"/>
        <w:rPr>
          <w:lang w:val="en-US"/>
        </w:rPr>
      </w:pPr>
      <w:r>
        <w:t>This add-on extends the horizon to 365 days under GA on and reward = inventory_plus_routing, using a reduced paired design (n = 30) and two scenarios (Stable and Supply Disruption). In Tables E.9a–E.9b, Base-stock denotes Base-stock (Deterministic), which uses only the forecaster mean to set the order-up-to target. This differs from Base-stock (Uncertain), which Tables 1–4 report as the primary analytical baseline (Section 3.4).</w:t>
      </w:r>
    </w:p>
    <w:p w14:paraId="7E54AD7D" w14:textId="77777777" w:rsidR="00F61BA8" w:rsidRPr="00F534AF" w:rsidRDefault="00000000" w:rsidP="00F534AF">
      <w:pPr>
        <w:pStyle w:val="Corpodetexto"/>
        <w:spacing w:before="100" w:beforeAutospacing="1" w:after="120" w:line="286" w:lineRule="auto"/>
        <w:ind w:left="288" w:right="14" w:hanging="72"/>
        <w:jc w:val="center"/>
        <w:rPr>
          <w:rFonts w:ascii="Times New Roman" w:eastAsia="Times New Roman" w:hAnsi="Times New Roman" w:cs="Times New Roman"/>
          <w:b/>
          <w:bCs/>
          <w:color w:val="000000" w:themeColor="text1"/>
          <w:sz w:val="22"/>
          <w:szCs w:val="22"/>
          <w:lang w:eastAsia="pt-BR"/>
        </w:rPr>
      </w:pPr>
      <w:r w:rsidRPr="00F534AF">
        <w:rPr>
          <w:rFonts w:ascii="Times New Roman" w:eastAsia="Times New Roman" w:hAnsi="Times New Roman" w:cs="Times New Roman"/>
          <w:b/>
          <w:bCs/>
          <w:color w:val="000000" w:themeColor="text1"/>
          <w:sz w:val="22"/>
          <w:szCs w:val="22"/>
          <w:lang w:eastAsia="pt-BR"/>
        </w:rPr>
        <w:t>Table E.9a. Stable (365d) sensitivity check (n=30). Mean [95% CI].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2059"/>
        <w:gridCol w:w="1701"/>
        <w:gridCol w:w="1559"/>
        <w:gridCol w:w="1418"/>
        <w:gridCol w:w="1377"/>
      </w:tblGrid>
      <w:tr w:rsidR="00F61BA8" w:rsidRPr="00EE1D9F" w14:paraId="332C59FC" w14:textId="77777777" w:rsidTr="00A80DFD">
        <w:tc>
          <w:tcPr>
            <w:tcW w:w="1622" w:type="dxa"/>
            <w:vAlign w:val="center"/>
          </w:tcPr>
          <w:p w14:paraId="11909D28"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b/>
                <w:sz w:val="18"/>
                <w:szCs w:val="18"/>
              </w:rPr>
              <w:t>Policy</w:t>
            </w:r>
          </w:p>
        </w:tc>
        <w:tc>
          <w:tcPr>
            <w:tcW w:w="2059" w:type="dxa"/>
            <w:vAlign w:val="center"/>
          </w:tcPr>
          <w:p w14:paraId="73E9CE09"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b/>
                <w:sz w:val="18"/>
                <w:szCs w:val="18"/>
              </w:rPr>
              <w:t>Total cost (365d)</w:t>
            </w:r>
          </w:p>
        </w:tc>
        <w:tc>
          <w:tcPr>
            <w:tcW w:w="1701" w:type="dxa"/>
            <w:vAlign w:val="center"/>
          </w:tcPr>
          <w:p w14:paraId="6B922C8C"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b/>
                <w:sz w:val="18"/>
                <w:szCs w:val="18"/>
              </w:rPr>
              <w:t>Ordering cost (365d)</w:t>
            </w:r>
          </w:p>
        </w:tc>
        <w:tc>
          <w:tcPr>
            <w:tcW w:w="1559" w:type="dxa"/>
            <w:vAlign w:val="center"/>
          </w:tcPr>
          <w:p w14:paraId="61C3EBAC"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b/>
                <w:sz w:val="18"/>
                <w:szCs w:val="18"/>
              </w:rPr>
              <w:t>Routing cost (365d)</w:t>
            </w:r>
          </w:p>
        </w:tc>
        <w:tc>
          <w:tcPr>
            <w:tcW w:w="1418" w:type="dxa"/>
            <w:vAlign w:val="center"/>
          </w:tcPr>
          <w:p w14:paraId="34350638"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b/>
                <w:sz w:val="18"/>
                <w:szCs w:val="18"/>
              </w:rPr>
              <w:t>Fill rate (365d)</w:t>
            </w:r>
          </w:p>
        </w:tc>
        <w:tc>
          <w:tcPr>
            <w:tcW w:w="1377" w:type="dxa"/>
            <w:vAlign w:val="center"/>
          </w:tcPr>
          <w:p w14:paraId="713C58EC"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b/>
                <w:sz w:val="18"/>
                <w:szCs w:val="18"/>
              </w:rPr>
              <w:t>Stockout rate (365d)</w:t>
            </w:r>
          </w:p>
        </w:tc>
      </w:tr>
      <w:tr w:rsidR="00F61BA8" w:rsidRPr="00EE1D9F" w14:paraId="737B8418" w14:textId="77777777" w:rsidTr="00A80DFD">
        <w:tc>
          <w:tcPr>
            <w:tcW w:w="1622" w:type="dxa"/>
            <w:vAlign w:val="center"/>
          </w:tcPr>
          <w:p w14:paraId="4784E2F3" w14:textId="77777777" w:rsidR="00F61BA8" w:rsidRPr="00EE1D9F" w:rsidRDefault="00000000" w:rsidP="00A80DFD">
            <w:pPr>
              <w:rPr>
                <w:rFonts w:ascii="Times New Roman" w:hAnsi="Times New Roman" w:cs="Times New Roman"/>
                <w:sz w:val="18"/>
                <w:szCs w:val="18"/>
              </w:rPr>
            </w:pPr>
            <w:r w:rsidRPr="00EE1D9F">
              <w:rPr>
                <w:rFonts w:ascii="Times New Roman" w:hAnsi="Times New Roman" w:cs="Times New Roman"/>
                <w:sz w:val="18"/>
                <w:szCs w:val="18"/>
              </w:rPr>
              <w:t>Static</w:t>
            </w:r>
          </w:p>
        </w:tc>
        <w:tc>
          <w:tcPr>
            <w:tcW w:w="2059" w:type="dxa"/>
            <w:vAlign w:val="center"/>
          </w:tcPr>
          <w:p w14:paraId="50036C47"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40,208,306</w:t>
            </w:r>
            <w:r w:rsidRPr="00EE1D9F">
              <w:rPr>
                <w:rFonts w:ascii="Times New Roman" w:hAnsi="Times New Roman" w:cs="Times New Roman"/>
                <w:sz w:val="18"/>
                <w:szCs w:val="18"/>
              </w:rPr>
              <w:br/>
              <w:t>[39,367,081; 41,065,075]</w:t>
            </w:r>
          </w:p>
        </w:tc>
        <w:tc>
          <w:tcPr>
            <w:tcW w:w="1701" w:type="dxa"/>
            <w:vAlign w:val="center"/>
          </w:tcPr>
          <w:p w14:paraId="2E5DBE21"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55,426</w:t>
            </w:r>
            <w:r w:rsidRPr="00EE1D9F">
              <w:rPr>
                <w:rFonts w:ascii="Times New Roman" w:hAnsi="Times New Roman" w:cs="Times New Roman"/>
                <w:sz w:val="18"/>
                <w:szCs w:val="18"/>
              </w:rPr>
              <w:br/>
              <w:t>[54,690; 56,126]</w:t>
            </w:r>
          </w:p>
        </w:tc>
        <w:tc>
          <w:tcPr>
            <w:tcW w:w="1559" w:type="dxa"/>
            <w:vAlign w:val="center"/>
          </w:tcPr>
          <w:p w14:paraId="5D53C5C3"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42,009</w:t>
            </w:r>
            <w:r w:rsidRPr="00EE1D9F">
              <w:rPr>
                <w:rFonts w:ascii="Times New Roman" w:hAnsi="Times New Roman" w:cs="Times New Roman"/>
                <w:sz w:val="18"/>
                <w:szCs w:val="18"/>
              </w:rPr>
              <w:br/>
              <w:t>[41,799; 42,193]</w:t>
            </w:r>
          </w:p>
        </w:tc>
        <w:tc>
          <w:tcPr>
            <w:tcW w:w="1418" w:type="dxa"/>
            <w:vAlign w:val="center"/>
          </w:tcPr>
          <w:p w14:paraId="71D6B882"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51.3%</w:t>
            </w:r>
            <w:r w:rsidRPr="00EE1D9F">
              <w:rPr>
                <w:rFonts w:ascii="Times New Roman" w:hAnsi="Times New Roman" w:cs="Times New Roman"/>
                <w:sz w:val="18"/>
                <w:szCs w:val="18"/>
              </w:rPr>
              <w:br/>
              <w:t>[50.7%; 51.8%]</w:t>
            </w:r>
          </w:p>
        </w:tc>
        <w:tc>
          <w:tcPr>
            <w:tcW w:w="1377" w:type="dxa"/>
            <w:vAlign w:val="center"/>
          </w:tcPr>
          <w:p w14:paraId="557137EE"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62.3%</w:t>
            </w:r>
            <w:r w:rsidRPr="00EE1D9F">
              <w:rPr>
                <w:rFonts w:ascii="Times New Roman" w:hAnsi="Times New Roman" w:cs="Times New Roman"/>
                <w:sz w:val="18"/>
                <w:szCs w:val="18"/>
              </w:rPr>
              <w:br/>
              <w:t>[61.3%; 63.3%]</w:t>
            </w:r>
          </w:p>
        </w:tc>
      </w:tr>
      <w:tr w:rsidR="00F61BA8" w:rsidRPr="00EE1D9F" w14:paraId="2DD88C81" w14:textId="77777777" w:rsidTr="00A80DFD">
        <w:tc>
          <w:tcPr>
            <w:tcW w:w="1622" w:type="dxa"/>
            <w:vAlign w:val="center"/>
          </w:tcPr>
          <w:p w14:paraId="6487765E" w14:textId="77777777" w:rsidR="00F61BA8" w:rsidRPr="00EE1D9F" w:rsidRDefault="00000000" w:rsidP="00A80DFD">
            <w:pPr>
              <w:rPr>
                <w:rFonts w:ascii="Times New Roman" w:hAnsi="Times New Roman" w:cs="Times New Roman"/>
                <w:sz w:val="18"/>
                <w:szCs w:val="18"/>
              </w:rPr>
            </w:pPr>
            <w:r w:rsidRPr="00EE1D9F">
              <w:rPr>
                <w:rFonts w:ascii="Times New Roman" w:hAnsi="Times New Roman" w:cs="Times New Roman"/>
                <w:sz w:val="18"/>
                <w:szCs w:val="18"/>
              </w:rPr>
              <w:t>Dynamic</w:t>
            </w:r>
          </w:p>
        </w:tc>
        <w:tc>
          <w:tcPr>
            <w:tcW w:w="2059" w:type="dxa"/>
            <w:vAlign w:val="center"/>
          </w:tcPr>
          <w:p w14:paraId="3BD4D27C"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27,726,838</w:t>
            </w:r>
            <w:r w:rsidRPr="00EE1D9F">
              <w:rPr>
                <w:rFonts w:ascii="Times New Roman" w:hAnsi="Times New Roman" w:cs="Times New Roman"/>
                <w:sz w:val="18"/>
                <w:szCs w:val="18"/>
              </w:rPr>
              <w:br/>
              <w:t>[27,084,204; 28,508,792]</w:t>
            </w:r>
          </w:p>
        </w:tc>
        <w:tc>
          <w:tcPr>
            <w:tcW w:w="1701" w:type="dxa"/>
            <w:vAlign w:val="center"/>
          </w:tcPr>
          <w:p w14:paraId="6E9BACD2"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72,205</w:t>
            </w:r>
            <w:r w:rsidRPr="00EE1D9F">
              <w:rPr>
                <w:rFonts w:ascii="Times New Roman" w:hAnsi="Times New Roman" w:cs="Times New Roman"/>
                <w:sz w:val="18"/>
                <w:szCs w:val="18"/>
              </w:rPr>
              <w:br/>
              <w:t>[71,609; 72,781]</w:t>
            </w:r>
          </w:p>
        </w:tc>
        <w:tc>
          <w:tcPr>
            <w:tcW w:w="1559" w:type="dxa"/>
            <w:vAlign w:val="center"/>
          </w:tcPr>
          <w:p w14:paraId="6541E2F5"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47,084</w:t>
            </w:r>
            <w:r w:rsidRPr="00EE1D9F">
              <w:rPr>
                <w:rFonts w:ascii="Times New Roman" w:hAnsi="Times New Roman" w:cs="Times New Roman"/>
                <w:sz w:val="18"/>
                <w:szCs w:val="18"/>
              </w:rPr>
              <w:br/>
              <w:t>[46,579; 47,631]</w:t>
            </w:r>
          </w:p>
        </w:tc>
        <w:tc>
          <w:tcPr>
            <w:tcW w:w="1418" w:type="dxa"/>
            <w:vAlign w:val="center"/>
          </w:tcPr>
          <w:p w14:paraId="2BACB5C9"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66.6%</w:t>
            </w:r>
            <w:r w:rsidRPr="00EE1D9F">
              <w:rPr>
                <w:rFonts w:ascii="Times New Roman" w:hAnsi="Times New Roman" w:cs="Times New Roman"/>
                <w:sz w:val="18"/>
                <w:szCs w:val="18"/>
              </w:rPr>
              <w:br/>
              <w:t>[66.2%; 66.9%]</w:t>
            </w:r>
          </w:p>
        </w:tc>
        <w:tc>
          <w:tcPr>
            <w:tcW w:w="1377" w:type="dxa"/>
            <w:vAlign w:val="center"/>
          </w:tcPr>
          <w:p w14:paraId="1BC69F43"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40.1%</w:t>
            </w:r>
            <w:r w:rsidRPr="00EE1D9F">
              <w:rPr>
                <w:rFonts w:ascii="Times New Roman" w:hAnsi="Times New Roman" w:cs="Times New Roman"/>
                <w:sz w:val="18"/>
                <w:szCs w:val="18"/>
              </w:rPr>
              <w:br/>
              <w:t>[39.6%; 40.7%]</w:t>
            </w:r>
          </w:p>
        </w:tc>
      </w:tr>
      <w:tr w:rsidR="00F61BA8" w:rsidRPr="00EE1D9F" w14:paraId="0B809D8F" w14:textId="77777777" w:rsidTr="00A80DFD">
        <w:tc>
          <w:tcPr>
            <w:tcW w:w="1622" w:type="dxa"/>
            <w:vAlign w:val="center"/>
          </w:tcPr>
          <w:p w14:paraId="67930F6C" w14:textId="77777777" w:rsidR="00F61BA8" w:rsidRPr="00EE1D9F" w:rsidRDefault="00000000" w:rsidP="00A80DFD">
            <w:pPr>
              <w:rPr>
                <w:rFonts w:ascii="Times New Roman" w:hAnsi="Times New Roman" w:cs="Times New Roman"/>
                <w:sz w:val="18"/>
                <w:szCs w:val="18"/>
              </w:rPr>
            </w:pPr>
            <w:r w:rsidRPr="00EE1D9F">
              <w:rPr>
                <w:rFonts w:ascii="Times New Roman" w:hAnsi="Times New Roman" w:cs="Times New Roman"/>
                <w:sz w:val="18"/>
                <w:szCs w:val="18"/>
              </w:rPr>
              <w:t>Dynamic + Forecast</w:t>
            </w:r>
          </w:p>
        </w:tc>
        <w:tc>
          <w:tcPr>
            <w:tcW w:w="2059" w:type="dxa"/>
            <w:vAlign w:val="center"/>
          </w:tcPr>
          <w:p w14:paraId="0FC384EB"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1,651,087</w:t>
            </w:r>
            <w:r w:rsidRPr="00EE1D9F">
              <w:rPr>
                <w:rFonts w:ascii="Times New Roman" w:hAnsi="Times New Roman" w:cs="Times New Roman"/>
                <w:sz w:val="18"/>
                <w:szCs w:val="18"/>
              </w:rPr>
              <w:br/>
              <w:t>[1,459,567; 1,883,695]</w:t>
            </w:r>
          </w:p>
        </w:tc>
        <w:tc>
          <w:tcPr>
            <w:tcW w:w="1701" w:type="dxa"/>
            <w:vAlign w:val="center"/>
          </w:tcPr>
          <w:p w14:paraId="5ACEE750"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109,660</w:t>
            </w:r>
            <w:r w:rsidRPr="00EE1D9F">
              <w:rPr>
                <w:rFonts w:ascii="Times New Roman" w:hAnsi="Times New Roman" w:cs="Times New Roman"/>
                <w:sz w:val="18"/>
                <w:szCs w:val="18"/>
              </w:rPr>
              <w:br/>
              <w:t>[108,549; 110,764]</w:t>
            </w:r>
          </w:p>
        </w:tc>
        <w:tc>
          <w:tcPr>
            <w:tcW w:w="1559" w:type="dxa"/>
            <w:vAlign w:val="center"/>
          </w:tcPr>
          <w:p w14:paraId="4E8CCDE4"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40,498</w:t>
            </w:r>
            <w:r w:rsidRPr="00EE1D9F">
              <w:rPr>
                <w:rFonts w:ascii="Times New Roman" w:hAnsi="Times New Roman" w:cs="Times New Roman"/>
                <w:sz w:val="18"/>
                <w:szCs w:val="18"/>
              </w:rPr>
              <w:br/>
              <w:t>[39,815; 41,191]</w:t>
            </w:r>
          </w:p>
        </w:tc>
        <w:tc>
          <w:tcPr>
            <w:tcW w:w="1418" w:type="dxa"/>
            <w:vAlign w:val="center"/>
          </w:tcPr>
          <w:p w14:paraId="0AC377E7"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98.3%</w:t>
            </w:r>
            <w:r w:rsidRPr="00EE1D9F">
              <w:rPr>
                <w:rFonts w:ascii="Times New Roman" w:hAnsi="Times New Roman" w:cs="Times New Roman"/>
                <w:sz w:val="18"/>
                <w:szCs w:val="18"/>
              </w:rPr>
              <w:br/>
              <w:t>[98.1%; 98.5%]</w:t>
            </w:r>
          </w:p>
        </w:tc>
        <w:tc>
          <w:tcPr>
            <w:tcW w:w="1377" w:type="dxa"/>
            <w:vAlign w:val="center"/>
          </w:tcPr>
          <w:p w14:paraId="07DB84C1"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2.3%</w:t>
            </w:r>
            <w:r w:rsidRPr="00EE1D9F">
              <w:rPr>
                <w:rFonts w:ascii="Times New Roman" w:hAnsi="Times New Roman" w:cs="Times New Roman"/>
                <w:sz w:val="18"/>
                <w:szCs w:val="18"/>
              </w:rPr>
              <w:br/>
              <w:t>[2.1%; 2.6%]</w:t>
            </w:r>
          </w:p>
        </w:tc>
      </w:tr>
      <w:tr w:rsidR="00F61BA8" w:rsidRPr="00EE1D9F" w14:paraId="72ACB890" w14:textId="77777777" w:rsidTr="00A80DFD">
        <w:tc>
          <w:tcPr>
            <w:tcW w:w="1622" w:type="dxa"/>
            <w:vAlign w:val="center"/>
          </w:tcPr>
          <w:p>
            <w:r>
              <w:t>Base-stock (Deterministic)</w:t>
            </w:r>
          </w:p>
        </w:tc>
        <w:tc>
          <w:tcPr>
            <w:tcW w:w="2059" w:type="dxa"/>
            <w:vAlign w:val="center"/>
          </w:tcPr>
          <w:p w14:paraId="25FCECE4"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1,676,069</w:t>
            </w:r>
            <w:r w:rsidRPr="00EE1D9F">
              <w:rPr>
                <w:rFonts w:ascii="Times New Roman" w:hAnsi="Times New Roman" w:cs="Times New Roman"/>
                <w:sz w:val="18"/>
                <w:szCs w:val="18"/>
              </w:rPr>
              <w:br/>
              <w:t>[1,479,211; 1,891,316]</w:t>
            </w:r>
          </w:p>
        </w:tc>
        <w:tc>
          <w:tcPr>
            <w:tcW w:w="1701" w:type="dxa"/>
            <w:vAlign w:val="center"/>
          </w:tcPr>
          <w:p w14:paraId="7318C084"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109,401</w:t>
            </w:r>
            <w:r w:rsidRPr="00EE1D9F">
              <w:rPr>
                <w:rFonts w:ascii="Times New Roman" w:hAnsi="Times New Roman" w:cs="Times New Roman"/>
                <w:sz w:val="18"/>
                <w:szCs w:val="18"/>
              </w:rPr>
              <w:br/>
              <w:t>[108,341; 110,562]</w:t>
            </w:r>
          </w:p>
        </w:tc>
        <w:tc>
          <w:tcPr>
            <w:tcW w:w="1559" w:type="dxa"/>
            <w:vAlign w:val="center"/>
          </w:tcPr>
          <w:p w14:paraId="179E720E"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39,352</w:t>
            </w:r>
            <w:r w:rsidRPr="00EE1D9F">
              <w:rPr>
                <w:rFonts w:ascii="Times New Roman" w:hAnsi="Times New Roman" w:cs="Times New Roman"/>
                <w:sz w:val="18"/>
                <w:szCs w:val="18"/>
              </w:rPr>
              <w:br/>
              <w:t>[38,790; 39,883]</w:t>
            </w:r>
          </w:p>
        </w:tc>
        <w:tc>
          <w:tcPr>
            <w:tcW w:w="1418" w:type="dxa"/>
            <w:vAlign w:val="center"/>
          </w:tcPr>
          <w:p w14:paraId="348A3E5B"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98.2%</w:t>
            </w:r>
            <w:r w:rsidRPr="00EE1D9F">
              <w:rPr>
                <w:rFonts w:ascii="Times New Roman" w:hAnsi="Times New Roman" w:cs="Times New Roman"/>
                <w:sz w:val="18"/>
                <w:szCs w:val="18"/>
              </w:rPr>
              <w:br/>
              <w:t>[98.0%; 98.4%]</w:t>
            </w:r>
          </w:p>
        </w:tc>
        <w:tc>
          <w:tcPr>
            <w:tcW w:w="1377" w:type="dxa"/>
            <w:vAlign w:val="center"/>
          </w:tcPr>
          <w:p w14:paraId="3686F689"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2.4%</w:t>
            </w:r>
            <w:r w:rsidRPr="00EE1D9F">
              <w:rPr>
                <w:rFonts w:ascii="Times New Roman" w:hAnsi="Times New Roman" w:cs="Times New Roman"/>
                <w:sz w:val="18"/>
                <w:szCs w:val="18"/>
              </w:rPr>
              <w:br/>
              <w:t>[2.1%; 2.7%]</w:t>
            </w:r>
          </w:p>
        </w:tc>
      </w:tr>
      <w:tr w:rsidR="00F61BA8" w:rsidRPr="00EE1D9F" w14:paraId="52142AD6" w14:textId="77777777" w:rsidTr="00A80DFD">
        <w:tc>
          <w:tcPr>
            <w:tcW w:w="1622" w:type="dxa"/>
            <w:vAlign w:val="center"/>
          </w:tcPr>
          <w:p w14:paraId="67316180" w14:textId="77777777" w:rsidR="00F61BA8" w:rsidRPr="00EE1D9F" w:rsidRDefault="00000000" w:rsidP="00A80DFD">
            <w:pPr>
              <w:rPr>
                <w:rFonts w:ascii="Times New Roman" w:hAnsi="Times New Roman" w:cs="Times New Roman"/>
                <w:sz w:val="18"/>
                <w:szCs w:val="18"/>
              </w:rPr>
            </w:pPr>
            <w:r w:rsidRPr="00EE1D9F">
              <w:rPr>
                <w:rFonts w:ascii="Times New Roman" w:hAnsi="Times New Roman" w:cs="Times New Roman"/>
                <w:sz w:val="18"/>
                <w:szCs w:val="18"/>
              </w:rPr>
              <w:t>Hybrid AI</w:t>
            </w:r>
          </w:p>
        </w:tc>
        <w:tc>
          <w:tcPr>
            <w:tcW w:w="2059" w:type="dxa"/>
            <w:vAlign w:val="center"/>
          </w:tcPr>
          <w:p w14:paraId="6C7648A2"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881,241</w:t>
            </w:r>
            <w:r w:rsidRPr="00EE1D9F">
              <w:rPr>
                <w:rFonts w:ascii="Times New Roman" w:hAnsi="Times New Roman" w:cs="Times New Roman"/>
                <w:sz w:val="18"/>
                <w:szCs w:val="18"/>
              </w:rPr>
              <w:br/>
              <w:t>[753,718; 1,022,567]</w:t>
            </w:r>
          </w:p>
        </w:tc>
        <w:tc>
          <w:tcPr>
            <w:tcW w:w="1701" w:type="dxa"/>
            <w:vAlign w:val="center"/>
          </w:tcPr>
          <w:p w14:paraId="10CD6697"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112,182</w:t>
            </w:r>
            <w:r w:rsidRPr="00EE1D9F">
              <w:rPr>
                <w:rFonts w:ascii="Times New Roman" w:hAnsi="Times New Roman" w:cs="Times New Roman"/>
                <w:sz w:val="18"/>
                <w:szCs w:val="18"/>
              </w:rPr>
              <w:br/>
              <w:t>[111,124; 113,240]</w:t>
            </w:r>
          </w:p>
        </w:tc>
        <w:tc>
          <w:tcPr>
            <w:tcW w:w="1559" w:type="dxa"/>
            <w:vAlign w:val="center"/>
          </w:tcPr>
          <w:p w14:paraId="32E56C86"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27,812</w:t>
            </w:r>
            <w:r w:rsidRPr="00EE1D9F">
              <w:rPr>
                <w:rFonts w:ascii="Times New Roman" w:hAnsi="Times New Roman" w:cs="Times New Roman"/>
                <w:sz w:val="18"/>
                <w:szCs w:val="18"/>
              </w:rPr>
              <w:br/>
              <w:t>[27,350; 28,270]</w:t>
            </w:r>
          </w:p>
        </w:tc>
        <w:tc>
          <w:tcPr>
            <w:tcW w:w="1418" w:type="dxa"/>
            <w:vAlign w:val="center"/>
          </w:tcPr>
          <w:p w14:paraId="268116F7"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99.3%</w:t>
            </w:r>
            <w:r w:rsidRPr="00EE1D9F">
              <w:rPr>
                <w:rFonts w:ascii="Times New Roman" w:hAnsi="Times New Roman" w:cs="Times New Roman"/>
                <w:sz w:val="18"/>
                <w:szCs w:val="18"/>
              </w:rPr>
              <w:br/>
              <w:t>[99.2%; 99.4%]</w:t>
            </w:r>
          </w:p>
        </w:tc>
        <w:tc>
          <w:tcPr>
            <w:tcW w:w="1377" w:type="dxa"/>
            <w:vAlign w:val="center"/>
          </w:tcPr>
          <w:p w14:paraId="415AC3BE" w14:textId="77777777" w:rsidR="00F61BA8" w:rsidRPr="00EE1D9F" w:rsidRDefault="00000000" w:rsidP="00A80DFD">
            <w:pPr>
              <w:jc w:val="center"/>
              <w:rPr>
                <w:rFonts w:ascii="Times New Roman" w:hAnsi="Times New Roman" w:cs="Times New Roman"/>
                <w:sz w:val="18"/>
                <w:szCs w:val="18"/>
              </w:rPr>
            </w:pPr>
            <w:r w:rsidRPr="00EE1D9F">
              <w:rPr>
                <w:rFonts w:ascii="Times New Roman" w:hAnsi="Times New Roman" w:cs="Times New Roman"/>
                <w:sz w:val="18"/>
                <w:szCs w:val="18"/>
              </w:rPr>
              <w:t>0.8%</w:t>
            </w:r>
            <w:r w:rsidRPr="00EE1D9F">
              <w:rPr>
                <w:rFonts w:ascii="Times New Roman" w:hAnsi="Times New Roman" w:cs="Times New Roman"/>
                <w:sz w:val="18"/>
                <w:szCs w:val="18"/>
              </w:rPr>
              <w:br/>
              <w:t>[0.7%; 0.9%]</w:t>
            </w:r>
          </w:p>
        </w:tc>
      </w:tr>
    </w:tbl>
    <w:p w14:paraId="6ABC3346" w14:textId="77777777" w:rsidR="00F61BA8" w:rsidRPr="00F534AF" w:rsidRDefault="00000000" w:rsidP="00F534AF">
      <w:pPr>
        <w:pStyle w:val="Corpodetexto"/>
        <w:spacing w:before="100" w:beforeAutospacing="1" w:after="120" w:line="286" w:lineRule="auto"/>
        <w:ind w:left="288" w:right="14" w:hanging="72"/>
        <w:jc w:val="center"/>
        <w:rPr>
          <w:rFonts w:ascii="Times New Roman" w:eastAsia="Times New Roman" w:hAnsi="Times New Roman" w:cs="Times New Roman"/>
          <w:b/>
          <w:bCs/>
          <w:color w:val="000000" w:themeColor="text1"/>
          <w:sz w:val="22"/>
          <w:szCs w:val="22"/>
          <w:lang w:eastAsia="pt-BR"/>
        </w:rPr>
      </w:pPr>
      <w:r w:rsidRPr="00F534AF">
        <w:rPr>
          <w:rFonts w:ascii="Times New Roman" w:eastAsia="Times New Roman" w:hAnsi="Times New Roman" w:cs="Times New Roman"/>
          <w:b/>
          <w:bCs/>
          <w:color w:val="000000" w:themeColor="text1"/>
          <w:sz w:val="22"/>
          <w:szCs w:val="22"/>
          <w:lang w:eastAsia="pt-BR"/>
        </w:rPr>
        <w:t>Table E.9b. Supply Disruption (365d) sensitivity check (n=30). Mean [95% CI].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126"/>
        <w:gridCol w:w="1843"/>
        <w:gridCol w:w="1701"/>
        <w:gridCol w:w="1418"/>
        <w:gridCol w:w="1377"/>
      </w:tblGrid>
      <w:tr w:rsidR="00F61BA8" w14:paraId="0BDEA5AE" w14:textId="77777777" w:rsidTr="009B20C1">
        <w:tc>
          <w:tcPr>
            <w:tcW w:w="1271" w:type="dxa"/>
            <w:vAlign w:val="center"/>
          </w:tcPr>
          <w:p w14:paraId="5107F4F9"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b/>
                <w:sz w:val="18"/>
                <w:szCs w:val="18"/>
              </w:rPr>
              <w:t>Policy</w:t>
            </w:r>
          </w:p>
        </w:tc>
        <w:tc>
          <w:tcPr>
            <w:tcW w:w="2126" w:type="dxa"/>
            <w:vAlign w:val="center"/>
          </w:tcPr>
          <w:p w14:paraId="394DC78E"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b/>
                <w:sz w:val="18"/>
                <w:szCs w:val="18"/>
              </w:rPr>
              <w:t>Total cost (365d)</w:t>
            </w:r>
          </w:p>
        </w:tc>
        <w:tc>
          <w:tcPr>
            <w:tcW w:w="1843" w:type="dxa"/>
            <w:vAlign w:val="center"/>
          </w:tcPr>
          <w:p w14:paraId="77ED56EB"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b/>
                <w:sz w:val="18"/>
                <w:szCs w:val="18"/>
              </w:rPr>
              <w:t>Ordering cost (365d)</w:t>
            </w:r>
          </w:p>
        </w:tc>
        <w:tc>
          <w:tcPr>
            <w:tcW w:w="1701" w:type="dxa"/>
            <w:vAlign w:val="center"/>
          </w:tcPr>
          <w:p w14:paraId="672C6862"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b/>
                <w:sz w:val="18"/>
                <w:szCs w:val="18"/>
              </w:rPr>
              <w:t>Routing cost (365d)</w:t>
            </w:r>
          </w:p>
        </w:tc>
        <w:tc>
          <w:tcPr>
            <w:tcW w:w="1418" w:type="dxa"/>
            <w:vAlign w:val="center"/>
          </w:tcPr>
          <w:p w14:paraId="2DAD70E9"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b/>
                <w:sz w:val="18"/>
                <w:szCs w:val="18"/>
              </w:rPr>
              <w:t>Fill rate (365d)</w:t>
            </w:r>
          </w:p>
        </w:tc>
        <w:tc>
          <w:tcPr>
            <w:tcW w:w="1377" w:type="dxa"/>
            <w:vAlign w:val="center"/>
          </w:tcPr>
          <w:p w14:paraId="71D17767"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b/>
                <w:sz w:val="18"/>
                <w:szCs w:val="18"/>
              </w:rPr>
              <w:t>Stockout rate (365d)</w:t>
            </w:r>
          </w:p>
        </w:tc>
      </w:tr>
      <w:tr w:rsidR="00F61BA8" w14:paraId="716568AD" w14:textId="77777777" w:rsidTr="009B20C1">
        <w:tc>
          <w:tcPr>
            <w:tcW w:w="1271" w:type="dxa"/>
            <w:vAlign w:val="center"/>
          </w:tcPr>
          <w:p w14:paraId="7786B00A"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Static</w:t>
            </w:r>
          </w:p>
        </w:tc>
        <w:tc>
          <w:tcPr>
            <w:tcW w:w="2126" w:type="dxa"/>
            <w:vAlign w:val="center"/>
          </w:tcPr>
          <w:p w14:paraId="051C79CE"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46,771,881</w:t>
            </w:r>
            <w:r w:rsidRPr="00A80DFD">
              <w:rPr>
                <w:rFonts w:ascii="Times New Roman" w:hAnsi="Times New Roman" w:cs="Times New Roman"/>
                <w:sz w:val="18"/>
                <w:szCs w:val="18"/>
              </w:rPr>
              <w:br/>
              <w:t>[45,514,400; 48,169,308]</w:t>
            </w:r>
          </w:p>
        </w:tc>
        <w:tc>
          <w:tcPr>
            <w:tcW w:w="1843" w:type="dxa"/>
            <w:vAlign w:val="center"/>
          </w:tcPr>
          <w:p w14:paraId="30798537"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62,568</w:t>
            </w:r>
            <w:r w:rsidRPr="00A80DFD">
              <w:rPr>
                <w:rFonts w:ascii="Times New Roman" w:hAnsi="Times New Roman" w:cs="Times New Roman"/>
                <w:sz w:val="18"/>
                <w:szCs w:val="18"/>
              </w:rPr>
              <w:br/>
              <w:t>[61,512; 63,631]</w:t>
            </w:r>
          </w:p>
        </w:tc>
        <w:tc>
          <w:tcPr>
            <w:tcW w:w="1701" w:type="dxa"/>
            <w:vAlign w:val="center"/>
          </w:tcPr>
          <w:p w14:paraId="40F85D5B"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45,907</w:t>
            </w:r>
            <w:r w:rsidRPr="00A80DFD">
              <w:rPr>
                <w:rFonts w:ascii="Times New Roman" w:hAnsi="Times New Roman" w:cs="Times New Roman"/>
                <w:sz w:val="18"/>
                <w:szCs w:val="18"/>
              </w:rPr>
              <w:br/>
              <w:t>[45,631; 46,196]</w:t>
            </w:r>
          </w:p>
        </w:tc>
        <w:tc>
          <w:tcPr>
            <w:tcW w:w="1418" w:type="dxa"/>
            <w:vAlign w:val="center"/>
          </w:tcPr>
          <w:p w14:paraId="132245C0"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46.2%</w:t>
            </w:r>
            <w:r w:rsidRPr="00A80DFD">
              <w:rPr>
                <w:rFonts w:ascii="Times New Roman" w:hAnsi="Times New Roman" w:cs="Times New Roman"/>
                <w:sz w:val="18"/>
                <w:szCs w:val="18"/>
              </w:rPr>
              <w:br/>
              <w:t>[45.8%; 46.7%]</w:t>
            </w:r>
          </w:p>
        </w:tc>
        <w:tc>
          <w:tcPr>
            <w:tcW w:w="1377" w:type="dxa"/>
            <w:vAlign w:val="center"/>
          </w:tcPr>
          <w:p w14:paraId="24DA9A7D"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59.4%</w:t>
            </w:r>
            <w:r w:rsidRPr="00A80DFD">
              <w:rPr>
                <w:rFonts w:ascii="Times New Roman" w:hAnsi="Times New Roman" w:cs="Times New Roman"/>
                <w:sz w:val="18"/>
                <w:szCs w:val="18"/>
              </w:rPr>
              <w:br/>
              <w:t>[58.4%; 60.3%]</w:t>
            </w:r>
          </w:p>
        </w:tc>
      </w:tr>
      <w:tr w:rsidR="00F61BA8" w14:paraId="4BD1F2D8" w14:textId="77777777" w:rsidTr="009B20C1">
        <w:tc>
          <w:tcPr>
            <w:tcW w:w="1271" w:type="dxa"/>
            <w:vAlign w:val="center"/>
          </w:tcPr>
          <w:p w14:paraId="5A6DA8AF"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Dynamic</w:t>
            </w:r>
          </w:p>
        </w:tc>
        <w:tc>
          <w:tcPr>
            <w:tcW w:w="2126" w:type="dxa"/>
            <w:vAlign w:val="center"/>
          </w:tcPr>
          <w:p w14:paraId="3BED3AE2"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32,942,737</w:t>
            </w:r>
            <w:r w:rsidRPr="00A80DFD">
              <w:rPr>
                <w:rFonts w:ascii="Times New Roman" w:hAnsi="Times New Roman" w:cs="Times New Roman"/>
                <w:sz w:val="18"/>
                <w:szCs w:val="18"/>
              </w:rPr>
              <w:br/>
              <w:t>[31,988,742; 33,877,880]</w:t>
            </w:r>
          </w:p>
        </w:tc>
        <w:tc>
          <w:tcPr>
            <w:tcW w:w="1843" w:type="dxa"/>
            <w:vAlign w:val="center"/>
          </w:tcPr>
          <w:p w14:paraId="16F8CCDE"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78,824</w:t>
            </w:r>
            <w:r w:rsidRPr="00A80DFD">
              <w:rPr>
                <w:rFonts w:ascii="Times New Roman" w:hAnsi="Times New Roman" w:cs="Times New Roman"/>
                <w:sz w:val="18"/>
                <w:szCs w:val="18"/>
              </w:rPr>
              <w:br/>
              <w:t>[78,028; 79,645]</w:t>
            </w:r>
          </w:p>
        </w:tc>
        <w:tc>
          <w:tcPr>
            <w:tcW w:w="1701" w:type="dxa"/>
            <w:vAlign w:val="center"/>
          </w:tcPr>
          <w:p w14:paraId="61D80F2D"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41,692</w:t>
            </w:r>
            <w:r w:rsidRPr="00A80DFD">
              <w:rPr>
                <w:rFonts w:ascii="Times New Roman" w:hAnsi="Times New Roman" w:cs="Times New Roman"/>
                <w:sz w:val="18"/>
                <w:szCs w:val="18"/>
              </w:rPr>
              <w:br/>
              <w:t>[41,343; 42,044]</w:t>
            </w:r>
          </w:p>
        </w:tc>
        <w:tc>
          <w:tcPr>
            <w:tcW w:w="1418" w:type="dxa"/>
            <w:vAlign w:val="center"/>
          </w:tcPr>
          <w:p w14:paraId="38CB29D5"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61.6%</w:t>
            </w:r>
            <w:r w:rsidRPr="00A80DFD">
              <w:rPr>
                <w:rFonts w:ascii="Times New Roman" w:hAnsi="Times New Roman" w:cs="Times New Roman"/>
                <w:sz w:val="18"/>
                <w:szCs w:val="18"/>
              </w:rPr>
              <w:br/>
              <w:t>[61.2%; 62.1%]</w:t>
            </w:r>
          </w:p>
        </w:tc>
        <w:tc>
          <w:tcPr>
            <w:tcW w:w="1377" w:type="dxa"/>
            <w:vAlign w:val="center"/>
          </w:tcPr>
          <w:p w14:paraId="6510AD37"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39.0%</w:t>
            </w:r>
            <w:r w:rsidRPr="00A80DFD">
              <w:rPr>
                <w:rFonts w:ascii="Times New Roman" w:hAnsi="Times New Roman" w:cs="Times New Roman"/>
                <w:sz w:val="18"/>
                <w:szCs w:val="18"/>
              </w:rPr>
              <w:br/>
              <w:t>[38.7%; 39.3%]</w:t>
            </w:r>
          </w:p>
        </w:tc>
      </w:tr>
      <w:tr w:rsidR="00F61BA8" w14:paraId="5120F98E" w14:textId="77777777" w:rsidTr="009B20C1">
        <w:tc>
          <w:tcPr>
            <w:tcW w:w="1271" w:type="dxa"/>
            <w:vAlign w:val="center"/>
          </w:tcPr>
          <w:p w14:paraId="505E1678"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Dynamic + Forecast</w:t>
            </w:r>
          </w:p>
        </w:tc>
        <w:tc>
          <w:tcPr>
            <w:tcW w:w="2126" w:type="dxa"/>
            <w:vAlign w:val="center"/>
          </w:tcPr>
          <w:p w14:paraId="4490D6CE"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44,537,863</w:t>
            </w:r>
            <w:r w:rsidRPr="00A80DFD">
              <w:rPr>
                <w:rFonts w:ascii="Times New Roman" w:hAnsi="Times New Roman" w:cs="Times New Roman"/>
                <w:sz w:val="18"/>
                <w:szCs w:val="18"/>
              </w:rPr>
              <w:br/>
              <w:t>[43,415,426; 45,684,747]</w:t>
            </w:r>
          </w:p>
        </w:tc>
        <w:tc>
          <w:tcPr>
            <w:tcW w:w="1843" w:type="dxa"/>
            <w:vAlign w:val="center"/>
          </w:tcPr>
          <w:p w14:paraId="038D752E"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996,096</w:t>
            </w:r>
            <w:r w:rsidRPr="00A80DFD">
              <w:rPr>
                <w:rFonts w:ascii="Times New Roman" w:hAnsi="Times New Roman" w:cs="Times New Roman"/>
                <w:sz w:val="18"/>
                <w:szCs w:val="18"/>
              </w:rPr>
              <w:br/>
              <w:t>[967,575; 1,021,879]</w:t>
            </w:r>
          </w:p>
        </w:tc>
        <w:tc>
          <w:tcPr>
            <w:tcW w:w="1701" w:type="dxa"/>
            <w:vAlign w:val="center"/>
          </w:tcPr>
          <w:p w14:paraId="64D51F1B"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178,217</w:t>
            </w:r>
            <w:r w:rsidRPr="00A80DFD">
              <w:rPr>
                <w:rFonts w:ascii="Times New Roman" w:hAnsi="Times New Roman" w:cs="Times New Roman"/>
                <w:sz w:val="18"/>
                <w:szCs w:val="18"/>
              </w:rPr>
              <w:br/>
              <w:t>[173,477; 183,047]</w:t>
            </w:r>
          </w:p>
        </w:tc>
        <w:tc>
          <w:tcPr>
            <w:tcW w:w="1418" w:type="dxa"/>
            <w:vAlign w:val="center"/>
          </w:tcPr>
          <w:p w14:paraId="5F172DE4"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87.8%</w:t>
            </w:r>
            <w:r w:rsidRPr="00A80DFD">
              <w:rPr>
                <w:rFonts w:ascii="Times New Roman" w:hAnsi="Times New Roman" w:cs="Times New Roman"/>
                <w:sz w:val="18"/>
                <w:szCs w:val="18"/>
              </w:rPr>
              <w:br/>
              <w:t>[87.5%; 88.1%]</w:t>
            </w:r>
          </w:p>
        </w:tc>
        <w:tc>
          <w:tcPr>
            <w:tcW w:w="1377" w:type="dxa"/>
            <w:vAlign w:val="center"/>
          </w:tcPr>
          <w:p w14:paraId="174870ED"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12.2%</w:t>
            </w:r>
            <w:r w:rsidRPr="00A80DFD">
              <w:rPr>
                <w:rFonts w:ascii="Times New Roman" w:hAnsi="Times New Roman" w:cs="Times New Roman"/>
                <w:sz w:val="18"/>
                <w:szCs w:val="18"/>
              </w:rPr>
              <w:br/>
              <w:t>[12.0%; 12.4%]</w:t>
            </w:r>
          </w:p>
        </w:tc>
      </w:tr>
      <w:tr w:rsidR="00F61BA8" w14:paraId="62EC7E60" w14:textId="77777777" w:rsidTr="009B20C1">
        <w:tc>
          <w:tcPr>
            <w:tcW w:w="1271" w:type="dxa"/>
            <w:vAlign w:val="center"/>
          </w:tcPr>
          <w:p>
            <w:r>
              <w:t>Base-stock (Deterministic)</w:t>
            </w:r>
          </w:p>
        </w:tc>
        <w:tc>
          <w:tcPr>
            <w:tcW w:w="2126" w:type="dxa"/>
            <w:vAlign w:val="center"/>
          </w:tcPr>
          <w:p w14:paraId="5B522C0D"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44,044,320</w:t>
            </w:r>
            <w:r w:rsidRPr="00A80DFD">
              <w:rPr>
                <w:rFonts w:ascii="Times New Roman" w:hAnsi="Times New Roman" w:cs="Times New Roman"/>
                <w:sz w:val="18"/>
                <w:szCs w:val="18"/>
              </w:rPr>
              <w:br/>
              <w:t>[42,935,747; 45,115,337]</w:t>
            </w:r>
          </w:p>
        </w:tc>
        <w:tc>
          <w:tcPr>
            <w:tcW w:w="1843" w:type="dxa"/>
            <w:vAlign w:val="center"/>
          </w:tcPr>
          <w:p w14:paraId="7A70CA35"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985,552</w:t>
            </w:r>
            <w:r w:rsidRPr="00A80DFD">
              <w:rPr>
                <w:rFonts w:ascii="Times New Roman" w:hAnsi="Times New Roman" w:cs="Times New Roman"/>
                <w:sz w:val="18"/>
                <w:szCs w:val="18"/>
              </w:rPr>
              <w:br/>
              <w:t>[963,882; 1,008,214]</w:t>
            </w:r>
          </w:p>
        </w:tc>
        <w:tc>
          <w:tcPr>
            <w:tcW w:w="1701" w:type="dxa"/>
            <w:vAlign w:val="center"/>
          </w:tcPr>
          <w:p w14:paraId="540A4B23"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177,012</w:t>
            </w:r>
            <w:r w:rsidRPr="00A80DFD">
              <w:rPr>
                <w:rFonts w:ascii="Times New Roman" w:hAnsi="Times New Roman" w:cs="Times New Roman"/>
                <w:sz w:val="18"/>
                <w:szCs w:val="18"/>
              </w:rPr>
              <w:br/>
              <w:t>[172,626; 181,141]</w:t>
            </w:r>
          </w:p>
        </w:tc>
        <w:tc>
          <w:tcPr>
            <w:tcW w:w="1418" w:type="dxa"/>
            <w:vAlign w:val="center"/>
          </w:tcPr>
          <w:p w14:paraId="29F16F88"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87.9%</w:t>
            </w:r>
            <w:r w:rsidRPr="00A80DFD">
              <w:rPr>
                <w:rFonts w:ascii="Times New Roman" w:hAnsi="Times New Roman" w:cs="Times New Roman"/>
                <w:sz w:val="18"/>
                <w:szCs w:val="18"/>
              </w:rPr>
              <w:br/>
              <w:t>[87.7%; 88.2%]</w:t>
            </w:r>
          </w:p>
        </w:tc>
        <w:tc>
          <w:tcPr>
            <w:tcW w:w="1377" w:type="dxa"/>
            <w:vAlign w:val="center"/>
          </w:tcPr>
          <w:p w14:paraId="2E508AE0"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12.0%</w:t>
            </w:r>
            <w:r w:rsidRPr="00A80DFD">
              <w:rPr>
                <w:rFonts w:ascii="Times New Roman" w:hAnsi="Times New Roman" w:cs="Times New Roman"/>
                <w:sz w:val="18"/>
                <w:szCs w:val="18"/>
              </w:rPr>
              <w:br/>
              <w:t>[11.9%; 12.1%]</w:t>
            </w:r>
          </w:p>
        </w:tc>
      </w:tr>
      <w:tr w:rsidR="00F61BA8" w14:paraId="41926709" w14:textId="77777777" w:rsidTr="009B20C1">
        <w:tc>
          <w:tcPr>
            <w:tcW w:w="1271" w:type="dxa"/>
            <w:vAlign w:val="center"/>
          </w:tcPr>
          <w:p w14:paraId="25B92243"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Hybrid AI</w:t>
            </w:r>
          </w:p>
        </w:tc>
        <w:tc>
          <w:tcPr>
            <w:tcW w:w="2126" w:type="dxa"/>
            <w:vAlign w:val="center"/>
          </w:tcPr>
          <w:p w14:paraId="4A6421B5"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85,781,931</w:t>
            </w:r>
            <w:r w:rsidRPr="00A80DFD">
              <w:rPr>
                <w:rFonts w:ascii="Times New Roman" w:hAnsi="Times New Roman" w:cs="Times New Roman"/>
                <w:sz w:val="18"/>
                <w:szCs w:val="18"/>
              </w:rPr>
              <w:br/>
              <w:t>[84,115,287; 87,387,674]</w:t>
            </w:r>
          </w:p>
        </w:tc>
        <w:tc>
          <w:tcPr>
            <w:tcW w:w="1843" w:type="dxa"/>
            <w:vAlign w:val="center"/>
          </w:tcPr>
          <w:p w14:paraId="7E6DED86"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0</w:t>
            </w:r>
            <w:r w:rsidRPr="00A80DFD">
              <w:rPr>
                <w:rFonts w:ascii="Times New Roman" w:hAnsi="Times New Roman" w:cs="Times New Roman"/>
                <w:sz w:val="18"/>
                <w:szCs w:val="18"/>
              </w:rPr>
              <w:br/>
              <w:t>[0; 0]</w:t>
            </w:r>
          </w:p>
        </w:tc>
        <w:tc>
          <w:tcPr>
            <w:tcW w:w="1701" w:type="dxa"/>
            <w:vAlign w:val="center"/>
          </w:tcPr>
          <w:p w14:paraId="5A3E268A"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0</w:t>
            </w:r>
            <w:r w:rsidRPr="00A80DFD">
              <w:rPr>
                <w:rFonts w:ascii="Times New Roman" w:hAnsi="Times New Roman" w:cs="Times New Roman"/>
                <w:sz w:val="18"/>
                <w:szCs w:val="18"/>
              </w:rPr>
              <w:br/>
              <w:t>[0; 0]</w:t>
            </w:r>
          </w:p>
        </w:tc>
        <w:tc>
          <w:tcPr>
            <w:tcW w:w="1418" w:type="dxa"/>
            <w:vAlign w:val="center"/>
          </w:tcPr>
          <w:p w14:paraId="1D595586"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0.4%</w:t>
            </w:r>
            <w:r w:rsidRPr="00A80DFD">
              <w:rPr>
                <w:rFonts w:ascii="Times New Roman" w:hAnsi="Times New Roman" w:cs="Times New Roman"/>
                <w:sz w:val="18"/>
                <w:szCs w:val="18"/>
              </w:rPr>
              <w:br/>
              <w:t>[0.4%; 0.4%]</w:t>
            </w:r>
          </w:p>
        </w:tc>
        <w:tc>
          <w:tcPr>
            <w:tcW w:w="1377" w:type="dxa"/>
            <w:vAlign w:val="center"/>
          </w:tcPr>
          <w:p w14:paraId="0732C3E9" w14:textId="77777777" w:rsidR="00F61BA8" w:rsidRPr="00A80DFD" w:rsidRDefault="00000000" w:rsidP="00A80DFD">
            <w:pPr>
              <w:jc w:val="center"/>
              <w:rPr>
                <w:rFonts w:ascii="Times New Roman" w:hAnsi="Times New Roman" w:cs="Times New Roman"/>
                <w:sz w:val="18"/>
                <w:szCs w:val="18"/>
              </w:rPr>
            </w:pPr>
            <w:r w:rsidRPr="00A80DFD">
              <w:rPr>
                <w:rFonts w:ascii="Times New Roman" w:hAnsi="Times New Roman" w:cs="Times New Roman"/>
                <w:sz w:val="18"/>
                <w:szCs w:val="18"/>
              </w:rPr>
              <w:t>98.7%</w:t>
            </w:r>
            <w:r w:rsidRPr="00A80DFD">
              <w:rPr>
                <w:rFonts w:ascii="Times New Roman" w:hAnsi="Times New Roman" w:cs="Times New Roman"/>
                <w:sz w:val="18"/>
                <w:szCs w:val="18"/>
              </w:rPr>
              <w:br/>
              <w:t>[98.6%; 98.9%]</w:t>
            </w:r>
          </w:p>
        </w:tc>
      </w:tr>
    </w:tbl>
    <w:p w14:paraId="28879040" w14:textId="77777777" w:rsidR="00F61BA8" w:rsidRPr="00A80DFD" w:rsidRDefault="00000000" w:rsidP="00A80DFD">
      <w:pPr>
        <w:pStyle w:val="text-base"/>
        <w:ind w:left="142"/>
        <w:jc w:val="both"/>
        <w:rPr>
          <w:lang w:val="en-US"/>
        </w:rPr>
      </w:pPr>
      <w:r w:rsidRPr="00A80DFD">
        <w:rPr>
          <w:lang w:val="en-US"/>
        </w:rPr>
        <w:t xml:space="preserve">In Stable at 365 days, Hybrid AI reduces mean total cost relative to Dynamic + Forecast and Base-stock (Δ=-769,846 [-987,528; -576,605] and -794,828 [-1,003,056; -601,986]); within-run Wilcoxon signed-rank tests with Holm adjustment yield p=7.45×10^-9 and p=1.86×10^-8 for total cost. Hybrid AI also increases fill rate by +1.0 pp [0.8; 1.3] and +1.1 pp [0.9; 1.3] (paired bootstrap CIs). In Supply Disruption at 365 days, Hybrid AI collapses </w:t>
      </w:r>
      <w:r w:rsidR="00D508F7">
        <w:rPr>
          <w:lang w:val="en-US"/>
        </w:rPr>
        <w:t xml:space="preserve">into a no-order regime (mean ordering cost 0; mean </w:t>
      </w:r>
      <w:r w:rsidR="00D508F7">
        <w:rPr>
          <w:lang w:val="en-US"/>
        </w:rPr>
        <w:lastRenderedPageBreak/>
        <w:t>routing cost 0), with a fill rate of 0.4% and a mean total cost of</w:t>
      </w:r>
      <w:r w:rsidRPr="00A80DFD">
        <w:rPr>
          <w:lang w:val="en-US"/>
        </w:rPr>
        <w:t xml:space="preserve"> 85,781,931. Relative to Dynamic + Forecast and Base-stock, the paired deltas are Δ=+41,244,068 [39,666,639; 42,825,722] and +41,737,611 [40,217,755; 43,249,592] in total cost and Δ=-87.3 pp [-87.7; -87.0] and -87.5 pp [-87.8; -87.3] in fill rate (paired bootstrap CIs); Holm-adjusted p-values for total cost are 7.45×10^-9 and 7.45×10^-9.</w:t>
      </w:r>
    </w:p>
    <w:p w14:paraId="73B5A1C4" w14:textId="77777777" w:rsidR="00F61BA8" w:rsidRDefault="00000000">
      <w:pPr>
        <w:pStyle w:val="Ttulo3"/>
      </w:pPr>
      <w:r>
        <w:t>Appendix E.10. Equivalence testing and minimum detectable effects (within-run)</w:t>
      </w:r>
    </w:p>
    <w:p w14:paraId="1A0BD717" w14:textId="77777777" w:rsidR="00F61BA8" w:rsidRPr="00A80DFD" w:rsidRDefault="00000000" w:rsidP="00A80DFD">
      <w:pPr>
        <w:pStyle w:val="text-base"/>
        <w:ind w:left="142"/>
        <w:jc w:val="both"/>
        <w:rPr>
          <w:lang w:val="en-US"/>
        </w:rPr>
      </w:pPr>
      <w:r w:rsidRPr="00A80DFD">
        <w:rPr>
          <w:lang w:val="en-US"/>
        </w:rPr>
        <w:t>To support claims of practical similarity in High Volatility, we supplemented the paired Wilcoxon analysis with two one-sided tests (TOST) for equivalence and a minimum detectable effect (MDE) calculation, computed within the Phase A2 run using paired differences aligned by replication. We defined equivalence margins as ±1% of the baseline mean for cost components and ±0.01 for fill rate. We report standardized paired effect size d_z and the MDE (absolute) for 80% power at α = 0.05 (two-sided) under a normal approximation; we interpret these as sensitivity indicators rather than as confirmatory results.</w:t>
      </w:r>
    </w:p>
    <w:p w14:paraId="53473CA2" w14:textId="77777777" w:rsidR="00F61BA8" w:rsidRPr="00A80DFD" w:rsidRDefault="00000000" w:rsidP="00A80DFD">
      <w:pPr>
        <w:pStyle w:val="text-base"/>
        <w:ind w:left="142"/>
        <w:jc w:val="both"/>
        <w:rPr>
          <w:lang w:val="en-US"/>
        </w:rPr>
      </w:pPr>
      <w:r w:rsidRPr="00A80DFD">
        <w:rPr>
          <w:lang w:val="en-US"/>
        </w:rPr>
        <w:t xml:space="preserve">In </w:t>
      </w:r>
      <w:r w:rsidR="00D508F7">
        <w:rPr>
          <w:lang w:val="en-US"/>
        </w:rPr>
        <w:t>the High Volatility at 90 days, TOST did not support equivalence in total cost between Hybrid AI and either Base-stock or Dynamic + Forecast (tost_p = 0.504 and 0.428, respectively</w:t>
      </w:r>
      <w:r w:rsidRPr="00A80DFD">
        <w:rPr>
          <w:lang w:val="en-US"/>
        </w:rPr>
        <w:t>). For fill rate, TOST supported equivalence within ±0.01 against both baselines (tost_p = 2.00×10^-5 vs Base-stock; 1.97×10^-6 vs Dynamic + Forecast). In High Volatility at 180 days, TOST supported equivalence for fill rate within ±0.01 (tost_p = 3.59×10^-27 vs Base-stock; 8.29×10^-15 vs Dynamic + Forecast), while total-cost equivalence remained unsupported (tost_p = 0.113 vs Base-stock; 0.821 vs Dynamic + Forecast). We report the paired standardized effect size (d_z) and the implied minimum detectable effect (MDE) for each metric in tost_mde_withinrun.csv to quantify the limits of inference under n = 100 paired replications.</w:t>
      </w:r>
    </w:p>
    <w:p w14:paraId="6EEE044A" w14:textId="77777777" w:rsidR="00884D0D" w:rsidRDefault="00000000">
      <w:pPr>
        <w:pStyle w:val="Ttulo2"/>
      </w:pPr>
      <w:r>
        <w:t>Appendix F: Forecast backtest and routing ablations (supporting analyses)</w:t>
      </w:r>
    </w:p>
    <w:p w14:paraId="3C278B3C" w14:textId="77777777" w:rsidR="00884D0D" w:rsidRDefault="00000000">
      <w:pPr>
        <w:pStyle w:val="Ttulo3"/>
      </w:pPr>
      <w:r>
        <w:t>Appendix F.1. Forecast point-accuracy backtest</w:t>
      </w:r>
    </w:p>
    <w:p w14:paraId="54155C7B" w14:textId="77777777" w:rsidR="00884D0D" w:rsidRPr="00653ACC" w:rsidRDefault="00000000" w:rsidP="004E6856">
      <w:pPr>
        <w:pStyle w:val="text-base"/>
        <w:jc w:val="both"/>
        <w:rPr>
          <w:lang w:val="en-US"/>
        </w:rPr>
      </w:pPr>
      <w:r w:rsidRPr="00653ACC">
        <w:rPr>
          <w:lang w:val="en-US"/>
        </w:rPr>
        <w:t>This appendix reports an out-of-sample point-accuracy backtest for the LSTM+RF forecaster used by the Hybrid AI policy and by forecast-informed baselines (e.g., BASE_STOCK_UNCERTAIN and Dynamic + Forecast). We evaluate one-step-ahead predictions using a rolling-origin scheme over the historical demand stream that underpins the scenario generators. We report point metrics only in this backtest; we do not claim formal probabilistic calibration for the uncertainty proxy used in BASE_STOCK_UNCERTAIN.</w:t>
      </w:r>
    </w:p>
    <w:p w14:paraId="5289B2CC" w14:textId="77777777" w:rsidR="00884D0D" w:rsidRDefault="00000000">
      <w:pPr>
        <w:pStyle w:val="Ttulo3"/>
      </w:pPr>
      <w:r>
        <w:t>Appendix F.3. Routing proxy ablation (GA off)</w:t>
      </w:r>
    </w:p>
    <w:p w14:paraId="079D2D54" w14:textId="77777777" w:rsidR="00884D0D" w:rsidRPr="00653ACC" w:rsidRDefault="00000000" w:rsidP="004E6856">
      <w:pPr>
        <w:pStyle w:val="text-base"/>
        <w:jc w:val="both"/>
        <w:rPr>
          <w:lang w:val="en-US"/>
        </w:rPr>
      </w:pPr>
      <w:r w:rsidRPr="00F34B55">
        <w:rPr>
          <w:lang w:val="en-US"/>
        </w:rPr>
        <w:t>To isolate whether routing-aware costs drive the disruption failure mode, we run GA-off configurations in two contexts. First, we report GA=off as an ablation setting for the primary paired Monte Carlo grid; second, we run a bottleneck-isolation diagnostic under Supply Disruption with GA off and reward = inventory_only (Appendix E.8). Together, these tests show that removing the routing proxy and simplifying the objective can mitigate the catastrophic collapse, yet Hybrid AI still trades service for cost and does not dominate tuned baselines in fill rate. The evidence supports interpreting the disruption failure as an interaction between objective specification, action bounds, and long lead times rather than as a pure artifact of the routing module.</w:t>
      </w:r>
    </w:p>
    <w:p w14:paraId="33E0B49A" w14:textId="77777777" w:rsidR="00884D0D" w:rsidRDefault="00000000">
      <w:pPr>
        <w:pStyle w:val="Ttulo2"/>
      </w:pPr>
      <w:r>
        <w:lastRenderedPageBreak/>
        <w:t>Appendix H: Decision gates and KPI targets</w:t>
      </w:r>
    </w:p>
    <w:p w14:paraId="4E7D3D8E" w14:textId="77777777" w:rsidR="00884D0D" w:rsidRDefault="00000000" w:rsidP="004E742A">
      <w:pPr>
        <w:pStyle w:val="text-base"/>
        <w:jc w:val="both"/>
        <w:rPr>
          <w:lang w:val="en-US"/>
        </w:rPr>
      </w:pPr>
      <w:r w:rsidRPr="00653ACC">
        <w:rPr>
          <w:lang w:val="en-US"/>
        </w:rPr>
        <w:t>This appendix defines the operational decision gates referenced in the Discussion. The targets below are illustrative and provide a minimum safety specification for healthcare deployment; they do not define an objective or constraint set in the present experiments.</w:t>
      </w:r>
    </w:p>
    <w:p w14:paraId="35AF409C" w14:textId="77777777" w:rsidR="004E6856" w:rsidRPr="004E742A" w:rsidRDefault="004E6856" w:rsidP="004E742A">
      <w:pPr>
        <w:pStyle w:val="Corpodetexto"/>
        <w:spacing w:before="100" w:beforeAutospacing="1" w:after="120" w:line="286" w:lineRule="auto"/>
        <w:ind w:left="288" w:right="14" w:hanging="72"/>
        <w:jc w:val="center"/>
        <w:rPr>
          <w:rFonts w:ascii="Times New Roman" w:eastAsia="Times New Roman" w:hAnsi="Times New Roman" w:cs="Times New Roman"/>
          <w:b/>
          <w:bCs/>
          <w:color w:val="000000" w:themeColor="text1"/>
          <w:sz w:val="22"/>
          <w:szCs w:val="22"/>
          <w:lang w:eastAsia="pt-BR"/>
        </w:rPr>
      </w:pPr>
      <w:r w:rsidRPr="004E742A">
        <w:rPr>
          <w:rFonts w:ascii="Times New Roman" w:eastAsia="Times New Roman" w:hAnsi="Times New Roman" w:cs="Times New Roman"/>
          <w:b/>
          <w:bCs/>
          <w:color w:val="000000" w:themeColor="text1"/>
          <w:sz w:val="22"/>
          <w:szCs w:val="22"/>
          <w:lang w:eastAsia="pt-BR"/>
        </w:rPr>
        <w:t>Table H.1. Illustrative decision gates for deployment readiness.</w:t>
      </w:r>
    </w:p>
    <w:tbl>
      <w:tblPr>
        <w:tblStyle w:val="Tabelacomgrade"/>
        <w:tblW w:w="0" w:type="auto"/>
        <w:tblLook w:val="04A0" w:firstRow="1" w:lastRow="0" w:firstColumn="1" w:lastColumn="0" w:noHBand="0" w:noVBand="1"/>
      </w:tblPr>
      <w:tblGrid>
        <w:gridCol w:w="1980"/>
        <w:gridCol w:w="3402"/>
        <w:gridCol w:w="4354"/>
      </w:tblGrid>
      <w:tr w:rsidR="00884D0D" w:rsidRPr="004E6856" w14:paraId="5333B759" w14:textId="77777777" w:rsidTr="004E742A">
        <w:tc>
          <w:tcPr>
            <w:tcW w:w="1980" w:type="dxa"/>
          </w:tcPr>
          <w:p w14:paraId="1F4E7A37" w14:textId="77777777" w:rsidR="00884D0D" w:rsidRPr="004E6856" w:rsidRDefault="00000000">
            <w:pPr>
              <w:rPr>
                <w:rFonts w:ascii="Times New Roman" w:hAnsi="Times New Roman" w:cs="Times New Roman"/>
                <w:b/>
                <w:bCs/>
                <w:sz w:val="18"/>
                <w:szCs w:val="18"/>
              </w:rPr>
            </w:pPr>
            <w:r w:rsidRPr="004E6856">
              <w:rPr>
                <w:rFonts w:ascii="Times New Roman" w:hAnsi="Times New Roman" w:cs="Times New Roman"/>
                <w:b/>
                <w:bCs/>
                <w:sz w:val="18"/>
                <w:szCs w:val="18"/>
              </w:rPr>
              <w:t>KPI</w:t>
            </w:r>
          </w:p>
        </w:tc>
        <w:tc>
          <w:tcPr>
            <w:tcW w:w="3402" w:type="dxa"/>
          </w:tcPr>
          <w:p w14:paraId="20B345C8" w14:textId="77777777" w:rsidR="00884D0D" w:rsidRPr="004E6856" w:rsidRDefault="00000000">
            <w:pPr>
              <w:rPr>
                <w:rFonts w:ascii="Times New Roman" w:hAnsi="Times New Roman" w:cs="Times New Roman"/>
                <w:b/>
                <w:bCs/>
                <w:sz w:val="18"/>
                <w:szCs w:val="18"/>
              </w:rPr>
            </w:pPr>
            <w:r w:rsidRPr="004E6856">
              <w:rPr>
                <w:rFonts w:ascii="Times New Roman" w:hAnsi="Times New Roman" w:cs="Times New Roman"/>
                <w:b/>
                <w:bCs/>
                <w:sz w:val="18"/>
                <w:szCs w:val="18"/>
              </w:rPr>
              <w:t>Illustrative target</w:t>
            </w:r>
          </w:p>
        </w:tc>
        <w:tc>
          <w:tcPr>
            <w:tcW w:w="4354" w:type="dxa"/>
          </w:tcPr>
          <w:p w14:paraId="1888CD2B" w14:textId="77777777" w:rsidR="00884D0D" w:rsidRPr="004E6856" w:rsidRDefault="00000000">
            <w:pPr>
              <w:rPr>
                <w:rFonts w:ascii="Times New Roman" w:hAnsi="Times New Roman" w:cs="Times New Roman"/>
                <w:b/>
                <w:bCs/>
                <w:sz w:val="18"/>
                <w:szCs w:val="18"/>
              </w:rPr>
            </w:pPr>
            <w:r w:rsidRPr="004E6856">
              <w:rPr>
                <w:rFonts w:ascii="Times New Roman" w:hAnsi="Times New Roman" w:cs="Times New Roman"/>
                <w:b/>
                <w:bCs/>
                <w:sz w:val="18"/>
                <w:szCs w:val="18"/>
              </w:rPr>
              <w:t>Operational interpretation</w:t>
            </w:r>
          </w:p>
        </w:tc>
      </w:tr>
      <w:tr w:rsidR="00884D0D" w:rsidRPr="004E6856" w14:paraId="33700A77" w14:textId="77777777" w:rsidTr="004E742A">
        <w:tc>
          <w:tcPr>
            <w:tcW w:w="1980" w:type="dxa"/>
            <w:vAlign w:val="center"/>
          </w:tcPr>
          <w:p w14:paraId="020DAB2D"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Fill rate</w:t>
            </w:r>
          </w:p>
        </w:tc>
        <w:tc>
          <w:tcPr>
            <w:tcW w:w="3402" w:type="dxa"/>
            <w:vAlign w:val="center"/>
          </w:tcPr>
          <w:p w14:paraId="616C88A8"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 0.95 (nominal); ≥ 0.90 (stress)</w:t>
            </w:r>
          </w:p>
        </w:tc>
        <w:tc>
          <w:tcPr>
            <w:tcW w:w="4354" w:type="dxa"/>
            <w:vAlign w:val="center"/>
          </w:tcPr>
          <w:p w14:paraId="1BC36E6D"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Service floor</w:t>
            </w:r>
            <w:r w:rsidR="00D508F7">
              <w:rPr>
                <w:rFonts w:ascii="Times New Roman" w:hAnsi="Times New Roman" w:cs="Times New Roman"/>
                <w:sz w:val="18"/>
                <w:szCs w:val="18"/>
              </w:rPr>
              <w:t xml:space="preserve">, </w:t>
            </w:r>
            <w:r w:rsidRPr="004E6856">
              <w:rPr>
                <w:rFonts w:ascii="Times New Roman" w:hAnsi="Times New Roman" w:cs="Times New Roman"/>
                <w:sz w:val="18"/>
                <w:szCs w:val="18"/>
              </w:rPr>
              <w:t>trigger fallback if violated for k consecutive periods.</w:t>
            </w:r>
          </w:p>
        </w:tc>
      </w:tr>
      <w:tr w:rsidR="00884D0D" w:rsidRPr="004E6856" w14:paraId="51C6F22B" w14:textId="77777777" w:rsidTr="004E742A">
        <w:tc>
          <w:tcPr>
            <w:tcW w:w="1980" w:type="dxa"/>
            <w:vAlign w:val="center"/>
          </w:tcPr>
          <w:p w14:paraId="6C4E39EA"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Stockout days</w:t>
            </w:r>
          </w:p>
        </w:tc>
        <w:tc>
          <w:tcPr>
            <w:tcW w:w="3402" w:type="dxa"/>
            <w:vAlign w:val="center"/>
          </w:tcPr>
          <w:p w14:paraId="1010B92D"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 5% of days (nominal)</w:t>
            </w:r>
          </w:p>
        </w:tc>
        <w:tc>
          <w:tcPr>
            <w:tcW w:w="4354" w:type="dxa"/>
            <w:vAlign w:val="center"/>
          </w:tcPr>
          <w:p w14:paraId="6C9CADDD"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Tail-risk constraint; monitor persistent stockout streaks.</w:t>
            </w:r>
          </w:p>
        </w:tc>
      </w:tr>
      <w:tr w:rsidR="00884D0D" w:rsidRPr="004E6856" w14:paraId="00DBEBA1" w14:textId="77777777" w:rsidTr="004E742A">
        <w:tc>
          <w:tcPr>
            <w:tcW w:w="1980" w:type="dxa"/>
            <w:vAlign w:val="center"/>
          </w:tcPr>
          <w:p w14:paraId="58453143"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Ordering feasibility</w:t>
            </w:r>
          </w:p>
        </w:tc>
        <w:tc>
          <w:tcPr>
            <w:tcW w:w="3402" w:type="dxa"/>
            <w:vAlign w:val="center"/>
          </w:tcPr>
          <w:p w14:paraId="717FC8C7"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No negative inventory; respect capacity when applicable</w:t>
            </w:r>
          </w:p>
        </w:tc>
        <w:tc>
          <w:tcPr>
            <w:tcW w:w="4354" w:type="dxa"/>
            <w:vAlign w:val="center"/>
          </w:tcPr>
          <w:p w14:paraId="4E467AA5"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Hard constraints</w:t>
            </w:r>
            <w:r w:rsidR="00D508F7">
              <w:rPr>
                <w:rFonts w:ascii="Times New Roman" w:hAnsi="Times New Roman" w:cs="Times New Roman"/>
                <w:sz w:val="18"/>
                <w:szCs w:val="18"/>
              </w:rPr>
              <w:t>,</w:t>
            </w:r>
            <w:r w:rsidRPr="004E6856">
              <w:rPr>
                <w:rFonts w:ascii="Times New Roman" w:hAnsi="Times New Roman" w:cs="Times New Roman"/>
                <w:sz w:val="18"/>
                <w:szCs w:val="18"/>
              </w:rPr>
              <w:t xml:space="preserve"> enforce clipping and audit logs.</w:t>
            </w:r>
          </w:p>
        </w:tc>
      </w:tr>
      <w:tr w:rsidR="00884D0D" w:rsidRPr="004E6856" w14:paraId="310939DF" w14:textId="77777777" w:rsidTr="004E742A">
        <w:tc>
          <w:tcPr>
            <w:tcW w:w="1980" w:type="dxa"/>
            <w:vAlign w:val="center"/>
          </w:tcPr>
          <w:p w14:paraId="0FEB313E"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Cost recovery resilience</w:t>
            </w:r>
          </w:p>
        </w:tc>
        <w:tc>
          <w:tcPr>
            <w:tcW w:w="3402" w:type="dxa"/>
            <w:vAlign w:val="center"/>
          </w:tcPr>
          <w:p w14:paraId="4CCCE261"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No regime with &gt; +X% cost vs best baseline</w:t>
            </w:r>
          </w:p>
        </w:tc>
        <w:tc>
          <w:tcPr>
            <w:tcW w:w="4354" w:type="dxa"/>
            <w:vAlign w:val="center"/>
          </w:tcPr>
          <w:p w14:paraId="6B1573D2" w14:textId="77777777" w:rsidR="00884D0D" w:rsidRPr="004E6856" w:rsidRDefault="00000000" w:rsidP="004E742A">
            <w:pPr>
              <w:rPr>
                <w:rFonts w:ascii="Times New Roman" w:hAnsi="Times New Roman" w:cs="Times New Roman"/>
                <w:sz w:val="18"/>
                <w:szCs w:val="18"/>
              </w:rPr>
            </w:pPr>
            <w:r w:rsidRPr="004E6856">
              <w:rPr>
                <w:rFonts w:ascii="Times New Roman" w:hAnsi="Times New Roman" w:cs="Times New Roman"/>
                <w:sz w:val="18"/>
                <w:szCs w:val="18"/>
              </w:rPr>
              <w:t xml:space="preserve">Do-no-harm gate: reject policies </w:t>
            </w:r>
            <w:r w:rsidR="00D508F7">
              <w:rPr>
                <w:rFonts w:ascii="Times New Roman" w:hAnsi="Times New Roman" w:cs="Times New Roman"/>
                <w:sz w:val="18"/>
                <w:szCs w:val="18"/>
              </w:rPr>
              <w:t>that lead to</w:t>
            </w:r>
            <w:r w:rsidRPr="004E6856">
              <w:rPr>
                <w:rFonts w:ascii="Times New Roman" w:hAnsi="Times New Roman" w:cs="Times New Roman"/>
                <w:sz w:val="18"/>
                <w:szCs w:val="18"/>
              </w:rPr>
              <w:t xml:space="preserve"> catastrophic regime loss.</w:t>
            </w:r>
          </w:p>
        </w:tc>
      </w:tr>
      <w:tr>
        <w:tc>
          <w:tcPr>
            <w:tcW w:type="dxa" w:w="1980"/>
          </w:tcPr>
          <w:p>
            <w:r>
              <w:t>Throughput (lines/day)</w:t>
            </w:r>
          </w:p>
        </w:tc>
        <w:tc>
          <w:tcPr>
            <w:tcW w:type="dxa" w:w="3402"/>
          </w:tcPr>
          <w:p>
            <w:r>
              <w:t>≥ 20–50 (facility-specific)</w:t>
            </w:r>
          </w:p>
        </w:tc>
        <w:tc>
          <w:tcPr>
            <w:tcW w:type="dxa" w:w="4354"/>
          </w:tcPr>
          <w:p>
            <w:r>
              <w:t>Calibrate to facility-day line-volume distribution and aggregation level (Appendix C.4: 90th percentile ≈22 in SUS sample).</w:t>
            </w:r>
          </w:p>
        </w:tc>
      </w:tr>
    </w:tbl>
    <w:p w14:paraId="49FE0025" w14:textId="77777777" w:rsidR="00884D0D" w:rsidRPr="004E6856" w:rsidRDefault="00884D0D" w:rsidP="004E6856">
      <w:pPr>
        <w:pStyle w:val="Corpodetexto"/>
        <w:rPr>
          <w:rFonts w:ascii="Times New Roman" w:hAnsi="Times New Roman" w:cs="Times New Roman"/>
          <w:sz w:val="2"/>
          <w:szCs w:val="2"/>
        </w:rPr>
      </w:pPr>
    </w:p>
    <w:sectPr w:rsidR="00884D0D" w:rsidRPr="004E6856" w:rsidSect="008676CE">
      <w:footerReference w:type="default" r:id="rId13"/>
      <w:pgSz w:w="11906" w:h="16838"/>
      <w:pgMar w:top="1080" w:right="1080" w:bottom="1080" w:left="108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C332" w14:textId="77777777" w:rsidR="00684698" w:rsidRDefault="00684698" w:rsidP="00747409">
      <w:r>
        <w:separator/>
      </w:r>
    </w:p>
  </w:endnote>
  <w:endnote w:type="continuationSeparator" w:id="0">
    <w:p w14:paraId="3794B922" w14:textId="77777777" w:rsidR="00684698" w:rsidRDefault="00684698" w:rsidP="0074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39866"/>
      <w:docPartObj>
        <w:docPartGallery w:val="Page Numbers (Bottom of Page)"/>
        <w:docPartUnique/>
      </w:docPartObj>
    </w:sdtPr>
    <w:sdtEndPr>
      <w:rPr>
        <w:rFonts w:ascii="Times New Roman" w:hAnsi="Times New Roman" w:cs="Times New Roman"/>
        <w:noProof/>
      </w:rPr>
    </w:sdtEndPr>
    <w:sdtContent>
      <w:p w14:paraId="2549020B" w14:textId="77777777" w:rsidR="000E3F7E" w:rsidRPr="006828DE" w:rsidRDefault="000E3F7E">
        <w:pPr>
          <w:pStyle w:val="Rodap"/>
          <w:jc w:val="right"/>
          <w:rPr>
            <w:rFonts w:ascii="Times New Roman" w:hAnsi="Times New Roman" w:cs="Times New Roman"/>
          </w:rPr>
        </w:pPr>
        <w:r w:rsidRPr="006828DE">
          <w:rPr>
            <w:rFonts w:ascii="Times New Roman" w:hAnsi="Times New Roman" w:cs="Times New Roman"/>
          </w:rPr>
          <w:fldChar w:fldCharType="begin"/>
        </w:r>
        <w:r w:rsidRPr="006828DE">
          <w:rPr>
            <w:rFonts w:ascii="Times New Roman" w:hAnsi="Times New Roman" w:cs="Times New Roman"/>
          </w:rPr>
          <w:instrText xml:space="preserve"> PAGE   \* MERGEFORMAT </w:instrText>
        </w:r>
        <w:r w:rsidRPr="006828DE">
          <w:rPr>
            <w:rFonts w:ascii="Times New Roman" w:hAnsi="Times New Roman" w:cs="Times New Roman"/>
          </w:rPr>
          <w:fldChar w:fldCharType="separate"/>
        </w:r>
        <w:r w:rsidRPr="006828DE">
          <w:rPr>
            <w:rFonts w:ascii="Times New Roman" w:hAnsi="Times New Roman" w:cs="Times New Roman"/>
            <w:noProof/>
          </w:rPr>
          <w:t>2</w:t>
        </w:r>
        <w:r w:rsidRPr="006828DE">
          <w:rPr>
            <w:rFonts w:ascii="Times New Roman" w:hAnsi="Times New Roman" w:cs="Times New Roman"/>
            <w:noProof/>
          </w:rPr>
          <w:fldChar w:fldCharType="end"/>
        </w:r>
      </w:p>
    </w:sdtContent>
  </w:sdt>
  <w:p w14:paraId="7CE02F91" w14:textId="77777777" w:rsidR="000E3F7E" w:rsidRDefault="000E3F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45493" w14:textId="77777777" w:rsidR="00684698" w:rsidRDefault="00684698" w:rsidP="00747409">
      <w:r>
        <w:separator/>
      </w:r>
    </w:p>
  </w:footnote>
  <w:footnote w:type="continuationSeparator" w:id="0">
    <w:p w14:paraId="3A5DB001" w14:textId="77777777" w:rsidR="00684698" w:rsidRDefault="00684698" w:rsidP="00747409">
      <w:r>
        <w:continuationSeparator/>
      </w:r>
    </w:p>
  </w:footnote>
  <w:footnote w:id="1">
    <w:p w14:paraId="634B80DF" w14:textId="77777777" w:rsidR="006C2556" w:rsidRDefault="006C2556" w:rsidP="006C2556">
      <w:pPr>
        <w:pStyle w:val="Textodenotaderodap"/>
        <w:rPr>
          <w:rFonts w:ascii="Times New Roman" w:hAnsi="Times New Roman" w:cs="Times New Roman"/>
        </w:rPr>
      </w:pPr>
      <w:r w:rsidRPr="00E91D70">
        <w:rPr>
          <w:rStyle w:val="Refdenotaderodap"/>
        </w:rPr>
        <w:footnoteRef/>
      </w:r>
      <w:r>
        <w:t xml:space="preserve"> </w:t>
      </w:r>
      <w:r>
        <w:rPr>
          <w:rFonts w:ascii="Times New Roman" w:hAnsi="Times New Roman" w:cs="Times New Roman"/>
        </w:rPr>
        <w:t>Information Science Institute, Federal University of Bahia, Salvador, BA, Brazil. rcmello@ufba.br</w:t>
      </w:r>
    </w:p>
  </w:footnote>
  <w:footnote w:id="2">
    <w:p w14:paraId="629BC8BF" w14:textId="77777777" w:rsidR="006C2556" w:rsidRDefault="006C2556" w:rsidP="006C2556">
      <w:pPr>
        <w:pStyle w:val="Textodenotaderodap"/>
      </w:pPr>
      <w:r w:rsidRPr="00E91D70">
        <w:rPr>
          <w:rStyle w:val="Refdenotaderodap"/>
        </w:rPr>
        <w:footnoteRef/>
      </w:r>
      <w:r>
        <w:t xml:space="preserve"> </w:t>
      </w:r>
      <w:r>
        <w:rPr>
          <w:rFonts w:ascii="Times New Roman" w:hAnsi="Times New Roman" w:cs="Times New Roman"/>
          <w:lang w:val="en-GB"/>
        </w:rPr>
        <w:t>The corresponding author: Warwick Business School, University of Warwick, Coventry, UK. b.chen@warwick.ac.uk</w:t>
      </w:r>
    </w:p>
  </w:footnote>
  <w:footnote w:id="3">
    <w:p w14:paraId="0D712A25" w14:textId="77777777" w:rsidR="006C2556" w:rsidRDefault="006C2556" w:rsidP="006C2556">
      <w:pPr>
        <w:pStyle w:val="Textodenotaderodap"/>
      </w:pPr>
      <w:r w:rsidRPr="00E91D70">
        <w:rPr>
          <w:rStyle w:val="Refdenotaderodap"/>
        </w:rPr>
        <w:footnoteRef/>
      </w:r>
      <w:r>
        <w:t xml:space="preserve"> </w:t>
      </w:r>
      <w:r>
        <w:rPr>
          <w:rFonts w:ascii="Times New Roman" w:hAnsi="Times New Roman" w:cs="Times New Roman"/>
        </w:rPr>
        <w:t>Computing Institute, Federal University of Bahia, Salvador, BA, Brazil. felipeschuler@ufba.br</w:t>
      </w:r>
    </w:p>
  </w:footnote>
  <w:footnote w:id="4">
    <w:p w14:paraId="496A905A" w14:textId="77777777" w:rsidR="006C2556" w:rsidRDefault="006C2556" w:rsidP="006C2556">
      <w:pPr>
        <w:pStyle w:val="Textodenotaderodap"/>
      </w:pPr>
      <w:r w:rsidRPr="00E91D70">
        <w:rPr>
          <w:rStyle w:val="Refdenotaderodap"/>
        </w:rPr>
        <w:footnoteRef/>
      </w:r>
      <w:r>
        <w:t xml:space="preserve"> </w:t>
      </w:r>
      <w:r>
        <w:rPr>
          <w:rFonts w:ascii="Times New Roman" w:hAnsi="Times New Roman" w:cs="Times New Roman"/>
        </w:rPr>
        <w:t>Computing Institute, Federal University of Bahia, Salvador, BA, Brazil. dclaro@ufba.br</w:t>
      </w:r>
    </w:p>
  </w:footnote>
  <w:footnote w:id="5">
    <w:p w14:paraId="1830AE68" w14:textId="77777777" w:rsidR="006C2556" w:rsidRDefault="006C2556" w:rsidP="006C2556">
      <w:pPr>
        <w:pStyle w:val="Textodenotaderodap"/>
      </w:pPr>
      <w:r w:rsidRPr="00E91D70">
        <w:rPr>
          <w:rStyle w:val="Refdenotaderodap"/>
        </w:rPr>
        <w:footnoteRef/>
      </w:r>
      <w:r>
        <w:t xml:space="preserve"> </w:t>
      </w:r>
      <w:r>
        <w:rPr>
          <w:rFonts w:ascii="Times New Roman" w:hAnsi="Times New Roman" w:cs="Times New Roman"/>
        </w:rPr>
        <w:t>Business School, Federal University of Bahia, Salvador, BA, Brazil. antoniosaf@ufba.br</w:t>
      </w:r>
    </w:p>
  </w:footnote>
  <w:footnote w:id="6">
    <w:p w14:paraId="1E9F79DD" w14:textId="77777777" w:rsidR="006C2556" w:rsidRDefault="006C2556" w:rsidP="006C2556">
      <w:pPr>
        <w:pStyle w:val="Textodenotaderodap"/>
      </w:pPr>
      <w:r w:rsidRPr="00E91D70">
        <w:rPr>
          <w:rStyle w:val="Refdenotaderodap"/>
        </w:rPr>
        <w:footnoteRef/>
      </w:r>
      <w:r>
        <w:t xml:space="preserve"> </w:t>
      </w:r>
      <w:r>
        <w:rPr>
          <w:rFonts w:ascii="Times New Roman" w:hAnsi="Times New Roman" w:cs="Times New Roman"/>
        </w:rPr>
        <w:t>Business School, Federal University of Bahia, Salvador, BA, Brazil. rodrigo.ladeira@ufba.br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FD404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F976C9"/>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 w15:restartNumberingAfterBreak="0">
    <w:nsid w:val="00FD062B"/>
    <w:multiLevelType w:val="multilevel"/>
    <w:tmpl w:val="B87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7BAE"/>
    <w:multiLevelType w:val="multilevel"/>
    <w:tmpl w:val="1AA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1786"/>
    <w:multiLevelType w:val="hybridMultilevel"/>
    <w:tmpl w:val="5AE8E702"/>
    <w:lvl w:ilvl="0" w:tplc="0416000F">
      <w:start w:val="1"/>
      <w:numFmt w:val="decimal"/>
      <w:lvlText w:val="%1."/>
      <w:lvlJc w:val="left"/>
      <w:pPr>
        <w:ind w:left="929" w:hanging="360"/>
      </w:pPr>
    </w:lvl>
    <w:lvl w:ilvl="1" w:tplc="04160019" w:tentative="1">
      <w:start w:val="1"/>
      <w:numFmt w:val="lowerLetter"/>
      <w:lvlText w:val="%2."/>
      <w:lvlJc w:val="left"/>
      <w:pPr>
        <w:ind w:left="1649" w:hanging="360"/>
      </w:pPr>
    </w:lvl>
    <w:lvl w:ilvl="2" w:tplc="0416001B" w:tentative="1">
      <w:start w:val="1"/>
      <w:numFmt w:val="lowerRoman"/>
      <w:lvlText w:val="%3."/>
      <w:lvlJc w:val="right"/>
      <w:pPr>
        <w:ind w:left="2369" w:hanging="180"/>
      </w:pPr>
    </w:lvl>
    <w:lvl w:ilvl="3" w:tplc="0416000F" w:tentative="1">
      <w:start w:val="1"/>
      <w:numFmt w:val="decimal"/>
      <w:lvlText w:val="%4."/>
      <w:lvlJc w:val="left"/>
      <w:pPr>
        <w:ind w:left="3089" w:hanging="360"/>
      </w:pPr>
    </w:lvl>
    <w:lvl w:ilvl="4" w:tplc="04160019" w:tentative="1">
      <w:start w:val="1"/>
      <w:numFmt w:val="lowerLetter"/>
      <w:lvlText w:val="%5."/>
      <w:lvlJc w:val="left"/>
      <w:pPr>
        <w:ind w:left="3809" w:hanging="360"/>
      </w:pPr>
    </w:lvl>
    <w:lvl w:ilvl="5" w:tplc="0416001B" w:tentative="1">
      <w:start w:val="1"/>
      <w:numFmt w:val="lowerRoman"/>
      <w:lvlText w:val="%6."/>
      <w:lvlJc w:val="right"/>
      <w:pPr>
        <w:ind w:left="4529" w:hanging="180"/>
      </w:pPr>
    </w:lvl>
    <w:lvl w:ilvl="6" w:tplc="0416000F" w:tentative="1">
      <w:start w:val="1"/>
      <w:numFmt w:val="decimal"/>
      <w:lvlText w:val="%7."/>
      <w:lvlJc w:val="left"/>
      <w:pPr>
        <w:ind w:left="5249" w:hanging="360"/>
      </w:pPr>
    </w:lvl>
    <w:lvl w:ilvl="7" w:tplc="04160019" w:tentative="1">
      <w:start w:val="1"/>
      <w:numFmt w:val="lowerLetter"/>
      <w:lvlText w:val="%8."/>
      <w:lvlJc w:val="left"/>
      <w:pPr>
        <w:ind w:left="5969" w:hanging="360"/>
      </w:pPr>
    </w:lvl>
    <w:lvl w:ilvl="8" w:tplc="0416001B" w:tentative="1">
      <w:start w:val="1"/>
      <w:numFmt w:val="lowerRoman"/>
      <w:lvlText w:val="%9."/>
      <w:lvlJc w:val="right"/>
      <w:pPr>
        <w:ind w:left="6689" w:hanging="180"/>
      </w:pPr>
    </w:lvl>
  </w:abstractNum>
  <w:abstractNum w:abstractNumId="5" w15:restartNumberingAfterBreak="0">
    <w:nsid w:val="0F933A7A"/>
    <w:multiLevelType w:val="hybridMultilevel"/>
    <w:tmpl w:val="48BCA84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0402332"/>
    <w:multiLevelType w:val="hybridMultilevel"/>
    <w:tmpl w:val="7864FFAA"/>
    <w:lvl w:ilvl="0" w:tplc="0416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554BA4"/>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8" w15:restartNumberingAfterBreak="0">
    <w:nsid w:val="12C95709"/>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9" w15:restartNumberingAfterBreak="0">
    <w:nsid w:val="1AD345FD"/>
    <w:multiLevelType w:val="multilevel"/>
    <w:tmpl w:val="CE50763A"/>
    <w:lvl w:ilvl="0">
      <w:start w:val="1"/>
      <w:numFmt w:val="decimal"/>
      <w:lvlText w:val="%1."/>
      <w:lvlJc w:val="left"/>
      <w:pPr>
        <w:ind w:left="569"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3915" w:hanging="720"/>
      </w:pPr>
      <w:rPr>
        <w:rFonts w:hint="default"/>
      </w:rPr>
    </w:lvl>
    <w:lvl w:ilvl="3">
      <w:start w:val="1"/>
      <w:numFmt w:val="decimal"/>
      <w:isLgl/>
      <w:lvlText w:val="%1.%2.%3.%4"/>
      <w:lvlJc w:val="left"/>
      <w:pPr>
        <w:ind w:left="5408" w:hanging="720"/>
      </w:pPr>
      <w:rPr>
        <w:rFonts w:hint="default"/>
      </w:rPr>
    </w:lvl>
    <w:lvl w:ilvl="4">
      <w:start w:val="1"/>
      <w:numFmt w:val="decimal"/>
      <w:isLgl/>
      <w:lvlText w:val="%1.%2.%3.%4.%5"/>
      <w:lvlJc w:val="left"/>
      <w:pPr>
        <w:ind w:left="7261" w:hanging="1080"/>
      </w:pPr>
      <w:rPr>
        <w:rFonts w:hint="default"/>
      </w:rPr>
    </w:lvl>
    <w:lvl w:ilvl="5">
      <w:start w:val="1"/>
      <w:numFmt w:val="decimal"/>
      <w:isLgl/>
      <w:lvlText w:val="%1.%2.%3.%4.%5.%6"/>
      <w:lvlJc w:val="left"/>
      <w:pPr>
        <w:ind w:left="8754" w:hanging="1080"/>
      </w:pPr>
      <w:rPr>
        <w:rFonts w:hint="default"/>
      </w:rPr>
    </w:lvl>
    <w:lvl w:ilvl="6">
      <w:start w:val="1"/>
      <w:numFmt w:val="decimal"/>
      <w:isLgl/>
      <w:lvlText w:val="%1.%2.%3.%4.%5.%6.%7"/>
      <w:lvlJc w:val="left"/>
      <w:pPr>
        <w:ind w:left="10247" w:hanging="1080"/>
      </w:pPr>
      <w:rPr>
        <w:rFonts w:hint="default"/>
      </w:rPr>
    </w:lvl>
    <w:lvl w:ilvl="7">
      <w:start w:val="1"/>
      <w:numFmt w:val="decimal"/>
      <w:isLgl/>
      <w:lvlText w:val="%1.%2.%3.%4.%5.%6.%7.%8"/>
      <w:lvlJc w:val="left"/>
      <w:pPr>
        <w:ind w:left="12100" w:hanging="1440"/>
      </w:pPr>
      <w:rPr>
        <w:rFonts w:hint="default"/>
      </w:rPr>
    </w:lvl>
    <w:lvl w:ilvl="8">
      <w:start w:val="1"/>
      <w:numFmt w:val="decimal"/>
      <w:isLgl/>
      <w:lvlText w:val="%1.%2.%3.%4.%5.%6.%7.%8.%9"/>
      <w:lvlJc w:val="left"/>
      <w:pPr>
        <w:ind w:left="13593" w:hanging="1440"/>
      </w:pPr>
      <w:rPr>
        <w:rFonts w:hint="default"/>
      </w:rPr>
    </w:lvl>
  </w:abstractNum>
  <w:abstractNum w:abstractNumId="10" w15:restartNumberingAfterBreak="0">
    <w:nsid w:val="1C621BBD"/>
    <w:multiLevelType w:val="multilevel"/>
    <w:tmpl w:val="2F006268"/>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D515E6F"/>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12" w15:restartNumberingAfterBreak="0">
    <w:nsid w:val="1ED86E00"/>
    <w:multiLevelType w:val="hybridMultilevel"/>
    <w:tmpl w:val="7564FE30"/>
    <w:lvl w:ilvl="0" w:tplc="B47C7D8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4755F7C"/>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14" w15:restartNumberingAfterBreak="0">
    <w:nsid w:val="25BB3813"/>
    <w:multiLevelType w:val="hybridMultilevel"/>
    <w:tmpl w:val="BBB0D1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6887C42"/>
    <w:multiLevelType w:val="multilevel"/>
    <w:tmpl w:val="ABA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B1141"/>
    <w:multiLevelType w:val="hybridMultilevel"/>
    <w:tmpl w:val="1B9EED30"/>
    <w:lvl w:ilvl="0" w:tplc="01F43830">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2A80238F"/>
    <w:multiLevelType w:val="multilevel"/>
    <w:tmpl w:val="A83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166A3"/>
    <w:multiLevelType w:val="multilevel"/>
    <w:tmpl w:val="CE50763A"/>
    <w:lvl w:ilvl="0">
      <w:start w:val="1"/>
      <w:numFmt w:val="decimal"/>
      <w:lvlText w:val="%1."/>
      <w:lvlJc w:val="left"/>
      <w:pPr>
        <w:ind w:left="569"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3915" w:hanging="720"/>
      </w:pPr>
      <w:rPr>
        <w:rFonts w:hint="default"/>
      </w:rPr>
    </w:lvl>
    <w:lvl w:ilvl="3">
      <w:start w:val="1"/>
      <w:numFmt w:val="decimal"/>
      <w:isLgl/>
      <w:lvlText w:val="%1.%2.%3.%4"/>
      <w:lvlJc w:val="left"/>
      <w:pPr>
        <w:ind w:left="5408" w:hanging="720"/>
      </w:pPr>
      <w:rPr>
        <w:rFonts w:hint="default"/>
      </w:rPr>
    </w:lvl>
    <w:lvl w:ilvl="4">
      <w:start w:val="1"/>
      <w:numFmt w:val="decimal"/>
      <w:isLgl/>
      <w:lvlText w:val="%1.%2.%3.%4.%5"/>
      <w:lvlJc w:val="left"/>
      <w:pPr>
        <w:ind w:left="7261" w:hanging="1080"/>
      </w:pPr>
      <w:rPr>
        <w:rFonts w:hint="default"/>
      </w:rPr>
    </w:lvl>
    <w:lvl w:ilvl="5">
      <w:start w:val="1"/>
      <w:numFmt w:val="decimal"/>
      <w:isLgl/>
      <w:lvlText w:val="%1.%2.%3.%4.%5.%6"/>
      <w:lvlJc w:val="left"/>
      <w:pPr>
        <w:ind w:left="8754" w:hanging="1080"/>
      </w:pPr>
      <w:rPr>
        <w:rFonts w:hint="default"/>
      </w:rPr>
    </w:lvl>
    <w:lvl w:ilvl="6">
      <w:start w:val="1"/>
      <w:numFmt w:val="decimal"/>
      <w:isLgl/>
      <w:lvlText w:val="%1.%2.%3.%4.%5.%6.%7"/>
      <w:lvlJc w:val="left"/>
      <w:pPr>
        <w:ind w:left="10247" w:hanging="1080"/>
      </w:pPr>
      <w:rPr>
        <w:rFonts w:hint="default"/>
      </w:rPr>
    </w:lvl>
    <w:lvl w:ilvl="7">
      <w:start w:val="1"/>
      <w:numFmt w:val="decimal"/>
      <w:isLgl/>
      <w:lvlText w:val="%1.%2.%3.%4.%5.%6.%7.%8"/>
      <w:lvlJc w:val="left"/>
      <w:pPr>
        <w:ind w:left="12100" w:hanging="1440"/>
      </w:pPr>
      <w:rPr>
        <w:rFonts w:hint="default"/>
      </w:rPr>
    </w:lvl>
    <w:lvl w:ilvl="8">
      <w:start w:val="1"/>
      <w:numFmt w:val="decimal"/>
      <w:isLgl/>
      <w:lvlText w:val="%1.%2.%3.%4.%5.%6.%7.%8.%9"/>
      <w:lvlJc w:val="left"/>
      <w:pPr>
        <w:ind w:left="13593" w:hanging="1440"/>
      </w:pPr>
      <w:rPr>
        <w:rFonts w:hint="default"/>
      </w:rPr>
    </w:lvl>
  </w:abstractNum>
  <w:abstractNum w:abstractNumId="19" w15:restartNumberingAfterBreak="0">
    <w:nsid w:val="314E284D"/>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0" w15:restartNumberingAfterBreak="0">
    <w:nsid w:val="3AB91790"/>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1" w15:restartNumberingAfterBreak="0">
    <w:nsid w:val="3B34798F"/>
    <w:multiLevelType w:val="hybridMultilevel"/>
    <w:tmpl w:val="71B001C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2" w15:restartNumberingAfterBreak="0">
    <w:nsid w:val="3F851610"/>
    <w:multiLevelType w:val="hybridMultilevel"/>
    <w:tmpl w:val="06A41672"/>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1AB7B32"/>
    <w:multiLevelType w:val="hybridMultilevel"/>
    <w:tmpl w:val="00728C90"/>
    <w:lvl w:ilvl="0" w:tplc="01F4383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5BF6FD5"/>
    <w:multiLevelType w:val="hybridMultilevel"/>
    <w:tmpl w:val="11845B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92E3986"/>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6" w15:restartNumberingAfterBreak="0">
    <w:nsid w:val="49C54452"/>
    <w:multiLevelType w:val="hybridMultilevel"/>
    <w:tmpl w:val="F78EB2C2"/>
    <w:lvl w:ilvl="0" w:tplc="04DCA84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D31030E"/>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8" w15:restartNumberingAfterBreak="0">
    <w:nsid w:val="4EAA057A"/>
    <w:multiLevelType w:val="hybridMultilevel"/>
    <w:tmpl w:val="B7EA4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049582E"/>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30" w15:restartNumberingAfterBreak="0">
    <w:nsid w:val="54D538D5"/>
    <w:multiLevelType w:val="hybridMultilevel"/>
    <w:tmpl w:val="A5E86130"/>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8A214F4"/>
    <w:multiLevelType w:val="hybridMultilevel"/>
    <w:tmpl w:val="802C7F8A"/>
    <w:lvl w:ilvl="0" w:tplc="A37C6A3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E704233"/>
    <w:multiLevelType w:val="hybridMultilevel"/>
    <w:tmpl w:val="95B241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F6336A0"/>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34" w15:restartNumberingAfterBreak="0">
    <w:nsid w:val="60BB2CFE"/>
    <w:multiLevelType w:val="hybridMultilevel"/>
    <w:tmpl w:val="AAA636C4"/>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35" w15:restartNumberingAfterBreak="0">
    <w:nsid w:val="64165972"/>
    <w:multiLevelType w:val="hybridMultilevel"/>
    <w:tmpl w:val="6962362A"/>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6" w15:restartNumberingAfterBreak="0">
    <w:nsid w:val="655537E2"/>
    <w:multiLevelType w:val="multilevel"/>
    <w:tmpl w:val="40F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A187B"/>
    <w:multiLevelType w:val="hybridMultilevel"/>
    <w:tmpl w:val="BF081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7DD4E50"/>
    <w:multiLevelType w:val="hybridMultilevel"/>
    <w:tmpl w:val="49D257F8"/>
    <w:lvl w:ilvl="0" w:tplc="04160001">
      <w:start w:val="1"/>
      <w:numFmt w:val="bullet"/>
      <w:lvlText w:val=""/>
      <w:lvlJc w:val="left"/>
      <w:pPr>
        <w:ind w:left="929" w:hanging="360"/>
      </w:pPr>
      <w:rPr>
        <w:rFonts w:ascii="Symbol" w:hAnsi="Symbol" w:hint="default"/>
      </w:rPr>
    </w:lvl>
    <w:lvl w:ilvl="1" w:tplc="04160003" w:tentative="1">
      <w:start w:val="1"/>
      <w:numFmt w:val="bullet"/>
      <w:lvlText w:val="o"/>
      <w:lvlJc w:val="left"/>
      <w:pPr>
        <w:ind w:left="1649" w:hanging="360"/>
      </w:pPr>
      <w:rPr>
        <w:rFonts w:ascii="Courier New" w:hAnsi="Courier New" w:cs="Courier New" w:hint="default"/>
      </w:rPr>
    </w:lvl>
    <w:lvl w:ilvl="2" w:tplc="04160005" w:tentative="1">
      <w:start w:val="1"/>
      <w:numFmt w:val="bullet"/>
      <w:lvlText w:val=""/>
      <w:lvlJc w:val="left"/>
      <w:pPr>
        <w:ind w:left="2369" w:hanging="360"/>
      </w:pPr>
      <w:rPr>
        <w:rFonts w:ascii="Wingdings" w:hAnsi="Wingdings" w:hint="default"/>
      </w:rPr>
    </w:lvl>
    <w:lvl w:ilvl="3" w:tplc="04160001" w:tentative="1">
      <w:start w:val="1"/>
      <w:numFmt w:val="bullet"/>
      <w:lvlText w:val=""/>
      <w:lvlJc w:val="left"/>
      <w:pPr>
        <w:ind w:left="3089" w:hanging="360"/>
      </w:pPr>
      <w:rPr>
        <w:rFonts w:ascii="Symbol" w:hAnsi="Symbol" w:hint="default"/>
      </w:rPr>
    </w:lvl>
    <w:lvl w:ilvl="4" w:tplc="04160003" w:tentative="1">
      <w:start w:val="1"/>
      <w:numFmt w:val="bullet"/>
      <w:lvlText w:val="o"/>
      <w:lvlJc w:val="left"/>
      <w:pPr>
        <w:ind w:left="3809" w:hanging="360"/>
      </w:pPr>
      <w:rPr>
        <w:rFonts w:ascii="Courier New" w:hAnsi="Courier New" w:cs="Courier New" w:hint="default"/>
      </w:rPr>
    </w:lvl>
    <w:lvl w:ilvl="5" w:tplc="04160005" w:tentative="1">
      <w:start w:val="1"/>
      <w:numFmt w:val="bullet"/>
      <w:lvlText w:val=""/>
      <w:lvlJc w:val="left"/>
      <w:pPr>
        <w:ind w:left="4529" w:hanging="360"/>
      </w:pPr>
      <w:rPr>
        <w:rFonts w:ascii="Wingdings" w:hAnsi="Wingdings" w:hint="default"/>
      </w:rPr>
    </w:lvl>
    <w:lvl w:ilvl="6" w:tplc="04160001" w:tentative="1">
      <w:start w:val="1"/>
      <w:numFmt w:val="bullet"/>
      <w:lvlText w:val=""/>
      <w:lvlJc w:val="left"/>
      <w:pPr>
        <w:ind w:left="5249" w:hanging="360"/>
      </w:pPr>
      <w:rPr>
        <w:rFonts w:ascii="Symbol" w:hAnsi="Symbol" w:hint="default"/>
      </w:rPr>
    </w:lvl>
    <w:lvl w:ilvl="7" w:tplc="04160003" w:tentative="1">
      <w:start w:val="1"/>
      <w:numFmt w:val="bullet"/>
      <w:lvlText w:val="o"/>
      <w:lvlJc w:val="left"/>
      <w:pPr>
        <w:ind w:left="5969" w:hanging="360"/>
      </w:pPr>
      <w:rPr>
        <w:rFonts w:ascii="Courier New" w:hAnsi="Courier New" w:cs="Courier New" w:hint="default"/>
      </w:rPr>
    </w:lvl>
    <w:lvl w:ilvl="8" w:tplc="04160005" w:tentative="1">
      <w:start w:val="1"/>
      <w:numFmt w:val="bullet"/>
      <w:lvlText w:val=""/>
      <w:lvlJc w:val="left"/>
      <w:pPr>
        <w:ind w:left="6689" w:hanging="360"/>
      </w:pPr>
      <w:rPr>
        <w:rFonts w:ascii="Wingdings" w:hAnsi="Wingdings" w:hint="default"/>
      </w:rPr>
    </w:lvl>
  </w:abstractNum>
  <w:abstractNum w:abstractNumId="39" w15:restartNumberingAfterBreak="0">
    <w:nsid w:val="6FE91CCC"/>
    <w:multiLevelType w:val="hybridMultilevel"/>
    <w:tmpl w:val="067C2E44"/>
    <w:lvl w:ilvl="0" w:tplc="B47C7D8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1367B26"/>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41" w15:restartNumberingAfterBreak="0">
    <w:nsid w:val="7FA3568F"/>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num w:numId="1" w16cid:durableId="933628609">
    <w:abstractNumId w:val="29"/>
  </w:num>
  <w:num w:numId="2" w16cid:durableId="1222447730">
    <w:abstractNumId w:val="19"/>
  </w:num>
  <w:num w:numId="3" w16cid:durableId="9383775">
    <w:abstractNumId w:val="11"/>
  </w:num>
  <w:num w:numId="4" w16cid:durableId="710345937">
    <w:abstractNumId w:val="20"/>
  </w:num>
  <w:num w:numId="5" w16cid:durableId="1582181103">
    <w:abstractNumId w:val="33"/>
  </w:num>
  <w:num w:numId="6" w16cid:durableId="1679887131">
    <w:abstractNumId w:val="18"/>
  </w:num>
  <w:num w:numId="7" w16cid:durableId="598293539">
    <w:abstractNumId w:val="40"/>
  </w:num>
  <w:num w:numId="8" w16cid:durableId="1759137009">
    <w:abstractNumId w:val="23"/>
  </w:num>
  <w:num w:numId="9" w16cid:durableId="1630357498">
    <w:abstractNumId w:val="10"/>
  </w:num>
  <w:num w:numId="10" w16cid:durableId="1064988709">
    <w:abstractNumId w:val="17"/>
  </w:num>
  <w:num w:numId="11" w16cid:durableId="1283073953">
    <w:abstractNumId w:val="4"/>
  </w:num>
  <w:num w:numId="12" w16cid:durableId="1319961007">
    <w:abstractNumId w:val="0"/>
  </w:num>
  <w:num w:numId="13" w16cid:durableId="856045727">
    <w:abstractNumId w:val="37"/>
  </w:num>
  <w:num w:numId="14" w16cid:durableId="1967656766">
    <w:abstractNumId w:val="38"/>
  </w:num>
  <w:num w:numId="15" w16cid:durableId="497696877">
    <w:abstractNumId w:val="7"/>
  </w:num>
  <w:num w:numId="16" w16cid:durableId="511997970">
    <w:abstractNumId w:val="36"/>
  </w:num>
  <w:num w:numId="17" w16cid:durableId="120267955">
    <w:abstractNumId w:val="15"/>
  </w:num>
  <w:num w:numId="18" w16cid:durableId="711349157">
    <w:abstractNumId w:val="8"/>
  </w:num>
  <w:num w:numId="19" w16cid:durableId="1447310480">
    <w:abstractNumId w:val="1"/>
  </w:num>
  <w:num w:numId="20" w16cid:durableId="1877884564">
    <w:abstractNumId w:val="3"/>
  </w:num>
  <w:num w:numId="21" w16cid:durableId="1583561261">
    <w:abstractNumId w:val="2"/>
  </w:num>
  <w:num w:numId="22" w16cid:durableId="1408500130">
    <w:abstractNumId w:val="27"/>
  </w:num>
  <w:num w:numId="23" w16cid:durableId="277100791">
    <w:abstractNumId w:val="25"/>
  </w:num>
  <w:num w:numId="24" w16cid:durableId="1355494560">
    <w:abstractNumId w:val="13"/>
  </w:num>
  <w:num w:numId="25" w16cid:durableId="116721151">
    <w:abstractNumId w:val="41"/>
  </w:num>
  <w:num w:numId="26" w16cid:durableId="810487800">
    <w:abstractNumId w:val="9"/>
  </w:num>
  <w:num w:numId="27" w16cid:durableId="689836254">
    <w:abstractNumId w:val="21"/>
  </w:num>
  <w:num w:numId="28" w16cid:durableId="1853256026">
    <w:abstractNumId w:val="35"/>
  </w:num>
  <w:num w:numId="29" w16cid:durableId="1421294251">
    <w:abstractNumId w:val="34"/>
  </w:num>
  <w:num w:numId="30" w16cid:durableId="225184012">
    <w:abstractNumId w:val="30"/>
  </w:num>
  <w:num w:numId="31" w16cid:durableId="519972148">
    <w:abstractNumId w:val="22"/>
  </w:num>
  <w:num w:numId="32" w16cid:durableId="22559075">
    <w:abstractNumId w:val="32"/>
  </w:num>
  <w:num w:numId="33" w16cid:durableId="1166551310">
    <w:abstractNumId w:val="24"/>
  </w:num>
  <w:num w:numId="34" w16cid:durableId="355540087">
    <w:abstractNumId w:val="14"/>
  </w:num>
  <w:num w:numId="35" w16cid:durableId="393745304">
    <w:abstractNumId w:val="31"/>
  </w:num>
  <w:num w:numId="36" w16cid:durableId="2042583827">
    <w:abstractNumId w:val="6"/>
  </w:num>
  <w:num w:numId="37" w16cid:durableId="771164397">
    <w:abstractNumId w:val="5"/>
  </w:num>
  <w:num w:numId="38" w16cid:durableId="720515847">
    <w:abstractNumId w:val="39"/>
  </w:num>
  <w:num w:numId="39" w16cid:durableId="483938713">
    <w:abstractNumId w:val="12"/>
  </w:num>
  <w:num w:numId="40" w16cid:durableId="477964970">
    <w:abstractNumId w:val="26"/>
  </w:num>
  <w:num w:numId="41" w16cid:durableId="1062290748">
    <w:abstractNumId w:val="28"/>
  </w:num>
  <w:num w:numId="42" w16cid:durableId="16346765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0Mja1MDEyMjYxMzZV0lEKTi0uzszPAykwM6wFAD2ekAktAAAA"/>
  </w:docVars>
  <w:rsids>
    <w:rsidRoot w:val="00CB0AF5"/>
    <w:rsid w:val="00000AE3"/>
    <w:rsid w:val="00001E79"/>
    <w:rsid w:val="00003F23"/>
    <w:rsid w:val="0000440C"/>
    <w:rsid w:val="00005EBE"/>
    <w:rsid w:val="00006687"/>
    <w:rsid w:val="00007CB1"/>
    <w:rsid w:val="00012239"/>
    <w:rsid w:val="00013C1D"/>
    <w:rsid w:val="000249CB"/>
    <w:rsid w:val="000261FA"/>
    <w:rsid w:val="0003002C"/>
    <w:rsid w:val="00032306"/>
    <w:rsid w:val="00037327"/>
    <w:rsid w:val="00037EE0"/>
    <w:rsid w:val="000430E5"/>
    <w:rsid w:val="0004625F"/>
    <w:rsid w:val="00050D5B"/>
    <w:rsid w:val="0005235D"/>
    <w:rsid w:val="00065309"/>
    <w:rsid w:val="00067074"/>
    <w:rsid w:val="0007334F"/>
    <w:rsid w:val="00076B08"/>
    <w:rsid w:val="00083469"/>
    <w:rsid w:val="000849AC"/>
    <w:rsid w:val="000855B6"/>
    <w:rsid w:val="0008631C"/>
    <w:rsid w:val="000A08FD"/>
    <w:rsid w:val="000A296C"/>
    <w:rsid w:val="000A498F"/>
    <w:rsid w:val="000A57FE"/>
    <w:rsid w:val="000A5D0B"/>
    <w:rsid w:val="000A728C"/>
    <w:rsid w:val="000B3B8D"/>
    <w:rsid w:val="000B6701"/>
    <w:rsid w:val="000C06CD"/>
    <w:rsid w:val="000C0A33"/>
    <w:rsid w:val="000C1764"/>
    <w:rsid w:val="000C699C"/>
    <w:rsid w:val="000D0687"/>
    <w:rsid w:val="000D225A"/>
    <w:rsid w:val="000D42DA"/>
    <w:rsid w:val="000D510F"/>
    <w:rsid w:val="000D527C"/>
    <w:rsid w:val="000E3F7E"/>
    <w:rsid w:val="000F07D9"/>
    <w:rsid w:val="000F1601"/>
    <w:rsid w:val="000F16C5"/>
    <w:rsid w:val="000F2C76"/>
    <w:rsid w:val="00100EAB"/>
    <w:rsid w:val="001014EC"/>
    <w:rsid w:val="001044EB"/>
    <w:rsid w:val="0010561C"/>
    <w:rsid w:val="00107556"/>
    <w:rsid w:val="00112029"/>
    <w:rsid w:val="001138DF"/>
    <w:rsid w:val="00115EB9"/>
    <w:rsid w:val="0011661B"/>
    <w:rsid w:val="001172D5"/>
    <w:rsid w:val="0012079B"/>
    <w:rsid w:val="00121EE7"/>
    <w:rsid w:val="00123DE1"/>
    <w:rsid w:val="00124A4B"/>
    <w:rsid w:val="00131212"/>
    <w:rsid w:val="00133D9F"/>
    <w:rsid w:val="0013581C"/>
    <w:rsid w:val="00135DE1"/>
    <w:rsid w:val="00136957"/>
    <w:rsid w:val="00141B87"/>
    <w:rsid w:val="001433B4"/>
    <w:rsid w:val="001459DD"/>
    <w:rsid w:val="00146B38"/>
    <w:rsid w:val="00146BF8"/>
    <w:rsid w:val="00147232"/>
    <w:rsid w:val="0014778B"/>
    <w:rsid w:val="00151889"/>
    <w:rsid w:val="00152630"/>
    <w:rsid w:val="001529A3"/>
    <w:rsid w:val="00154790"/>
    <w:rsid w:val="00156857"/>
    <w:rsid w:val="00164D6A"/>
    <w:rsid w:val="00167A91"/>
    <w:rsid w:val="00173FF6"/>
    <w:rsid w:val="00184052"/>
    <w:rsid w:val="0018431B"/>
    <w:rsid w:val="00184581"/>
    <w:rsid w:val="001851FC"/>
    <w:rsid w:val="00190180"/>
    <w:rsid w:val="00191EA5"/>
    <w:rsid w:val="001A0FF3"/>
    <w:rsid w:val="001A4386"/>
    <w:rsid w:val="001A6AC4"/>
    <w:rsid w:val="001A6B92"/>
    <w:rsid w:val="001B1FAD"/>
    <w:rsid w:val="001B277B"/>
    <w:rsid w:val="001B2F79"/>
    <w:rsid w:val="001B4971"/>
    <w:rsid w:val="001B58AC"/>
    <w:rsid w:val="001B5B5C"/>
    <w:rsid w:val="001B6999"/>
    <w:rsid w:val="001C0648"/>
    <w:rsid w:val="001C2518"/>
    <w:rsid w:val="001D4589"/>
    <w:rsid w:val="001D5E3C"/>
    <w:rsid w:val="001D6AC5"/>
    <w:rsid w:val="001D7B00"/>
    <w:rsid w:val="001E2130"/>
    <w:rsid w:val="001E2B3A"/>
    <w:rsid w:val="001E4D92"/>
    <w:rsid w:val="001E7DCD"/>
    <w:rsid w:val="001F088C"/>
    <w:rsid w:val="001F0B83"/>
    <w:rsid w:val="001F2604"/>
    <w:rsid w:val="001F2803"/>
    <w:rsid w:val="001F5F02"/>
    <w:rsid w:val="001F64AE"/>
    <w:rsid w:val="001F7BCC"/>
    <w:rsid w:val="00201009"/>
    <w:rsid w:val="00201138"/>
    <w:rsid w:val="0020140B"/>
    <w:rsid w:val="00201D19"/>
    <w:rsid w:val="00203E0F"/>
    <w:rsid w:val="00206061"/>
    <w:rsid w:val="0021226A"/>
    <w:rsid w:val="00214B00"/>
    <w:rsid w:val="00217772"/>
    <w:rsid w:val="00220BED"/>
    <w:rsid w:val="002215A0"/>
    <w:rsid w:val="0022254E"/>
    <w:rsid w:val="00222C31"/>
    <w:rsid w:val="002252E4"/>
    <w:rsid w:val="002332FB"/>
    <w:rsid w:val="002356C3"/>
    <w:rsid w:val="002420AF"/>
    <w:rsid w:val="002431FB"/>
    <w:rsid w:val="002437B6"/>
    <w:rsid w:val="00245D82"/>
    <w:rsid w:val="00246EF4"/>
    <w:rsid w:val="002507C0"/>
    <w:rsid w:val="00252F98"/>
    <w:rsid w:val="0025314C"/>
    <w:rsid w:val="0025635D"/>
    <w:rsid w:val="00256645"/>
    <w:rsid w:val="002576E9"/>
    <w:rsid w:val="00277E49"/>
    <w:rsid w:val="00282CF2"/>
    <w:rsid w:val="00282E49"/>
    <w:rsid w:val="00283FD1"/>
    <w:rsid w:val="0028693F"/>
    <w:rsid w:val="002875A0"/>
    <w:rsid w:val="002941A3"/>
    <w:rsid w:val="002A36F4"/>
    <w:rsid w:val="002B09AA"/>
    <w:rsid w:val="002B5D44"/>
    <w:rsid w:val="002B74AA"/>
    <w:rsid w:val="002B77A3"/>
    <w:rsid w:val="002B7934"/>
    <w:rsid w:val="002C083E"/>
    <w:rsid w:val="002C0943"/>
    <w:rsid w:val="002C0F85"/>
    <w:rsid w:val="002C59BB"/>
    <w:rsid w:val="002D1FC4"/>
    <w:rsid w:val="002D4451"/>
    <w:rsid w:val="002D4662"/>
    <w:rsid w:val="002E0CB8"/>
    <w:rsid w:val="002E223C"/>
    <w:rsid w:val="002E54A4"/>
    <w:rsid w:val="002E5C29"/>
    <w:rsid w:val="002E6489"/>
    <w:rsid w:val="002F2463"/>
    <w:rsid w:val="002F3CF2"/>
    <w:rsid w:val="002F3E1D"/>
    <w:rsid w:val="003006F9"/>
    <w:rsid w:val="00300CDE"/>
    <w:rsid w:val="00301414"/>
    <w:rsid w:val="00301C6E"/>
    <w:rsid w:val="00304FF1"/>
    <w:rsid w:val="0031198F"/>
    <w:rsid w:val="00316634"/>
    <w:rsid w:val="00316707"/>
    <w:rsid w:val="003167D3"/>
    <w:rsid w:val="003173A8"/>
    <w:rsid w:val="00320867"/>
    <w:rsid w:val="0032446B"/>
    <w:rsid w:val="00331AA4"/>
    <w:rsid w:val="00334A0D"/>
    <w:rsid w:val="00337618"/>
    <w:rsid w:val="00337995"/>
    <w:rsid w:val="00337C1B"/>
    <w:rsid w:val="00343AD1"/>
    <w:rsid w:val="00346D95"/>
    <w:rsid w:val="00347AA6"/>
    <w:rsid w:val="003507CC"/>
    <w:rsid w:val="003533F7"/>
    <w:rsid w:val="003544AC"/>
    <w:rsid w:val="0035560C"/>
    <w:rsid w:val="00355C11"/>
    <w:rsid w:val="0035772A"/>
    <w:rsid w:val="00357D5F"/>
    <w:rsid w:val="00361F72"/>
    <w:rsid w:val="003650F0"/>
    <w:rsid w:val="00372CF2"/>
    <w:rsid w:val="003736C4"/>
    <w:rsid w:val="00373930"/>
    <w:rsid w:val="00373C90"/>
    <w:rsid w:val="00374D11"/>
    <w:rsid w:val="00376645"/>
    <w:rsid w:val="003807C5"/>
    <w:rsid w:val="00382B76"/>
    <w:rsid w:val="003836DD"/>
    <w:rsid w:val="00385EC7"/>
    <w:rsid w:val="003868EC"/>
    <w:rsid w:val="003872CF"/>
    <w:rsid w:val="0039049C"/>
    <w:rsid w:val="00393D4E"/>
    <w:rsid w:val="00394933"/>
    <w:rsid w:val="00396406"/>
    <w:rsid w:val="0039685C"/>
    <w:rsid w:val="003A0F72"/>
    <w:rsid w:val="003A18AA"/>
    <w:rsid w:val="003A1CD1"/>
    <w:rsid w:val="003A2979"/>
    <w:rsid w:val="003A58C1"/>
    <w:rsid w:val="003A6293"/>
    <w:rsid w:val="003A79A3"/>
    <w:rsid w:val="003A7AD9"/>
    <w:rsid w:val="003B0A20"/>
    <w:rsid w:val="003B0B21"/>
    <w:rsid w:val="003B0F42"/>
    <w:rsid w:val="003B19AE"/>
    <w:rsid w:val="003B3F0D"/>
    <w:rsid w:val="003B3F69"/>
    <w:rsid w:val="003B4C13"/>
    <w:rsid w:val="003B562E"/>
    <w:rsid w:val="003B7B1E"/>
    <w:rsid w:val="003C0212"/>
    <w:rsid w:val="003C08C7"/>
    <w:rsid w:val="003C7A4F"/>
    <w:rsid w:val="003D173C"/>
    <w:rsid w:val="003D38A6"/>
    <w:rsid w:val="003D4B97"/>
    <w:rsid w:val="003D7B18"/>
    <w:rsid w:val="003E0B33"/>
    <w:rsid w:val="003E224D"/>
    <w:rsid w:val="003E2FF2"/>
    <w:rsid w:val="003E40E6"/>
    <w:rsid w:val="003E4D4A"/>
    <w:rsid w:val="003F1286"/>
    <w:rsid w:val="003F1BC0"/>
    <w:rsid w:val="003F2BFF"/>
    <w:rsid w:val="00400BA3"/>
    <w:rsid w:val="00403B67"/>
    <w:rsid w:val="00415AF9"/>
    <w:rsid w:val="00415EDB"/>
    <w:rsid w:val="004171C0"/>
    <w:rsid w:val="0042178D"/>
    <w:rsid w:val="00422123"/>
    <w:rsid w:val="00422AD3"/>
    <w:rsid w:val="00425499"/>
    <w:rsid w:val="0043225C"/>
    <w:rsid w:val="0043410D"/>
    <w:rsid w:val="00436596"/>
    <w:rsid w:val="0043765D"/>
    <w:rsid w:val="0044335A"/>
    <w:rsid w:val="00450DF6"/>
    <w:rsid w:val="00450E13"/>
    <w:rsid w:val="00454C3C"/>
    <w:rsid w:val="0045539D"/>
    <w:rsid w:val="0045690E"/>
    <w:rsid w:val="00456E08"/>
    <w:rsid w:val="004609C3"/>
    <w:rsid w:val="004611BE"/>
    <w:rsid w:val="004633F7"/>
    <w:rsid w:val="00464C59"/>
    <w:rsid w:val="0047501B"/>
    <w:rsid w:val="00475210"/>
    <w:rsid w:val="004841B0"/>
    <w:rsid w:val="00485829"/>
    <w:rsid w:val="00485979"/>
    <w:rsid w:val="00486F25"/>
    <w:rsid w:val="004926D8"/>
    <w:rsid w:val="00493C6B"/>
    <w:rsid w:val="004976E9"/>
    <w:rsid w:val="004A16E7"/>
    <w:rsid w:val="004A181C"/>
    <w:rsid w:val="004A1A5C"/>
    <w:rsid w:val="004A210C"/>
    <w:rsid w:val="004A2B08"/>
    <w:rsid w:val="004A4E3C"/>
    <w:rsid w:val="004A70BA"/>
    <w:rsid w:val="004A713E"/>
    <w:rsid w:val="004B0106"/>
    <w:rsid w:val="004B2325"/>
    <w:rsid w:val="004B2673"/>
    <w:rsid w:val="004B2F41"/>
    <w:rsid w:val="004B492D"/>
    <w:rsid w:val="004B7031"/>
    <w:rsid w:val="004C1558"/>
    <w:rsid w:val="004C59A8"/>
    <w:rsid w:val="004D5F55"/>
    <w:rsid w:val="004D6F98"/>
    <w:rsid w:val="004E4B4D"/>
    <w:rsid w:val="004E6856"/>
    <w:rsid w:val="004E742A"/>
    <w:rsid w:val="004E7BFA"/>
    <w:rsid w:val="004F2F76"/>
    <w:rsid w:val="004F3C0D"/>
    <w:rsid w:val="004F3D3A"/>
    <w:rsid w:val="004F46C6"/>
    <w:rsid w:val="004F4933"/>
    <w:rsid w:val="004F4E8A"/>
    <w:rsid w:val="004F712E"/>
    <w:rsid w:val="004F746B"/>
    <w:rsid w:val="004F7A1F"/>
    <w:rsid w:val="005056BD"/>
    <w:rsid w:val="00507AED"/>
    <w:rsid w:val="005139ED"/>
    <w:rsid w:val="005221D6"/>
    <w:rsid w:val="00523718"/>
    <w:rsid w:val="00523923"/>
    <w:rsid w:val="00525517"/>
    <w:rsid w:val="00525DD2"/>
    <w:rsid w:val="00526C08"/>
    <w:rsid w:val="005305EB"/>
    <w:rsid w:val="00541F14"/>
    <w:rsid w:val="00543D22"/>
    <w:rsid w:val="00544949"/>
    <w:rsid w:val="005514F9"/>
    <w:rsid w:val="00551538"/>
    <w:rsid w:val="0055574B"/>
    <w:rsid w:val="0055718B"/>
    <w:rsid w:val="00557963"/>
    <w:rsid w:val="00557B61"/>
    <w:rsid w:val="0056306D"/>
    <w:rsid w:val="005639BE"/>
    <w:rsid w:val="00564061"/>
    <w:rsid w:val="00564CF8"/>
    <w:rsid w:val="00565791"/>
    <w:rsid w:val="005743C6"/>
    <w:rsid w:val="00577797"/>
    <w:rsid w:val="0058252E"/>
    <w:rsid w:val="00582909"/>
    <w:rsid w:val="00582A73"/>
    <w:rsid w:val="00583F6B"/>
    <w:rsid w:val="005958C5"/>
    <w:rsid w:val="00596B95"/>
    <w:rsid w:val="005A228C"/>
    <w:rsid w:val="005A6C6A"/>
    <w:rsid w:val="005A7219"/>
    <w:rsid w:val="005B0D16"/>
    <w:rsid w:val="005B3AE7"/>
    <w:rsid w:val="005B3EBC"/>
    <w:rsid w:val="005B645D"/>
    <w:rsid w:val="005B6CAE"/>
    <w:rsid w:val="005C04EC"/>
    <w:rsid w:val="005C128A"/>
    <w:rsid w:val="005C2D98"/>
    <w:rsid w:val="005C50A1"/>
    <w:rsid w:val="005C6A43"/>
    <w:rsid w:val="005C6D57"/>
    <w:rsid w:val="005C6E37"/>
    <w:rsid w:val="005D03E5"/>
    <w:rsid w:val="005D49E5"/>
    <w:rsid w:val="005D4BBC"/>
    <w:rsid w:val="005E2831"/>
    <w:rsid w:val="005E6364"/>
    <w:rsid w:val="005E723E"/>
    <w:rsid w:val="005F012C"/>
    <w:rsid w:val="005F27B7"/>
    <w:rsid w:val="005F3200"/>
    <w:rsid w:val="005F3C13"/>
    <w:rsid w:val="005F7884"/>
    <w:rsid w:val="006017E8"/>
    <w:rsid w:val="00606221"/>
    <w:rsid w:val="00610160"/>
    <w:rsid w:val="006104F6"/>
    <w:rsid w:val="00612C4A"/>
    <w:rsid w:val="0061356D"/>
    <w:rsid w:val="00624BDB"/>
    <w:rsid w:val="006254C7"/>
    <w:rsid w:val="0062578E"/>
    <w:rsid w:val="006259C9"/>
    <w:rsid w:val="006275BB"/>
    <w:rsid w:val="006275F1"/>
    <w:rsid w:val="00627A99"/>
    <w:rsid w:val="006319F4"/>
    <w:rsid w:val="00631E3F"/>
    <w:rsid w:val="00633A74"/>
    <w:rsid w:val="00634DF2"/>
    <w:rsid w:val="00640C60"/>
    <w:rsid w:val="00642310"/>
    <w:rsid w:val="00642E8C"/>
    <w:rsid w:val="00644369"/>
    <w:rsid w:val="0064443E"/>
    <w:rsid w:val="006474A2"/>
    <w:rsid w:val="00653ACC"/>
    <w:rsid w:val="00655EA7"/>
    <w:rsid w:val="0066067A"/>
    <w:rsid w:val="00660D8D"/>
    <w:rsid w:val="00663A24"/>
    <w:rsid w:val="0066644E"/>
    <w:rsid w:val="00674255"/>
    <w:rsid w:val="00675EDA"/>
    <w:rsid w:val="00676878"/>
    <w:rsid w:val="00676E10"/>
    <w:rsid w:val="00677A9A"/>
    <w:rsid w:val="0068408F"/>
    <w:rsid w:val="00684698"/>
    <w:rsid w:val="006846BB"/>
    <w:rsid w:val="00687271"/>
    <w:rsid w:val="00687B23"/>
    <w:rsid w:val="00691B33"/>
    <w:rsid w:val="0069202B"/>
    <w:rsid w:val="00695789"/>
    <w:rsid w:val="00696480"/>
    <w:rsid w:val="0069785C"/>
    <w:rsid w:val="006A290D"/>
    <w:rsid w:val="006A536D"/>
    <w:rsid w:val="006A5A28"/>
    <w:rsid w:val="006A6670"/>
    <w:rsid w:val="006A6FB3"/>
    <w:rsid w:val="006B14D8"/>
    <w:rsid w:val="006B40DC"/>
    <w:rsid w:val="006B4742"/>
    <w:rsid w:val="006B567A"/>
    <w:rsid w:val="006C2556"/>
    <w:rsid w:val="006C2BCA"/>
    <w:rsid w:val="006C48D8"/>
    <w:rsid w:val="006D0DF3"/>
    <w:rsid w:val="006D204C"/>
    <w:rsid w:val="006D213C"/>
    <w:rsid w:val="006D225B"/>
    <w:rsid w:val="006D5849"/>
    <w:rsid w:val="006E21A1"/>
    <w:rsid w:val="006E36DB"/>
    <w:rsid w:val="006E3E5E"/>
    <w:rsid w:val="006E3EAB"/>
    <w:rsid w:val="006E49F7"/>
    <w:rsid w:val="006E7630"/>
    <w:rsid w:val="006F3001"/>
    <w:rsid w:val="006F48C9"/>
    <w:rsid w:val="006F4F60"/>
    <w:rsid w:val="006F7FCD"/>
    <w:rsid w:val="00707286"/>
    <w:rsid w:val="0071061E"/>
    <w:rsid w:val="007144EB"/>
    <w:rsid w:val="00715CBF"/>
    <w:rsid w:val="00720EB7"/>
    <w:rsid w:val="007254A2"/>
    <w:rsid w:val="00731E0C"/>
    <w:rsid w:val="0073202A"/>
    <w:rsid w:val="007346DD"/>
    <w:rsid w:val="0073558D"/>
    <w:rsid w:val="00740398"/>
    <w:rsid w:val="00740BDC"/>
    <w:rsid w:val="00743743"/>
    <w:rsid w:val="00744F06"/>
    <w:rsid w:val="00745E4C"/>
    <w:rsid w:val="00746363"/>
    <w:rsid w:val="007465A7"/>
    <w:rsid w:val="00746A99"/>
    <w:rsid w:val="00747409"/>
    <w:rsid w:val="00750844"/>
    <w:rsid w:val="0075183C"/>
    <w:rsid w:val="007556B1"/>
    <w:rsid w:val="007608BB"/>
    <w:rsid w:val="00763A62"/>
    <w:rsid w:val="00767171"/>
    <w:rsid w:val="0076758F"/>
    <w:rsid w:val="00767B0F"/>
    <w:rsid w:val="0077493E"/>
    <w:rsid w:val="00777100"/>
    <w:rsid w:val="00777C4A"/>
    <w:rsid w:val="00780847"/>
    <w:rsid w:val="0078432B"/>
    <w:rsid w:val="0078707B"/>
    <w:rsid w:val="00791356"/>
    <w:rsid w:val="00791864"/>
    <w:rsid w:val="00795F23"/>
    <w:rsid w:val="007A0141"/>
    <w:rsid w:val="007A3654"/>
    <w:rsid w:val="007A417B"/>
    <w:rsid w:val="007A51F6"/>
    <w:rsid w:val="007B1300"/>
    <w:rsid w:val="007B2DB4"/>
    <w:rsid w:val="007B3D94"/>
    <w:rsid w:val="007B557A"/>
    <w:rsid w:val="007B65B7"/>
    <w:rsid w:val="007C1C58"/>
    <w:rsid w:val="007C3072"/>
    <w:rsid w:val="007C5AF1"/>
    <w:rsid w:val="007D1C98"/>
    <w:rsid w:val="007D2CF1"/>
    <w:rsid w:val="007D3BEE"/>
    <w:rsid w:val="007D52F0"/>
    <w:rsid w:val="007D541F"/>
    <w:rsid w:val="007D7E39"/>
    <w:rsid w:val="007E06D2"/>
    <w:rsid w:val="007E1745"/>
    <w:rsid w:val="007E25DB"/>
    <w:rsid w:val="007E2691"/>
    <w:rsid w:val="007E450D"/>
    <w:rsid w:val="007E5F24"/>
    <w:rsid w:val="007E6298"/>
    <w:rsid w:val="007E69D4"/>
    <w:rsid w:val="007E6CE1"/>
    <w:rsid w:val="007F1646"/>
    <w:rsid w:val="007F1AE0"/>
    <w:rsid w:val="007F3EB5"/>
    <w:rsid w:val="008027DB"/>
    <w:rsid w:val="008064B5"/>
    <w:rsid w:val="00812CDD"/>
    <w:rsid w:val="0081332A"/>
    <w:rsid w:val="00815E86"/>
    <w:rsid w:val="00816096"/>
    <w:rsid w:val="00817932"/>
    <w:rsid w:val="0082475F"/>
    <w:rsid w:val="00827D2C"/>
    <w:rsid w:val="00832978"/>
    <w:rsid w:val="008333F1"/>
    <w:rsid w:val="00836A1F"/>
    <w:rsid w:val="0083739E"/>
    <w:rsid w:val="00843CBC"/>
    <w:rsid w:val="00845BAD"/>
    <w:rsid w:val="00846E9B"/>
    <w:rsid w:val="00854BD5"/>
    <w:rsid w:val="0085716C"/>
    <w:rsid w:val="008577C3"/>
    <w:rsid w:val="00857FB1"/>
    <w:rsid w:val="00862514"/>
    <w:rsid w:val="008651B1"/>
    <w:rsid w:val="008667F0"/>
    <w:rsid w:val="008676CE"/>
    <w:rsid w:val="00871499"/>
    <w:rsid w:val="00871837"/>
    <w:rsid w:val="00873893"/>
    <w:rsid w:val="008746C2"/>
    <w:rsid w:val="00875215"/>
    <w:rsid w:val="00875FE4"/>
    <w:rsid w:val="00877AE9"/>
    <w:rsid w:val="00883024"/>
    <w:rsid w:val="00883AF2"/>
    <w:rsid w:val="00884825"/>
    <w:rsid w:val="00884D0D"/>
    <w:rsid w:val="00885932"/>
    <w:rsid w:val="00891526"/>
    <w:rsid w:val="0089632C"/>
    <w:rsid w:val="008A0705"/>
    <w:rsid w:val="008A0FD7"/>
    <w:rsid w:val="008A219F"/>
    <w:rsid w:val="008B1D4B"/>
    <w:rsid w:val="008B3787"/>
    <w:rsid w:val="008B72E1"/>
    <w:rsid w:val="008B7DA8"/>
    <w:rsid w:val="008C0E5F"/>
    <w:rsid w:val="008C36F7"/>
    <w:rsid w:val="008C4B4D"/>
    <w:rsid w:val="008D1EEC"/>
    <w:rsid w:val="008D2996"/>
    <w:rsid w:val="008D6837"/>
    <w:rsid w:val="008E039F"/>
    <w:rsid w:val="008E154B"/>
    <w:rsid w:val="008E66BF"/>
    <w:rsid w:val="008E6BBA"/>
    <w:rsid w:val="008F1427"/>
    <w:rsid w:val="008F2D0B"/>
    <w:rsid w:val="008F5BCD"/>
    <w:rsid w:val="008F6DC5"/>
    <w:rsid w:val="008F7EF3"/>
    <w:rsid w:val="00902029"/>
    <w:rsid w:val="0090521D"/>
    <w:rsid w:val="00907419"/>
    <w:rsid w:val="009107B9"/>
    <w:rsid w:val="00920008"/>
    <w:rsid w:val="00920375"/>
    <w:rsid w:val="00922CEF"/>
    <w:rsid w:val="00925325"/>
    <w:rsid w:val="00926FC3"/>
    <w:rsid w:val="009323A6"/>
    <w:rsid w:val="00932583"/>
    <w:rsid w:val="00932758"/>
    <w:rsid w:val="00932982"/>
    <w:rsid w:val="009334B2"/>
    <w:rsid w:val="00934A5A"/>
    <w:rsid w:val="00934F1D"/>
    <w:rsid w:val="00935580"/>
    <w:rsid w:val="0093787F"/>
    <w:rsid w:val="009426C7"/>
    <w:rsid w:val="009436DD"/>
    <w:rsid w:val="00944535"/>
    <w:rsid w:val="00944D1B"/>
    <w:rsid w:val="009457B3"/>
    <w:rsid w:val="00946677"/>
    <w:rsid w:val="009500D3"/>
    <w:rsid w:val="009619EF"/>
    <w:rsid w:val="00961A7E"/>
    <w:rsid w:val="00962BAA"/>
    <w:rsid w:val="00964451"/>
    <w:rsid w:val="009715E7"/>
    <w:rsid w:val="00972CF6"/>
    <w:rsid w:val="009730ED"/>
    <w:rsid w:val="0097419B"/>
    <w:rsid w:val="00982799"/>
    <w:rsid w:val="00983160"/>
    <w:rsid w:val="00984699"/>
    <w:rsid w:val="00987E58"/>
    <w:rsid w:val="009907BD"/>
    <w:rsid w:val="009915A3"/>
    <w:rsid w:val="0099444A"/>
    <w:rsid w:val="009959D6"/>
    <w:rsid w:val="00997713"/>
    <w:rsid w:val="009A0D16"/>
    <w:rsid w:val="009A2879"/>
    <w:rsid w:val="009A628D"/>
    <w:rsid w:val="009A6467"/>
    <w:rsid w:val="009B0F65"/>
    <w:rsid w:val="009B20C1"/>
    <w:rsid w:val="009B258B"/>
    <w:rsid w:val="009B337F"/>
    <w:rsid w:val="009B3C2B"/>
    <w:rsid w:val="009B3D83"/>
    <w:rsid w:val="009B436C"/>
    <w:rsid w:val="009B67A8"/>
    <w:rsid w:val="009B7AE4"/>
    <w:rsid w:val="009C1922"/>
    <w:rsid w:val="009C52B4"/>
    <w:rsid w:val="009C5FF5"/>
    <w:rsid w:val="009D2684"/>
    <w:rsid w:val="009D3C6E"/>
    <w:rsid w:val="009D47E9"/>
    <w:rsid w:val="009D6CA1"/>
    <w:rsid w:val="009E1289"/>
    <w:rsid w:val="009E521B"/>
    <w:rsid w:val="009E522F"/>
    <w:rsid w:val="009E5B54"/>
    <w:rsid w:val="009E779F"/>
    <w:rsid w:val="009F0980"/>
    <w:rsid w:val="009F385F"/>
    <w:rsid w:val="009F3C08"/>
    <w:rsid w:val="009F3F7E"/>
    <w:rsid w:val="009F5DE5"/>
    <w:rsid w:val="00A008AF"/>
    <w:rsid w:val="00A014D1"/>
    <w:rsid w:val="00A04372"/>
    <w:rsid w:val="00A05AA7"/>
    <w:rsid w:val="00A05CF7"/>
    <w:rsid w:val="00A061FF"/>
    <w:rsid w:val="00A06318"/>
    <w:rsid w:val="00A12080"/>
    <w:rsid w:val="00A12710"/>
    <w:rsid w:val="00A141B3"/>
    <w:rsid w:val="00A154AE"/>
    <w:rsid w:val="00A17646"/>
    <w:rsid w:val="00A17981"/>
    <w:rsid w:val="00A205B8"/>
    <w:rsid w:val="00A243AB"/>
    <w:rsid w:val="00A25014"/>
    <w:rsid w:val="00A2763D"/>
    <w:rsid w:val="00A31222"/>
    <w:rsid w:val="00A43A74"/>
    <w:rsid w:val="00A44180"/>
    <w:rsid w:val="00A4435B"/>
    <w:rsid w:val="00A44C4D"/>
    <w:rsid w:val="00A457ED"/>
    <w:rsid w:val="00A478AC"/>
    <w:rsid w:val="00A51A3A"/>
    <w:rsid w:val="00A5533F"/>
    <w:rsid w:val="00A567A7"/>
    <w:rsid w:val="00A60304"/>
    <w:rsid w:val="00A62B13"/>
    <w:rsid w:val="00A63475"/>
    <w:rsid w:val="00A70916"/>
    <w:rsid w:val="00A70A41"/>
    <w:rsid w:val="00A763B0"/>
    <w:rsid w:val="00A77563"/>
    <w:rsid w:val="00A800F6"/>
    <w:rsid w:val="00A80DFD"/>
    <w:rsid w:val="00A8136F"/>
    <w:rsid w:val="00A834C8"/>
    <w:rsid w:val="00A850E2"/>
    <w:rsid w:val="00A950BA"/>
    <w:rsid w:val="00AA05C1"/>
    <w:rsid w:val="00AA0753"/>
    <w:rsid w:val="00AA2AA0"/>
    <w:rsid w:val="00AA2BE7"/>
    <w:rsid w:val="00AA65EA"/>
    <w:rsid w:val="00AB10F1"/>
    <w:rsid w:val="00AB1E85"/>
    <w:rsid w:val="00AB22A2"/>
    <w:rsid w:val="00AB3735"/>
    <w:rsid w:val="00AB46D9"/>
    <w:rsid w:val="00AB473C"/>
    <w:rsid w:val="00AC38EC"/>
    <w:rsid w:val="00AC3CA3"/>
    <w:rsid w:val="00AC4323"/>
    <w:rsid w:val="00AD009B"/>
    <w:rsid w:val="00AD1BCB"/>
    <w:rsid w:val="00AD2A15"/>
    <w:rsid w:val="00AD64DF"/>
    <w:rsid w:val="00AE04DA"/>
    <w:rsid w:val="00AE1DE1"/>
    <w:rsid w:val="00AE6CE5"/>
    <w:rsid w:val="00AE7226"/>
    <w:rsid w:val="00AE78F8"/>
    <w:rsid w:val="00AF072F"/>
    <w:rsid w:val="00AF167F"/>
    <w:rsid w:val="00AF279F"/>
    <w:rsid w:val="00AF56A8"/>
    <w:rsid w:val="00AF5F80"/>
    <w:rsid w:val="00AF6252"/>
    <w:rsid w:val="00AF7A80"/>
    <w:rsid w:val="00B04CE8"/>
    <w:rsid w:val="00B10D4F"/>
    <w:rsid w:val="00B118AA"/>
    <w:rsid w:val="00B1292A"/>
    <w:rsid w:val="00B129BB"/>
    <w:rsid w:val="00B16544"/>
    <w:rsid w:val="00B17196"/>
    <w:rsid w:val="00B21125"/>
    <w:rsid w:val="00B22DC7"/>
    <w:rsid w:val="00B27C77"/>
    <w:rsid w:val="00B30642"/>
    <w:rsid w:val="00B312E2"/>
    <w:rsid w:val="00B32827"/>
    <w:rsid w:val="00B35449"/>
    <w:rsid w:val="00B365FA"/>
    <w:rsid w:val="00B3782C"/>
    <w:rsid w:val="00B40008"/>
    <w:rsid w:val="00B40CB1"/>
    <w:rsid w:val="00B4101F"/>
    <w:rsid w:val="00B43CAE"/>
    <w:rsid w:val="00B45941"/>
    <w:rsid w:val="00B45EDE"/>
    <w:rsid w:val="00B52175"/>
    <w:rsid w:val="00B52665"/>
    <w:rsid w:val="00B550B0"/>
    <w:rsid w:val="00B57D36"/>
    <w:rsid w:val="00B66F8B"/>
    <w:rsid w:val="00B7260B"/>
    <w:rsid w:val="00B75153"/>
    <w:rsid w:val="00B75D5A"/>
    <w:rsid w:val="00B772BA"/>
    <w:rsid w:val="00B83E4B"/>
    <w:rsid w:val="00B846D1"/>
    <w:rsid w:val="00B850DA"/>
    <w:rsid w:val="00B85AD7"/>
    <w:rsid w:val="00B87F61"/>
    <w:rsid w:val="00B90B2D"/>
    <w:rsid w:val="00B93280"/>
    <w:rsid w:val="00B94BAA"/>
    <w:rsid w:val="00B96954"/>
    <w:rsid w:val="00BA4F41"/>
    <w:rsid w:val="00BA6C25"/>
    <w:rsid w:val="00BA7E1A"/>
    <w:rsid w:val="00BB0FD1"/>
    <w:rsid w:val="00BB2EA1"/>
    <w:rsid w:val="00BC0FB9"/>
    <w:rsid w:val="00BC4C18"/>
    <w:rsid w:val="00BC6506"/>
    <w:rsid w:val="00BC6EB1"/>
    <w:rsid w:val="00BC7BBF"/>
    <w:rsid w:val="00BD1A46"/>
    <w:rsid w:val="00BD1C29"/>
    <w:rsid w:val="00BD2E65"/>
    <w:rsid w:val="00BD38AF"/>
    <w:rsid w:val="00BD44B9"/>
    <w:rsid w:val="00BD7439"/>
    <w:rsid w:val="00BE086B"/>
    <w:rsid w:val="00BE5DF9"/>
    <w:rsid w:val="00BE6E28"/>
    <w:rsid w:val="00BF2571"/>
    <w:rsid w:val="00BF7315"/>
    <w:rsid w:val="00BF7ED0"/>
    <w:rsid w:val="00BF7F4D"/>
    <w:rsid w:val="00C01751"/>
    <w:rsid w:val="00C02943"/>
    <w:rsid w:val="00C07069"/>
    <w:rsid w:val="00C07078"/>
    <w:rsid w:val="00C23E66"/>
    <w:rsid w:val="00C23F6A"/>
    <w:rsid w:val="00C24D2F"/>
    <w:rsid w:val="00C259BD"/>
    <w:rsid w:val="00C33095"/>
    <w:rsid w:val="00C35EE4"/>
    <w:rsid w:val="00C364A3"/>
    <w:rsid w:val="00C36A86"/>
    <w:rsid w:val="00C36E34"/>
    <w:rsid w:val="00C431C3"/>
    <w:rsid w:val="00C4482E"/>
    <w:rsid w:val="00C44EDA"/>
    <w:rsid w:val="00C45A53"/>
    <w:rsid w:val="00C466EE"/>
    <w:rsid w:val="00C46AE0"/>
    <w:rsid w:val="00C51CE9"/>
    <w:rsid w:val="00C52658"/>
    <w:rsid w:val="00C533C6"/>
    <w:rsid w:val="00C557D9"/>
    <w:rsid w:val="00C56DD0"/>
    <w:rsid w:val="00C572AC"/>
    <w:rsid w:val="00C636D3"/>
    <w:rsid w:val="00C652BC"/>
    <w:rsid w:val="00C67815"/>
    <w:rsid w:val="00C70261"/>
    <w:rsid w:val="00C730E6"/>
    <w:rsid w:val="00C76FBA"/>
    <w:rsid w:val="00C80BA7"/>
    <w:rsid w:val="00C825A9"/>
    <w:rsid w:val="00C90A4C"/>
    <w:rsid w:val="00C94984"/>
    <w:rsid w:val="00CA0533"/>
    <w:rsid w:val="00CA2478"/>
    <w:rsid w:val="00CA6563"/>
    <w:rsid w:val="00CB0AF5"/>
    <w:rsid w:val="00CB3415"/>
    <w:rsid w:val="00CC2E3D"/>
    <w:rsid w:val="00CC3925"/>
    <w:rsid w:val="00CC3CCB"/>
    <w:rsid w:val="00CC41B5"/>
    <w:rsid w:val="00CC621A"/>
    <w:rsid w:val="00CD0F71"/>
    <w:rsid w:val="00CD299E"/>
    <w:rsid w:val="00CE02F3"/>
    <w:rsid w:val="00CE1932"/>
    <w:rsid w:val="00CE2276"/>
    <w:rsid w:val="00CE2A98"/>
    <w:rsid w:val="00CE3938"/>
    <w:rsid w:val="00CE632A"/>
    <w:rsid w:val="00CE6724"/>
    <w:rsid w:val="00CE76FE"/>
    <w:rsid w:val="00CF2169"/>
    <w:rsid w:val="00CF3F5D"/>
    <w:rsid w:val="00CF70F1"/>
    <w:rsid w:val="00D019A7"/>
    <w:rsid w:val="00D07601"/>
    <w:rsid w:val="00D100C6"/>
    <w:rsid w:val="00D116C8"/>
    <w:rsid w:val="00D12443"/>
    <w:rsid w:val="00D13F42"/>
    <w:rsid w:val="00D14A42"/>
    <w:rsid w:val="00D15E31"/>
    <w:rsid w:val="00D2014A"/>
    <w:rsid w:val="00D20C9C"/>
    <w:rsid w:val="00D20DB2"/>
    <w:rsid w:val="00D2125A"/>
    <w:rsid w:val="00D22021"/>
    <w:rsid w:val="00D222FD"/>
    <w:rsid w:val="00D30C29"/>
    <w:rsid w:val="00D30DF7"/>
    <w:rsid w:val="00D33168"/>
    <w:rsid w:val="00D33419"/>
    <w:rsid w:val="00D454A6"/>
    <w:rsid w:val="00D46CF6"/>
    <w:rsid w:val="00D47399"/>
    <w:rsid w:val="00D47743"/>
    <w:rsid w:val="00D47DDE"/>
    <w:rsid w:val="00D508F7"/>
    <w:rsid w:val="00D52CD1"/>
    <w:rsid w:val="00D536F8"/>
    <w:rsid w:val="00D54571"/>
    <w:rsid w:val="00D57AAF"/>
    <w:rsid w:val="00D75BAD"/>
    <w:rsid w:val="00D7664A"/>
    <w:rsid w:val="00D80D2A"/>
    <w:rsid w:val="00D81FF8"/>
    <w:rsid w:val="00D828F7"/>
    <w:rsid w:val="00D82CA5"/>
    <w:rsid w:val="00D846C7"/>
    <w:rsid w:val="00D864BE"/>
    <w:rsid w:val="00D92DE7"/>
    <w:rsid w:val="00D92FF0"/>
    <w:rsid w:val="00D9395F"/>
    <w:rsid w:val="00D9647F"/>
    <w:rsid w:val="00DA02D1"/>
    <w:rsid w:val="00DA435C"/>
    <w:rsid w:val="00DB29FD"/>
    <w:rsid w:val="00DB35CE"/>
    <w:rsid w:val="00DB3F23"/>
    <w:rsid w:val="00DB55AD"/>
    <w:rsid w:val="00DC0279"/>
    <w:rsid w:val="00DC50A1"/>
    <w:rsid w:val="00DC7350"/>
    <w:rsid w:val="00DD1387"/>
    <w:rsid w:val="00DD44DC"/>
    <w:rsid w:val="00DE0DB8"/>
    <w:rsid w:val="00DE27E7"/>
    <w:rsid w:val="00DE46E7"/>
    <w:rsid w:val="00DE6F31"/>
    <w:rsid w:val="00DF0F9B"/>
    <w:rsid w:val="00DF2018"/>
    <w:rsid w:val="00DF269A"/>
    <w:rsid w:val="00DF34CB"/>
    <w:rsid w:val="00DF48A9"/>
    <w:rsid w:val="00DF4A3F"/>
    <w:rsid w:val="00DF4B6D"/>
    <w:rsid w:val="00DF7363"/>
    <w:rsid w:val="00DF7F11"/>
    <w:rsid w:val="00E01D6E"/>
    <w:rsid w:val="00E04FD9"/>
    <w:rsid w:val="00E07796"/>
    <w:rsid w:val="00E078DF"/>
    <w:rsid w:val="00E106D6"/>
    <w:rsid w:val="00E128B1"/>
    <w:rsid w:val="00E24525"/>
    <w:rsid w:val="00E27A1C"/>
    <w:rsid w:val="00E30DDD"/>
    <w:rsid w:val="00E454CC"/>
    <w:rsid w:val="00E45C0F"/>
    <w:rsid w:val="00E4675C"/>
    <w:rsid w:val="00E51839"/>
    <w:rsid w:val="00E53B2D"/>
    <w:rsid w:val="00E56EBB"/>
    <w:rsid w:val="00E63888"/>
    <w:rsid w:val="00E66A61"/>
    <w:rsid w:val="00E66C7A"/>
    <w:rsid w:val="00E71585"/>
    <w:rsid w:val="00E770FC"/>
    <w:rsid w:val="00E80DAA"/>
    <w:rsid w:val="00E8355D"/>
    <w:rsid w:val="00E83F4F"/>
    <w:rsid w:val="00E85063"/>
    <w:rsid w:val="00E86C69"/>
    <w:rsid w:val="00E9006C"/>
    <w:rsid w:val="00E907B3"/>
    <w:rsid w:val="00E91127"/>
    <w:rsid w:val="00E91D70"/>
    <w:rsid w:val="00E9245D"/>
    <w:rsid w:val="00E94DC5"/>
    <w:rsid w:val="00E95603"/>
    <w:rsid w:val="00E96E29"/>
    <w:rsid w:val="00E970B7"/>
    <w:rsid w:val="00EA390C"/>
    <w:rsid w:val="00EA556D"/>
    <w:rsid w:val="00EB2E4E"/>
    <w:rsid w:val="00EB4A76"/>
    <w:rsid w:val="00EC2EF2"/>
    <w:rsid w:val="00EC3723"/>
    <w:rsid w:val="00EC5848"/>
    <w:rsid w:val="00ED0CF5"/>
    <w:rsid w:val="00ED15BC"/>
    <w:rsid w:val="00ED7823"/>
    <w:rsid w:val="00EE1D9F"/>
    <w:rsid w:val="00EE3A96"/>
    <w:rsid w:val="00EF14F6"/>
    <w:rsid w:val="00EF234B"/>
    <w:rsid w:val="00EF6DC0"/>
    <w:rsid w:val="00F006FB"/>
    <w:rsid w:val="00F02788"/>
    <w:rsid w:val="00F12F85"/>
    <w:rsid w:val="00F13007"/>
    <w:rsid w:val="00F14269"/>
    <w:rsid w:val="00F14BAA"/>
    <w:rsid w:val="00F26BFB"/>
    <w:rsid w:val="00F26DDC"/>
    <w:rsid w:val="00F30F0A"/>
    <w:rsid w:val="00F33B35"/>
    <w:rsid w:val="00F34B55"/>
    <w:rsid w:val="00F36D1F"/>
    <w:rsid w:val="00F41304"/>
    <w:rsid w:val="00F41B34"/>
    <w:rsid w:val="00F421B2"/>
    <w:rsid w:val="00F42B75"/>
    <w:rsid w:val="00F4356F"/>
    <w:rsid w:val="00F43F31"/>
    <w:rsid w:val="00F45CB1"/>
    <w:rsid w:val="00F460D4"/>
    <w:rsid w:val="00F505FE"/>
    <w:rsid w:val="00F5083A"/>
    <w:rsid w:val="00F509C5"/>
    <w:rsid w:val="00F534AF"/>
    <w:rsid w:val="00F536A9"/>
    <w:rsid w:val="00F5555C"/>
    <w:rsid w:val="00F61BA8"/>
    <w:rsid w:val="00F630F0"/>
    <w:rsid w:val="00F64569"/>
    <w:rsid w:val="00F703D6"/>
    <w:rsid w:val="00F73D88"/>
    <w:rsid w:val="00F76699"/>
    <w:rsid w:val="00F85DFF"/>
    <w:rsid w:val="00F86EDB"/>
    <w:rsid w:val="00F8713F"/>
    <w:rsid w:val="00F87621"/>
    <w:rsid w:val="00F87FFE"/>
    <w:rsid w:val="00F90C42"/>
    <w:rsid w:val="00F91A55"/>
    <w:rsid w:val="00F9342C"/>
    <w:rsid w:val="00F96216"/>
    <w:rsid w:val="00F96BFF"/>
    <w:rsid w:val="00F9798F"/>
    <w:rsid w:val="00FA53A4"/>
    <w:rsid w:val="00FA6BB2"/>
    <w:rsid w:val="00FB057E"/>
    <w:rsid w:val="00FB08D4"/>
    <w:rsid w:val="00FB0CD5"/>
    <w:rsid w:val="00FB3F29"/>
    <w:rsid w:val="00FB53C7"/>
    <w:rsid w:val="00FB5E60"/>
    <w:rsid w:val="00FB73B3"/>
    <w:rsid w:val="00FB7482"/>
    <w:rsid w:val="00FC1A2D"/>
    <w:rsid w:val="00FC2397"/>
    <w:rsid w:val="00FC6389"/>
    <w:rsid w:val="00FC6F7A"/>
    <w:rsid w:val="00FC7240"/>
    <w:rsid w:val="00FD0529"/>
    <w:rsid w:val="00FD487F"/>
    <w:rsid w:val="00FD6282"/>
    <w:rsid w:val="00FD7CCC"/>
    <w:rsid w:val="00FE0E96"/>
    <w:rsid w:val="00FE3BEC"/>
    <w:rsid w:val="00FE41E4"/>
    <w:rsid w:val="00FE6A0D"/>
    <w:rsid w:val="00FF2F92"/>
    <w:rsid w:val="00FF3C6B"/>
    <w:rsid w:val="00FF55C1"/>
    <w:rsid w:val="00FF7065"/>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5B94B"/>
  <w15:chartTrackingRefBased/>
  <w15:docId w15:val="{040FD873-94B7-426B-AD68-E78AC10ED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AF5"/>
    <w:pPr>
      <w:widowControl w:val="0"/>
      <w:autoSpaceDE w:val="0"/>
      <w:autoSpaceDN w:val="0"/>
      <w:spacing w:after="0" w:line="240" w:lineRule="auto"/>
    </w:pPr>
    <w:rPr>
      <w:rFonts w:ascii="Microsoft Sans Serif" w:eastAsia="Microsoft Sans Serif" w:hAnsi="Microsoft Sans Serif" w:cs="Microsoft Sans Serif"/>
      <w:kern w:val="0"/>
      <w:lang w:val="en-US"/>
      <w14:ligatures w14:val="none"/>
    </w:rPr>
  </w:style>
  <w:style w:type="paragraph" w:styleId="Ttulo1">
    <w:name w:val="heading 1"/>
    <w:basedOn w:val="Normal"/>
    <w:next w:val="Normal"/>
    <w:link w:val="Ttulo1Char"/>
    <w:uiPriority w:val="9"/>
    <w:qFormat/>
    <w:rsid w:val="00CB0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autoRedefine/>
    <w:uiPriority w:val="9"/>
    <w:unhideWhenUsed/>
    <w:qFormat/>
    <w:rsid w:val="00B40008"/>
    <w:pPr>
      <w:keepNext/>
      <w:keepLines/>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CB0A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B0A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B0A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B0AF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B0AF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B0AF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B0AF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B0AF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40008"/>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Ttulo3Char">
    <w:name w:val="Título 3 Char"/>
    <w:basedOn w:val="Fontepargpadro"/>
    <w:link w:val="Ttulo3"/>
    <w:uiPriority w:val="9"/>
    <w:rsid w:val="00CB0AF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B0AF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B0AF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B0AF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B0AF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B0AF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B0AF5"/>
    <w:rPr>
      <w:rFonts w:eastAsiaTheme="majorEastAsia" w:cstheme="majorBidi"/>
      <w:color w:val="272727" w:themeColor="text1" w:themeTint="D8"/>
    </w:rPr>
  </w:style>
  <w:style w:type="paragraph" w:styleId="Ttulo">
    <w:name w:val="Title"/>
    <w:basedOn w:val="Normal"/>
    <w:next w:val="Normal"/>
    <w:link w:val="TtuloChar"/>
    <w:uiPriority w:val="10"/>
    <w:qFormat/>
    <w:rsid w:val="00CB0AF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B0A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B0AF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B0AF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B0AF5"/>
    <w:pPr>
      <w:spacing w:before="160"/>
      <w:jc w:val="center"/>
    </w:pPr>
    <w:rPr>
      <w:i/>
      <w:iCs/>
      <w:color w:val="404040" w:themeColor="text1" w:themeTint="BF"/>
    </w:rPr>
  </w:style>
  <w:style w:type="character" w:customStyle="1" w:styleId="CitaoChar">
    <w:name w:val="Citação Char"/>
    <w:basedOn w:val="Fontepargpadro"/>
    <w:link w:val="Citao"/>
    <w:uiPriority w:val="29"/>
    <w:rsid w:val="00CB0AF5"/>
    <w:rPr>
      <w:i/>
      <w:iCs/>
      <w:color w:val="404040" w:themeColor="text1" w:themeTint="BF"/>
    </w:rPr>
  </w:style>
  <w:style w:type="paragraph" w:styleId="PargrafodaLista">
    <w:name w:val="List Paragraph"/>
    <w:basedOn w:val="Normal"/>
    <w:uiPriority w:val="1"/>
    <w:qFormat/>
    <w:rsid w:val="00CB0AF5"/>
    <w:pPr>
      <w:ind w:left="720"/>
      <w:contextualSpacing/>
    </w:pPr>
  </w:style>
  <w:style w:type="character" w:styleId="nfaseIntensa">
    <w:name w:val="Intense Emphasis"/>
    <w:basedOn w:val="Fontepargpadro"/>
    <w:uiPriority w:val="21"/>
    <w:qFormat/>
    <w:rsid w:val="00CB0AF5"/>
    <w:rPr>
      <w:i/>
      <w:iCs/>
      <w:color w:val="0F4761" w:themeColor="accent1" w:themeShade="BF"/>
    </w:rPr>
  </w:style>
  <w:style w:type="paragraph" w:styleId="CitaoIntensa">
    <w:name w:val="Intense Quote"/>
    <w:basedOn w:val="Normal"/>
    <w:next w:val="Normal"/>
    <w:link w:val="CitaoIntensaChar"/>
    <w:uiPriority w:val="30"/>
    <w:qFormat/>
    <w:rsid w:val="00CB0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B0AF5"/>
    <w:rPr>
      <w:i/>
      <w:iCs/>
      <w:color w:val="0F4761" w:themeColor="accent1" w:themeShade="BF"/>
    </w:rPr>
  </w:style>
  <w:style w:type="character" w:styleId="RefernciaIntensa">
    <w:name w:val="Intense Reference"/>
    <w:basedOn w:val="Fontepargpadro"/>
    <w:uiPriority w:val="32"/>
    <w:qFormat/>
    <w:rsid w:val="00CB0AF5"/>
    <w:rPr>
      <w:b/>
      <w:bCs/>
      <w:smallCaps/>
      <w:color w:val="0F4761" w:themeColor="accent1" w:themeShade="BF"/>
      <w:spacing w:val="5"/>
    </w:rPr>
  </w:style>
  <w:style w:type="paragraph" w:styleId="Corpodetexto">
    <w:name w:val="Body Text"/>
    <w:basedOn w:val="Normal"/>
    <w:link w:val="CorpodetextoChar"/>
    <w:uiPriority w:val="1"/>
    <w:qFormat/>
    <w:rsid w:val="00CB0AF5"/>
    <w:pPr>
      <w:spacing w:before="148"/>
      <w:ind w:left="269"/>
    </w:pPr>
    <w:rPr>
      <w:sz w:val="20"/>
      <w:szCs w:val="20"/>
    </w:rPr>
  </w:style>
  <w:style w:type="character" w:customStyle="1" w:styleId="CorpodetextoChar">
    <w:name w:val="Corpo de texto Char"/>
    <w:basedOn w:val="Fontepargpadro"/>
    <w:link w:val="Corpodetexto"/>
    <w:uiPriority w:val="1"/>
    <w:rsid w:val="00CB0AF5"/>
    <w:rPr>
      <w:rFonts w:ascii="Microsoft Sans Serif" w:eastAsia="Microsoft Sans Serif" w:hAnsi="Microsoft Sans Serif" w:cs="Microsoft Sans Serif"/>
      <w:kern w:val="0"/>
      <w:sz w:val="20"/>
      <w:szCs w:val="20"/>
      <w:lang w:val="en-US"/>
      <w14:ligatures w14:val="none"/>
    </w:rPr>
  </w:style>
  <w:style w:type="paragraph" w:customStyle="1" w:styleId="text-base">
    <w:name w:val="text-base"/>
    <w:basedOn w:val="Normal"/>
    <w:rsid w:val="00827D2C"/>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table" w:styleId="Tabelacomgrade">
    <w:name w:val="Table Grid"/>
    <w:basedOn w:val="Tabelanormal"/>
    <w:uiPriority w:val="59"/>
    <w:rsid w:val="00984699"/>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unhideWhenUsed/>
    <w:rsid w:val="008859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pt-BR" w:eastAsia="pt-BR"/>
    </w:rPr>
  </w:style>
  <w:style w:type="character" w:customStyle="1" w:styleId="Pr-formataoHTMLChar">
    <w:name w:val="Pré-formatação HTML Char"/>
    <w:basedOn w:val="Fontepargpadro"/>
    <w:link w:val="Pr-formataoHTML"/>
    <w:uiPriority w:val="99"/>
    <w:rsid w:val="00885932"/>
    <w:rPr>
      <w:rFonts w:ascii="Courier New" w:eastAsia="Times New Roman" w:hAnsi="Courier New" w:cs="Courier New"/>
      <w:kern w:val="0"/>
      <w:sz w:val="20"/>
      <w:szCs w:val="20"/>
      <w:lang w:eastAsia="pt-BR"/>
      <w14:ligatures w14:val="none"/>
    </w:rPr>
  </w:style>
  <w:style w:type="character" w:styleId="nfase">
    <w:name w:val="Emphasis"/>
    <w:basedOn w:val="Fontepargpadro"/>
    <w:uiPriority w:val="20"/>
    <w:qFormat/>
    <w:rsid w:val="00920375"/>
    <w:rPr>
      <w:i/>
      <w:iCs/>
    </w:rPr>
  </w:style>
  <w:style w:type="paragraph" w:customStyle="1" w:styleId="ng-star-inserted">
    <w:name w:val="ng-star-inserted"/>
    <w:basedOn w:val="Normal"/>
    <w:rsid w:val="00F86EDB"/>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ng-star-inserted1">
    <w:name w:val="ng-star-inserted1"/>
    <w:basedOn w:val="Fontepargpadro"/>
    <w:rsid w:val="00F86EDB"/>
  </w:style>
  <w:style w:type="paragraph" w:customStyle="1" w:styleId="TableParagraph">
    <w:name w:val="Table Paragraph"/>
    <w:basedOn w:val="Normal"/>
    <w:uiPriority w:val="1"/>
    <w:qFormat/>
    <w:rsid w:val="00B16544"/>
    <w:pPr>
      <w:spacing w:before="104"/>
      <w:ind w:left="194"/>
    </w:pPr>
  </w:style>
  <w:style w:type="character" w:styleId="Forte">
    <w:name w:val="Strong"/>
    <w:basedOn w:val="Fontepargpadro"/>
    <w:uiPriority w:val="22"/>
    <w:qFormat/>
    <w:rsid w:val="00B75153"/>
    <w:rPr>
      <w:b/>
      <w:bCs/>
    </w:rPr>
  </w:style>
  <w:style w:type="character" w:customStyle="1" w:styleId="mclose">
    <w:name w:val="mclose"/>
    <w:basedOn w:val="Fontepargpadro"/>
    <w:rsid w:val="00C01751"/>
  </w:style>
  <w:style w:type="character" w:styleId="TextodoEspaoReservado">
    <w:name w:val="Placeholder Text"/>
    <w:basedOn w:val="Fontepargpadro"/>
    <w:uiPriority w:val="99"/>
    <w:semiHidden/>
    <w:rsid w:val="00337995"/>
    <w:rPr>
      <w:color w:val="666666"/>
    </w:rPr>
  </w:style>
  <w:style w:type="paragraph" w:styleId="Bibliografia">
    <w:name w:val="Bibliography"/>
    <w:basedOn w:val="Normal"/>
    <w:next w:val="Normal"/>
    <w:uiPriority w:val="37"/>
    <w:unhideWhenUsed/>
    <w:rsid w:val="00747409"/>
    <w:pPr>
      <w:ind w:left="720" w:hanging="720"/>
    </w:pPr>
  </w:style>
  <w:style w:type="table" w:customStyle="1" w:styleId="TableNormal1">
    <w:name w:val="Table Normal1"/>
    <w:uiPriority w:val="2"/>
    <w:semiHidden/>
    <w:unhideWhenUsed/>
    <w:qFormat/>
    <w:rsid w:val="0074740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Hyperlink">
    <w:name w:val="Hyperlink"/>
    <w:basedOn w:val="Fontepargpadro"/>
    <w:uiPriority w:val="99"/>
    <w:unhideWhenUsed/>
    <w:rsid w:val="00747409"/>
    <w:rPr>
      <w:color w:val="467886" w:themeColor="hyperlink"/>
      <w:u w:val="single"/>
    </w:rPr>
  </w:style>
  <w:style w:type="character" w:styleId="MenoPendente">
    <w:name w:val="Unresolved Mention"/>
    <w:basedOn w:val="Fontepargpadro"/>
    <w:uiPriority w:val="99"/>
    <w:semiHidden/>
    <w:unhideWhenUsed/>
    <w:rsid w:val="00747409"/>
    <w:rPr>
      <w:color w:val="605E5C"/>
      <w:shd w:val="clear" w:color="auto" w:fill="E1DFDD"/>
    </w:rPr>
  </w:style>
  <w:style w:type="character" w:customStyle="1" w:styleId="inline-code">
    <w:name w:val="inline-code"/>
    <w:basedOn w:val="Fontepargpadro"/>
    <w:rsid w:val="00747409"/>
  </w:style>
  <w:style w:type="character" w:customStyle="1" w:styleId="VerbatimChar">
    <w:name w:val="Verbatim Char"/>
    <w:rsid w:val="00747409"/>
    <w:rPr>
      <w:rFonts w:ascii="Consolas" w:hAnsi="Consolas"/>
      <w:sz w:val="22"/>
    </w:rPr>
  </w:style>
  <w:style w:type="paragraph" w:customStyle="1" w:styleId="my-2">
    <w:name w:val="my-2"/>
    <w:basedOn w:val="Normal"/>
    <w:rsid w:val="00747409"/>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HiperlinkVisitado">
    <w:name w:val="FollowedHyperlink"/>
    <w:basedOn w:val="Fontepargpadro"/>
    <w:uiPriority w:val="99"/>
    <w:semiHidden/>
    <w:unhideWhenUsed/>
    <w:rsid w:val="00747409"/>
    <w:rPr>
      <w:color w:val="96607D" w:themeColor="followedHyperlink"/>
      <w:u w:val="single"/>
    </w:rPr>
  </w:style>
  <w:style w:type="character" w:customStyle="1" w:styleId="mord">
    <w:name w:val="mord"/>
    <w:basedOn w:val="Fontepargpadro"/>
    <w:rsid w:val="00747409"/>
  </w:style>
  <w:style w:type="character" w:customStyle="1" w:styleId="mrel">
    <w:name w:val="mrel"/>
    <w:basedOn w:val="Fontepargpadro"/>
    <w:rsid w:val="00747409"/>
  </w:style>
  <w:style w:type="character" w:customStyle="1" w:styleId="mbin">
    <w:name w:val="mbin"/>
    <w:basedOn w:val="Fontepargpadro"/>
    <w:rsid w:val="00747409"/>
  </w:style>
  <w:style w:type="character" w:customStyle="1" w:styleId="mopen">
    <w:name w:val="mopen"/>
    <w:basedOn w:val="Fontepargpadro"/>
    <w:rsid w:val="00747409"/>
  </w:style>
  <w:style w:type="character" w:customStyle="1" w:styleId="delimsizing">
    <w:name w:val="delimsizing"/>
    <w:basedOn w:val="Fontepargpadro"/>
    <w:rsid w:val="00747409"/>
  </w:style>
  <w:style w:type="character" w:styleId="CdigoHTML">
    <w:name w:val="HTML Code"/>
    <w:basedOn w:val="Fontepargpadro"/>
    <w:uiPriority w:val="99"/>
    <w:semiHidden/>
    <w:unhideWhenUsed/>
    <w:rsid w:val="00747409"/>
    <w:rPr>
      <w:rFonts w:ascii="Courier New" w:eastAsia="Times New Roman" w:hAnsi="Courier New" w:cs="Courier New"/>
      <w:sz w:val="20"/>
      <w:szCs w:val="20"/>
    </w:rPr>
  </w:style>
  <w:style w:type="character" w:styleId="Refdecomentrio">
    <w:name w:val="annotation reference"/>
    <w:basedOn w:val="Fontepargpadro"/>
    <w:uiPriority w:val="99"/>
    <w:semiHidden/>
    <w:unhideWhenUsed/>
    <w:rsid w:val="00747409"/>
    <w:rPr>
      <w:sz w:val="16"/>
      <w:szCs w:val="16"/>
    </w:rPr>
  </w:style>
  <w:style w:type="paragraph" w:styleId="Textodecomentrio">
    <w:name w:val="annotation text"/>
    <w:basedOn w:val="Normal"/>
    <w:link w:val="TextodecomentrioChar"/>
    <w:uiPriority w:val="99"/>
    <w:semiHidden/>
    <w:unhideWhenUsed/>
    <w:rsid w:val="00747409"/>
    <w:rPr>
      <w:sz w:val="20"/>
      <w:szCs w:val="20"/>
    </w:rPr>
  </w:style>
  <w:style w:type="character" w:customStyle="1" w:styleId="TextodecomentrioChar">
    <w:name w:val="Texto de comentário Char"/>
    <w:basedOn w:val="Fontepargpadro"/>
    <w:link w:val="Textodecomentrio"/>
    <w:uiPriority w:val="99"/>
    <w:semiHidden/>
    <w:rsid w:val="00747409"/>
    <w:rPr>
      <w:rFonts w:ascii="Microsoft Sans Serif" w:eastAsia="Microsoft Sans Serif" w:hAnsi="Microsoft Sans Serif" w:cs="Microsoft Sans Serif"/>
      <w:kern w:val="0"/>
      <w:sz w:val="20"/>
      <w:szCs w:val="20"/>
      <w:lang w:val="en-US"/>
      <w14:ligatures w14:val="none"/>
    </w:rPr>
  </w:style>
  <w:style w:type="paragraph" w:styleId="Assuntodocomentrio">
    <w:name w:val="annotation subject"/>
    <w:basedOn w:val="Textodecomentrio"/>
    <w:next w:val="Textodecomentrio"/>
    <w:link w:val="AssuntodocomentrioChar"/>
    <w:uiPriority w:val="99"/>
    <w:semiHidden/>
    <w:unhideWhenUsed/>
    <w:rsid w:val="00747409"/>
    <w:rPr>
      <w:b/>
      <w:bCs/>
    </w:rPr>
  </w:style>
  <w:style w:type="character" w:customStyle="1" w:styleId="AssuntodocomentrioChar">
    <w:name w:val="Assunto do comentário Char"/>
    <w:basedOn w:val="TextodecomentrioChar"/>
    <w:link w:val="Assuntodocomentrio"/>
    <w:uiPriority w:val="99"/>
    <w:semiHidden/>
    <w:rsid w:val="00747409"/>
    <w:rPr>
      <w:rFonts w:ascii="Microsoft Sans Serif" w:eastAsia="Microsoft Sans Serif" w:hAnsi="Microsoft Sans Serif" w:cs="Microsoft Sans Serif"/>
      <w:b/>
      <w:bCs/>
      <w:kern w:val="0"/>
      <w:sz w:val="20"/>
      <w:szCs w:val="20"/>
      <w:lang w:val="en-US"/>
      <w14:ligatures w14:val="none"/>
    </w:rPr>
  </w:style>
  <w:style w:type="paragraph" w:styleId="Reviso">
    <w:name w:val="Revision"/>
    <w:hidden/>
    <w:uiPriority w:val="99"/>
    <w:semiHidden/>
    <w:rsid w:val="00747409"/>
    <w:pPr>
      <w:spacing w:after="0" w:line="240" w:lineRule="auto"/>
    </w:pPr>
    <w:rPr>
      <w:rFonts w:ascii="Microsoft Sans Serif" w:eastAsia="Microsoft Sans Serif" w:hAnsi="Microsoft Sans Serif" w:cs="Microsoft Sans Serif"/>
      <w:kern w:val="0"/>
      <w:lang w:val="en-US"/>
      <w14:ligatures w14:val="none"/>
    </w:rPr>
  </w:style>
  <w:style w:type="character" w:customStyle="1" w:styleId="font-sans">
    <w:name w:val="font-sans"/>
    <w:basedOn w:val="Fontepargpadro"/>
    <w:rsid w:val="00747409"/>
  </w:style>
  <w:style w:type="paragraph" w:styleId="NormalWeb">
    <w:name w:val="Normal (Web)"/>
    <w:basedOn w:val="Normal"/>
    <w:uiPriority w:val="99"/>
    <w:semiHidden/>
    <w:unhideWhenUsed/>
    <w:rsid w:val="00747409"/>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katex-mathml">
    <w:name w:val="katex-mathml"/>
    <w:basedOn w:val="Fontepargpadro"/>
    <w:rsid w:val="00747409"/>
  </w:style>
  <w:style w:type="character" w:customStyle="1" w:styleId="mop">
    <w:name w:val="mop"/>
    <w:basedOn w:val="Fontepargpadro"/>
    <w:rsid w:val="00747409"/>
  </w:style>
  <w:style w:type="character" w:customStyle="1" w:styleId="mpunct">
    <w:name w:val="mpunct"/>
    <w:basedOn w:val="Fontepargpadro"/>
    <w:rsid w:val="00747409"/>
  </w:style>
  <w:style w:type="character" w:customStyle="1" w:styleId="hljs-number">
    <w:name w:val="hljs-number"/>
    <w:basedOn w:val="Fontepargpadro"/>
    <w:rsid w:val="00747409"/>
  </w:style>
  <w:style w:type="character" w:customStyle="1" w:styleId="minner">
    <w:name w:val="minner"/>
    <w:basedOn w:val="Fontepargpadro"/>
    <w:rsid w:val="00747409"/>
  </w:style>
  <w:style w:type="paragraph" w:styleId="Textodenotaderodap">
    <w:name w:val="footnote text"/>
    <w:basedOn w:val="Normal"/>
    <w:link w:val="TextodenotaderodapChar"/>
    <w:uiPriority w:val="99"/>
    <w:semiHidden/>
    <w:unhideWhenUsed/>
    <w:rsid w:val="00747409"/>
    <w:rPr>
      <w:sz w:val="20"/>
      <w:szCs w:val="20"/>
    </w:rPr>
  </w:style>
  <w:style w:type="character" w:customStyle="1" w:styleId="TextodenotaderodapChar">
    <w:name w:val="Texto de nota de rodapé Char"/>
    <w:basedOn w:val="Fontepargpadro"/>
    <w:link w:val="Textodenotaderodap"/>
    <w:uiPriority w:val="99"/>
    <w:semiHidden/>
    <w:rsid w:val="00747409"/>
    <w:rPr>
      <w:rFonts w:ascii="Microsoft Sans Serif" w:eastAsia="Microsoft Sans Serif" w:hAnsi="Microsoft Sans Serif" w:cs="Microsoft Sans Serif"/>
      <w:kern w:val="0"/>
      <w:sz w:val="20"/>
      <w:szCs w:val="20"/>
      <w:lang w:val="en-US"/>
      <w14:ligatures w14:val="none"/>
    </w:rPr>
  </w:style>
  <w:style w:type="character" w:styleId="Refdenotaderodap">
    <w:name w:val="footnote reference"/>
    <w:basedOn w:val="Fontepargpadro"/>
    <w:uiPriority w:val="99"/>
    <w:unhideWhenUsed/>
    <w:rsid w:val="00747409"/>
    <w:rPr>
      <w:vertAlign w:val="superscript"/>
    </w:rPr>
  </w:style>
  <w:style w:type="paragraph" w:customStyle="1" w:styleId="FirstParagraph">
    <w:name w:val="First Paragraph"/>
    <w:basedOn w:val="Corpodetexto"/>
    <w:next w:val="Corpodetexto"/>
    <w:qFormat/>
    <w:rsid w:val="00747409"/>
    <w:pPr>
      <w:widowControl/>
      <w:autoSpaceDE/>
      <w:autoSpaceDN/>
      <w:spacing w:before="180" w:after="180"/>
      <w:ind w:left="0"/>
    </w:pPr>
    <w:rPr>
      <w:rFonts w:asciiTheme="minorHAnsi" w:eastAsiaTheme="minorHAnsi" w:hAnsiTheme="minorHAnsi" w:cstheme="minorBidi"/>
      <w:sz w:val="24"/>
      <w:szCs w:val="24"/>
    </w:rPr>
  </w:style>
  <w:style w:type="paragraph" w:customStyle="1" w:styleId="Compact">
    <w:name w:val="Compact"/>
    <w:basedOn w:val="Corpodetexto"/>
    <w:qFormat/>
    <w:rsid w:val="00747409"/>
    <w:pPr>
      <w:widowControl/>
      <w:autoSpaceDE/>
      <w:autoSpaceDN/>
      <w:spacing w:before="36" w:after="36"/>
      <w:ind w:left="0"/>
    </w:pPr>
    <w:rPr>
      <w:rFonts w:asciiTheme="minorHAnsi" w:eastAsiaTheme="minorHAnsi" w:hAnsiTheme="minorHAnsi" w:cstheme="minorBidi"/>
      <w:sz w:val="24"/>
      <w:szCs w:val="24"/>
    </w:rPr>
  </w:style>
  <w:style w:type="table" w:customStyle="1" w:styleId="Table">
    <w:name w:val="Table"/>
    <w:semiHidden/>
    <w:unhideWhenUsed/>
    <w:qFormat/>
    <w:rsid w:val="00747409"/>
    <w:pPr>
      <w:spacing w:after="200" w:line="240" w:lineRule="auto"/>
    </w:pPr>
    <w:rPr>
      <w:kern w:val="0"/>
      <w:sz w:val="24"/>
      <w:szCs w:val="24"/>
      <w:lang w:val="en-GB" w:eastAsia="pt-BR"/>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Cabealho">
    <w:name w:val="header"/>
    <w:basedOn w:val="Normal"/>
    <w:link w:val="CabealhoChar"/>
    <w:uiPriority w:val="99"/>
    <w:unhideWhenUsed/>
    <w:rsid w:val="00747409"/>
    <w:pPr>
      <w:tabs>
        <w:tab w:val="center" w:pos="4513"/>
        <w:tab w:val="right" w:pos="9026"/>
      </w:tabs>
    </w:pPr>
  </w:style>
  <w:style w:type="character" w:customStyle="1" w:styleId="CabealhoChar">
    <w:name w:val="Cabeçalho Char"/>
    <w:basedOn w:val="Fontepargpadro"/>
    <w:link w:val="Cabealho"/>
    <w:uiPriority w:val="99"/>
    <w:rsid w:val="00747409"/>
    <w:rPr>
      <w:rFonts w:ascii="Microsoft Sans Serif" w:eastAsia="Microsoft Sans Serif" w:hAnsi="Microsoft Sans Serif" w:cs="Microsoft Sans Serif"/>
      <w:kern w:val="0"/>
      <w:lang w:val="en-US"/>
      <w14:ligatures w14:val="none"/>
    </w:rPr>
  </w:style>
  <w:style w:type="paragraph" w:styleId="Rodap">
    <w:name w:val="footer"/>
    <w:basedOn w:val="Normal"/>
    <w:link w:val="RodapChar"/>
    <w:uiPriority w:val="99"/>
    <w:unhideWhenUsed/>
    <w:rsid w:val="00747409"/>
    <w:pPr>
      <w:tabs>
        <w:tab w:val="center" w:pos="4513"/>
        <w:tab w:val="right" w:pos="9026"/>
      </w:tabs>
    </w:pPr>
  </w:style>
  <w:style w:type="character" w:customStyle="1" w:styleId="RodapChar">
    <w:name w:val="Rodapé Char"/>
    <w:basedOn w:val="Fontepargpadro"/>
    <w:link w:val="Rodap"/>
    <w:uiPriority w:val="99"/>
    <w:rsid w:val="00747409"/>
    <w:rPr>
      <w:rFonts w:ascii="Microsoft Sans Serif" w:eastAsia="Microsoft Sans Serif" w:hAnsi="Microsoft Sans Serif" w:cs="Microsoft Sans Serif"/>
      <w:kern w:val="0"/>
      <w:lang w:val="en-US"/>
      <w14:ligatures w14:val="none"/>
    </w:rPr>
  </w:style>
  <w:style w:type="paragraph" w:styleId="Data">
    <w:name w:val="Date"/>
    <w:basedOn w:val="Normal"/>
    <w:next w:val="Normal"/>
    <w:link w:val="DataChar"/>
    <w:uiPriority w:val="99"/>
    <w:semiHidden/>
    <w:unhideWhenUsed/>
    <w:rsid w:val="00747409"/>
  </w:style>
  <w:style w:type="character" w:customStyle="1" w:styleId="DataChar">
    <w:name w:val="Data Char"/>
    <w:basedOn w:val="Fontepargpadro"/>
    <w:link w:val="Data"/>
    <w:uiPriority w:val="99"/>
    <w:semiHidden/>
    <w:rsid w:val="00747409"/>
    <w:rPr>
      <w:rFonts w:ascii="Microsoft Sans Serif" w:eastAsia="Microsoft Sans Serif" w:hAnsi="Microsoft Sans Serif" w:cs="Microsoft Sans Serif"/>
      <w:kern w:val="0"/>
      <w:lang w:val="en-US"/>
      <w14:ligatures w14:val="none"/>
    </w:rPr>
  </w:style>
  <w:style w:type="character" w:customStyle="1" w:styleId="vlist-s">
    <w:name w:val="vlist-s"/>
    <w:basedOn w:val="Fontepargpadro"/>
    <w:rsid w:val="00A763B0"/>
  </w:style>
  <w:style w:type="character" w:customStyle="1" w:styleId="mtight">
    <w:name w:val="mtight"/>
    <w:basedOn w:val="Fontepargpadro"/>
    <w:rsid w:val="00A763B0"/>
  </w:style>
  <w:style w:type="character" w:styleId="Refdenotadefim">
    <w:name w:val="endnote reference"/>
    <w:basedOn w:val="Fontepargpadro"/>
    <w:uiPriority w:val="99"/>
    <w:semiHidden/>
    <w:unhideWhenUsed/>
    <w:rsid w:val="00E91D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8EC9D1-1111-4575-B338-4241B06F7C92}">
  <we:reference id="f5112914-51aa-49ee-8046-d9cf4a21d5a3" version="2.129.3.0" store="EXCatalog" storeType="EXCatalog"/>
  <we:alternateReferences>
    <we:reference id="WA200001361" version="2.129.3.0" store="pt-BR" storeType="OMEX"/>
  </we:alternateReferences>
  <we:properties>
    <we:property name="paperpal-document-id" value="&quot;a005697d-c8bd-44b8-ba01-cadaf22b18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79500-E105-496E-AF85-90C83040E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40</Pages>
  <Words>33408</Words>
  <Characters>180404</Characters>
  <Application>Microsoft Office Word</Application>
  <DocSecurity>0</DocSecurity>
  <Lines>1503</Lines>
  <Paragraphs>426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Ricardo;Bo.Chen@wbs.ac.uk</dc:creator>
  <cp:keywords/>
  <dc:description/>
  <cp:lastModifiedBy>Ricardo</cp:lastModifiedBy>
  <cp:revision>124</cp:revision>
  <cp:lastPrinted>2026-01-30T23:52:00Z</cp:lastPrinted>
  <dcterms:created xsi:type="dcterms:W3CDTF">2025-12-26T01:18:00Z</dcterms:created>
  <dcterms:modified xsi:type="dcterms:W3CDTF">2026-02-07T16:50:00Z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2025-11-09T01:00:15Z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d6862db0-944f-47f4-a174-2d34f9364f41</vt:lpwstr>
  </property>
  <property fmtid="{D5CDD505-2E9C-101B-9397-08002B2CF9AE}" pid="7" name="MSIP_Label_defa4170-0d19-0005-0004-bc88714345d2_ActionId">
    <vt:lpwstr>7dd169a7-5d7e-420a-98b3-098e9d03181b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GrammarlyDocumentId">
    <vt:lpwstr>b262c72d-dc49-4591-bcc9-f5ca9447f75f</vt:lpwstr>
  </property>
  <property fmtid="{D5CDD505-2E9C-101B-9397-08002B2CF9AE}" pid="11" name="ZOTERO_PREF_1">
    <vt:lpwstr>&lt;data data-version="3" zotero-version="7.0.32"&gt;&lt;session id="z9FVGgdR"/&gt;&lt;style id="http://www.zotero.org/styles/elsevier-harvard" hasBibliography="1" bibliographyStyleHasBeenSet="1"/&gt;&lt;prefs&gt;&lt;pref name="fieldType" value="Field"/&gt;&lt;pref name="automaticJournal</vt:lpwstr>
  </property>
  <property fmtid="{D5CDD505-2E9C-101B-9397-08002B2CF9AE}" pid="12" name="ZOTERO_PREF_2">
    <vt:lpwstr>Abbreviations" value="true"/&gt;&lt;/prefs&gt;&lt;/data&gt;</vt:lpwstr>
  </property>
</Properties>
</file>