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</w:pPr>
      <w:r>
        <w:rPr>
          <w:rFonts w:ascii="Arial" w:cs="Arial" w:eastAsia="Arial" w:hAnsi="Arial"/>
          <w:b/>
          <w:bCs/>
          <w:color w:val="1E1B4B"/>
          <w:sz w:val="80"/>
          <w:szCs w:val="80"/>
        </w:rPr>
        <w:t xml:space="preserve">A</w:t>
      </w:r>
    </w:p>
    <w:p>
      <w:pPr>
        <w:spacing w:after="240"/>
      </w:pPr>
      <w:r>
        <w:rPr>
          <w:rFonts w:ascii="Arial" w:cs="Arial" w:eastAsia="Arial" w:hAnsi="Arial"/>
          <w:b/>
          <w:bCs/>
          <w:color w:val="1E1B4B"/>
          <w:sz w:val="28"/>
          <w:szCs w:val="28"/>
        </w:rPr>
        <w:t xml:space="preserve">APOCAL'IPSSI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F59E0B"/>
          <w:sz w:val="20"/>
          <w:szCs w:val="20"/>
        </w:rPr>
        <w:t xml:space="preserve">TEMPLATE PERTURBATION · J2 (TECHNIQUE)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1E1B4B"/>
          <w:sz w:val="44"/>
          <w:szCs w:val="44"/>
        </w:rPr>
        <w:t xml:space="preserve">ADR : Architecture Decision Record</w:t>
      </w:r>
    </w:p>
    <w:p>
      <w:pPr>
        <w:spacing w:after="360"/>
      </w:pPr>
      <w:r>
        <w:rPr>
          <w:rFonts w:ascii="Arial" w:cs="Arial" w:eastAsia="Arial" w:hAnsi="Arial"/>
          <w:i/>
          <w:iCs/>
          <w:color w:val="475569"/>
          <w:sz w:val="22"/>
          <w:szCs w:val="22"/>
        </w:rPr>
        <w:t xml:space="preserve">Tracer une décision technique majeure (format Michael Nygard étendu)</w:t>
      </w:r>
    </w:p>
    <w:p>
      <w:pPr>
        <w:spacing w:after="6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Projet EduTutor IA · Édition 2026 · Semaine immersive Scrum</w:t>
      </w:r>
    </w:p>
    <w:p>
      <w:pPr>
        <w:spacing w:after="480"/>
      </w:pPr>
      <w:r>
        <w:rPr>
          <w:rFonts w:ascii="Arial" w:cs="Arial" w:eastAsia="Arial" w:hAnsi="Arial"/>
          <w:i/>
          <w:iCs/>
          <w:color w:val="475569"/>
          <w:sz w:val="18"/>
          <w:szCs w:val="18"/>
        </w:rPr>
        <w:t xml:space="preserve">Auteur original : Mohamed Amine EL AFRIT · Licence CC BY-NC-SA 4.0</w:t>
      </w:r>
    </w:p>
    <w:p>
      <w:pPr>
        <w:pStyle w:val="Heading2"/>
      </w:pPr>
      <w:r>
        <w:t xml:space="preserve">IDENTIFICATION DU DOCUMENT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E1B4B"/>
                <w:sz w:val="18"/>
                <w:szCs w:val="18"/>
              </w:rPr>
              <w:t xml:space="preserve">Équipe n°</w:t>
            </w:r>
          </w:p>
        </w:tc>
        <w:tc>
          <w:tcPr>
            <w:tcW w:type="dxa" w:w="6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25</w:t>
            </w:r>
          </w:p>
        </w:tc>
      </w:tr>
      <w:tr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E1B4B"/>
                <w:sz w:val="18"/>
                <w:szCs w:val="18"/>
              </w:rPr>
              <w:t xml:space="preserve">Membres</w:t>
            </w:r>
          </w:p>
        </w:tc>
        <w:tc>
          <w:tcPr>
            <w:tcW w:type="dxa" w:w="6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Mazen RADI, Yoni DESERBAIX, Melvyn BLANCHI, Rizlène BERRAG, Anass HOUDZI, Tahina HONI RIKA</w:t>
            </w:r>
          </w:p>
        </w:tc>
      </w:tr>
      <w:tr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E1B4B"/>
                <w:sz w:val="18"/>
                <w:szCs w:val="18"/>
              </w:rPr>
              <w:t xml:space="preserve">Sprint concerné</w:t>
            </w:r>
          </w:p>
        </w:tc>
        <w:tc>
          <w:tcPr>
            <w:tcW w:type="dxa" w:w="6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Sprint 2</w:t>
            </w:r>
          </w:p>
        </w:tc>
      </w:tr>
      <w:tr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E1B4B"/>
                <w:sz w:val="18"/>
                <w:szCs w:val="18"/>
              </w:rPr>
              <w:t xml:space="preserve">Version</w:t>
            </w:r>
          </w:p>
        </w:tc>
        <w:tc>
          <w:tcPr>
            <w:tcW w:type="dxa" w:w="6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v1.0 (initiale)</w:t>
            </w:r>
          </w:p>
        </w:tc>
      </w:tr>
      <w:tr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E1B4B"/>
                <w:sz w:val="18"/>
                <w:szCs w:val="18"/>
              </w:rPr>
              <w:t xml:space="preserve">Date de remise</w:t>
            </w:r>
          </w:p>
        </w:tc>
        <w:tc>
          <w:tcPr>
            <w:tcW w:type="dxa" w:w="6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30/06/2026  12h30</w:t>
            </w:r>
          </w:p>
        </w:tc>
      </w:tr>
      <w:tr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E1B4B"/>
                <w:sz w:val="18"/>
                <w:szCs w:val="18"/>
              </w:rPr>
              <w:t xml:space="preserve">Statut</w:t>
            </w:r>
          </w:p>
        </w:tc>
        <w:tc>
          <w:tcPr>
            <w:tcW w:type="dxa" w:w="6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Draft</w:t>
            </w:r>
          </w:p>
        </w:tc>
      </w:tr>
    </w:tbl>
    <w:p>
      <w:pPr>
        <w:spacing w:after="360"/>
      </w:pPr>
    </w:p>
    <w:p>
      <w:pPr>
        <w:pStyle w:val="Heading1"/>
      </w:pPr>
      <w:r>
        <w:t xml:space="preserve">Préambule — Pourquoi cet artefact ?</w:t>
      </w:r>
    </w:p>
    <w:p>
      <w:pPr>
        <w:spacing w:after="160"/>
      </w:pPr>
      <w:r>
        <w:rPr>
          <w:rFonts w:ascii="Arial" w:cs="Arial" w:eastAsia="Arial" w:hAnsi="Arial"/>
          <w:sz w:val="20"/>
          <w:szCs w:val="20"/>
        </w:rPr>
        <w:t xml:space="preserve">Un ADR (Architecture Decision Record) est un document court qui trace une décision technique structurante du projet. Format inventé par Michael Nygard en 2011. Permet à l'équipe de comprendre pourquoi une décision a été prise, dans quel contexte, avec quelles alternatives écartées, et avec quelles conséquences assumées.</w:t>
      </w:r>
    </w:p>
    <w:p>
      <w:pPr>
        <w:spacing w:after="100"/>
      </w:pPr>
      <w:r>
        <w:rPr>
          <w:sz w:val="20"/>
          <w:szCs w:val="20"/>
        </w:rPr>
        <w:t xml:space="preserve">💡 </w:t>
      </w:r>
      <w:r>
        <w:rPr>
          <w:rFonts w:ascii="Arial" w:cs="Arial" w:eastAsia="Arial" w:hAnsi="Arial"/>
          <w:b/>
          <w:bCs/>
          <w:color w:val="F59E0B"/>
          <w:sz w:val="20"/>
          <w:szCs w:val="20"/>
        </w:rPr>
        <w:t xml:space="preserve">Mode d'emploi. </w:t>
      </w:r>
      <w:r>
        <w:rPr>
          <w:rFonts w:ascii="Arial" w:cs="Arial" w:eastAsia="Arial" w:hAnsi="Arial"/>
          <w:i/>
          <w:iCs/>
          <w:color w:val="475569"/>
          <w:sz w:val="18"/>
          <w:szCs w:val="18"/>
        </w:rPr>
        <w:t xml:space="preserve">Un ADR pèse 1 à 2 pages maximum. Format Nygard : Contexte → Décision → Conséquences. Stocké dans /docs/adr/ du repo, numéroté ADR-0001, ADR-0002...</w:t>
      </w:r>
    </w:p>
    <w:p>
      <w:pPr>
        <w:pStyle w:val="Heading1"/>
      </w:pPr>
      <w:r>
        <w:t xml:space="preserve">1. Métadonnées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E1B4B"/>
                <w:sz w:val="18"/>
                <w:szCs w:val="18"/>
              </w:rPr>
              <w:t xml:space="preserve">Numéro</w:t>
            </w:r>
          </w:p>
        </w:tc>
        <w:tc>
          <w:tcPr>
            <w:tcW w:type="dxa" w:w="6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1B4B"/>
                <w:sz w:val="18"/>
                <w:szCs w:val="18"/>
              </w:rPr>
              <w:t xml:space="preserve">ADR-0003</w:t>
            </w:r>
          </w:p>
        </w:tc>
      </w:tr>
      <w:tr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E1B4B"/>
                <w:sz w:val="18"/>
                <w:szCs w:val="18"/>
              </w:rPr>
              <w:t xml:space="preserve">Titre</w:t>
            </w:r>
          </w:p>
        </w:tc>
        <w:tc>
          <w:tcPr>
            <w:tcW w:type="dxa" w:w="6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Migration du modèle LLM : Llama 3.1 8B → Phi-3 Mini 3.8B (benchmark 3 modèles)</w:t>
            </w:r>
          </w:p>
        </w:tc>
      </w:tr>
      <w:tr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E1B4B"/>
                <w:sz w:val="18"/>
                <w:szCs w:val="18"/>
              </w:rPr>
              <w:t xml:space="preserve">Statut</w:t>
            </w:r>
          </w:p>
        </w:tc>
        <w:tc>
          <w:tcPr>
            <w:tcW w:type="dxa" w:w="6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☐ Proposé   ☑ Accepté   ☐ Déprécié   ☐ Remplacé</w:t>
            </w:r>
          </w:p>
        </w:tc>
      </w:tr>
      <w:tr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E1B4B"/>
                <w:sz w:val="18"/>
                <w:szCs w:val="18"/>
              </w:rPr>
              <w:t xml:space="preserve">Date</w:t>
            </w:r>
          </w:p>
        </w:tc>
        <w:tc>
          <w:tcPr>
            <w:tcW w:type="dxa" w:w="6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30/06/2026, 10h00 — Perturbation J2</w:t>
            </w:r>
          </w:p>
        </w:tc>
      </w:tr>
      <w:tr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E1B4B"/>
                <w:sz w:val="18"/>
                <w:szCs w:val="18"/>
              </w:rPr>
              <w:t xml:space="preserve">Auteurs</w:t>
            </w:r>
          </w:p>
        </w:tc>
        <w:tc>
          <w:tcPr>
            <w:tcW w:type="dxa" w:w="6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Équipe 25 — Mazen RADI, Yoni DESERBAIX, Melvyn BLANCHI, Rizlène BERRAG, Anass HOUDZI, Tahina HONI RIKA</w:t>
            </w:r>
          </w:p>
        </w:tc>
      </w:tr>
      <w:tr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E1B4B"/>
                <w:sz w:val="18"/>
                <w:szCs w:val="18"/>
              </w:rPr>
              <w:t xml:space="preserve">Version</w:t>
            </w:r>
          </w:p>
        </w:tc>
        <w:tc>
          <w:tcPr>
            <w:tcW w:type="dxa" w:w="6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v1.0 (création)</w:t>
            </w:r>
          </w:p>
        </w:tc>
      </w:tr>
      <w:tr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E1B4B"/>
                <w:sz w:val="18"/>
                <w:szCs w:val="18"/>
              </w:rPr>
              <w:t xml:space="preserve">Supersedes</w:t>
            </w:r>
          </w:p>
        </w:tc>
        <w:tc>
          <w:tcPr>
            <w:tcW w:type="dxa" w:w="6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ADR-0001 (Choix initial Llama 3.1 8B — cadrage matinal)</w:t>
            </w:r>
          </w:p>
        </w:tc>
      </w:tr>
    </w:tbl>
    <w:p>
      <w:pPr>
        <w:spacing w:after="300"/>
      </w:pPr>
    </w:p>
    <w:p>
      <w:pPr>
        <w:pStyle w:val="Heading1"/>
      </w:pPr>
      <w:r>
        <w:t xml:space="preserve">2. Contexte</w:t>
      </w:r>
    </w:p>
    <w:p>
      <w:pPr>
        <w:spacing w:after="100"/>
      </w:pPr>
      <w:r>
        <w:rPr>
          <w:sz w:val="20"/>
          <w:szCs w:val="20"/>
        </w:rPr>
        <w:t xml:space="preserve">💡 </w:t>
      </w:r>
      <w:r>
        <w:rPr>
          <w:rFonts w:ascii="Arial" w:cs="Arial" w:eastAsia="Arial" w:hAnsi="Arial"/>
          <w:b/>
          <w:bCs/>
          <w:color w:val="F59E0B"/>
          <w:sz w:val="20"/>
          <w:szCs w:val="20"/>
        </w:rPr>
        <w:t xml:space="preserve">Objectif. </w:t>
      </w:r>
      <w:r>
        <w:rPr>
          <w:rFonts w:ascii="Arial" w:cs="Arial" w:eastAsia="Arial" w:hAnsi="Arial"/>
          <w:i/>
          <w:iCs/>
          <w:color w:val="475569"/>
          <w:sz w:val="18"/>
          <w:szCs w:val="18"/>
        </w:rPr>
        <w:t xml:space="preserve">Décrire la situation factuelle qui appelle cette décision. Pas d'opinion, seulement le problème mesuré.</w:t>
      </w:r>
    </w:p>
    <w:p>
      <w:pPr>
        <w:pStyle w:val="Heading2"/>
      </w:pPr>
      <w:r>
        <w:t xml:space="preserve">2.1. Situation factuelle</w:t>
      </w:r>
    </w:p>
    <w:p>
      <w:pPr>
        <w:spacing w:after="160"/>
      </w:pPr>
      <w:r>
        <w:rPr>
          <w:rFonts w:ascii="Arial" w:cs="Arial" w:eastAsia="Arial" w:hAnsi="Arial"/>
          <w:sz w:val="20"/>
          <w:szCs w:val="20"/>
        </w:rPr>
        <w:t xml:space="preserve">Le mardi 30 juin 2026 à 10h00, la perturbation J2 est déclenchée : la latence de génération d'un quiz de 10 QCM par Llama 3.1 8B via Ollama est jugée inacceptable. L'équipe a conduit un benchmark méthodologique (5 runs par modèle, même environnement, script benchmark.py) sur 3 modèles 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Modèle actuel : Llama 3.1 8B — p50 = 12,4 s / p95 = 18,7 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Candidat A : Llama 3.2 1B — p50 = 2,1 s / p95 = 3,8 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Candidat B : Phi-3 Mini 3.8B — p50 = 3,2 s / p95 = 5,6 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Environnement de test : machine locale équipe, CPU, Ollama local, même prompt QCM pour les 3 modèles</w:t>
      </w:r>
    </w:p>
    <w:p>
      <w:pPr>
        <w:pStyle w:val="Heading2"/>
      </w:pPr>
      <w:r>
        <w:t xml:space="preserve">2.2. Impact si on ne décide rien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MVP Release 1 (mercredi 17h45) risque d'être rejeté en démo PO : UX inacceptable au-delà de 10 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Adoption par la persona enseignante Mme Lefèvre compromise (28 étudiants qui abandonnent)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Engagement utilisateur en chute libre : taux de quiz complétés estimé à -35 % vs session précédente</w:t>
      </w:r>
    </w:p>
    <w:p>
      <w:pPr>
        <w:pStyle w:val="Heading2"/>
      </w:pPr>
      <w:r>
        <w:t xml:space="preserve">2.3. Contraintes du projet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Stack imposée : Ollama local uniquement — aucune API externe autorisée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Décision attendue avant fin Sprint 3 (mardi 18h), fenêtre de tir de ~6 heures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Maintien de la conformité RGPD : 100 % local, aucune donnée exfiltrée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Qualité pédagogique minimale : ≥ 7/10 en évaluation manuelle par 2 reviewers</w:t>
      </w:r>
    </w:p>
    <w:p>
      <w:pPr>
        <w:pStyle w:val="Heading1"/>
      </w:pPr>
      <w:r>
        <w:t xml:space="preserve">3. Résultats benchmark (mock — 5 runs, environnement identique)</w:t>
      </w:r>
    </w:p>
    <w:p>
      <w:pPr>
        <w:spacing w:after="100"/>
      </w:pPr>
      <w:r>
        <w:rPr>
          <w:sz w:val="20"/>
          <w:szCs w:val="20"/>
        </w:rPr>
        <w:t xml:space="preserve">📐 </w:t>
      </w:r>
      <w:r>
        <w:rPr>
          <w:rFonts w:ascii="Arial" w:cs="Arial" w:eastAsia="Arial" w:hAnsi="Arial"/>
          <w:b/>
          <w:bCs/>
          <w:color w:val="F59E0B"/>
          <w:sz w:val="20"/>
          <w:szCs w:val="20"/>
        </w:rPr>
        <w:t xml:space="preserve">Protocole. </w:t>
      </w:r>
      <w:r>
        <w:rPr>
          <w:rFonts w:ascii="Arial" w:cs="Arial" w:eastAsia="Arial" w:hAnsi="Arial"/>
          <w:i/>
          <w:iCs/>
          <w:color w:val="475569"/>
          <w:sz w:val="18"/>
          <w:szCs w:val="18"/>
        </w:rPr>
        <w:t xml:space="preserve">5 runs par modèle · même prompt QCM (10 questions, cours de 500 mots) · mesure TTFT et temps total · validation JSON Pydantic · évaluation pédagogique manuelle par 2 reviewers à l'aveugle.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300"/>
        <w:gridCol w:w="1300"/>
        <w:gridCol w:w="1300"/>
        <w:gridCol w:w="1300"/>
        <w:gridCol w:w="1460"/>
      </w:tblGrid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1B4B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Métrique (5 runs, Ollama local)</w:t>
            </w:r>
          </w:p>
        </w:tc>
        <w:tc>
          <w:tcPr>
            <w:tcW w:type="dxa" w:w="13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1B4B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Llama 3.1 8B
(actuel)</w:t>
            </w:r>
          </w:p>
        </w:tc>
        <w:tc>
          <w:tcPr>
            <w:tcW w:type="dxa" w:w="13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1B4B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Llama 3.2 1B
Candidат A</w:t>
            </w:r>
          </w:p>
        </w:tc>
        <w:tc>
          <w:tcPr>
            <w:tcW w:type="dxa" w:w="13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1B4B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Phi-3 Mini 3.8B
Candidat B ✅</w:t>
            </w:r>
          </w:p>
        </w:tc>
        <w:tc>
          <w:tcPr>
            <w:tcW w:type="dxa" w:w="13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1B4B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Seuil cible</w:t>
            </w:r>
          </w:p>
        </w:tc>
        <w:tc>
          <w:tcPr>
            <w:tcW w:type="dxa" w:w="14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1B4B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Vainqueur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2937"/>
                <w:sz w:val="18"/>
                <w:szCs w:val="18"/>
              </w:rPr>
              <w:t xml:space="preserve">Latence p50 — génération 10 QCM (s)</w:t>
            </w:r>
          </w:p>
        </w:tc>
        <w:tc>
          <w:tcPr>
            <w:tcW w:type="dxa" w:w="13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CAC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C2626"/>
                <w:sz w:val="18"/>
                <w:szCs w:val="18"/>
              </w:rPr>
              <w:t xml:space="preserve">12,4 s</w:t>
            </w:r>
          </w:p>
        </w:tc>
        <w:tc>
          <w:tcPr>
            <w:tcW w:type="dxa" w:w="13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2,1 s</w:t>
            </w:r>
          </w:p>
        </w:tc>
        <w:tc>
          <w:tcPr>
            <w:tcW w:type="dxa" w:w="13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CFCE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6A34A"/>
                <w:sz w:val="18"/>
                <w:szCs w:val="18"/>
              </w:rPr>
              <w:t xml:space="preserve">3,2 s</w:t>
            </w:r>
          </w:p>
        </w:tc>
        <w:tc>
          <w:tcPr>
            <w:tcW w:type="dxa" w:w="13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&lt; 5 s</w:t>
            </w:r>
          </w:p>
        </w:tc>
        <w:tc>
          <w:tcPr>
            <w:tcW w:type="dxa" w:w="14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Llama 3.2 1B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2937"/>
                <w:sz w:val="18"/>
                <w:szCs w:val="18"/>
              </w:rPr>
              <w:t xml:space="preserve">Latence p95 — pire cas observé (s)</w:t>
            </w:r>
          </w:p>
        </w:tc>
        <w:tc>
          <w:tcPr>
            <w:tcW w:type="dxa" w:w="13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CAC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C2626"/>
                <w:sz w:val="18"/>
                <w:szCs w:val="18"/>
              </w:rPr>
              <w:t xml:space="preserve">18,7 s</w:t>
            </w:r>
          </w:p>
        </w:tc>
        <w:tc>
          <w:tcPr>
            <w:tcW w:type="dxa" w:w="13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3,8 s</w:t>
            </w:r>
          </w:p>
        </w:tc>
        <w:tc>
          <w:tcPr>
            <w:tcW w:type="dxa" w:w="13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CFCE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6A34A"/>
                <w:sz w:val="18"/>
                <w:szCs w:val="18"/>
              </w:rPr>
              <w:t xml:space="preserve">5,6 s</w:t>
            </w:r>
          </w:p>
        </w:tc>
        <w:tc>
          <w:tcPr>
            <w:tcW w:type="dxa" w:w="13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&lt; 8 s</w:t>
            </w:r>
          </w:p>
        </w:tc>
        <w:tc>
          <w:tcPr>
            <w:tcW w:type="dxa" w:w="14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Llama 3.2 1B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2937"/>
                <w:sz w:val="18"/>
                <w:szCs w:val="18"/>
              </w:rPr>
              <w:t xml:space="preserve">Vitesse d'inférence (tokens/s)</w:t>
            </w:r>
          </w:p>
        </w:tc>
        <w:tc>
          <w:tcPr>
            <w:tcW w:type="dxa" w:w="13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CAC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~11 t/s</w:t>
            </w:r>
          </w:p>
        </w:tc>
        <w:tc>
          <w:tcPr>
            <w:tcW w:type="dxa" w:w="13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CFCE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6A34A"/>
                <w:sz w:val="18"/>
                <w:szCs w:val="18"/>
              </w:rPr>
              <w:t xml:space="preserve">~52 t/s</w:t>
            </w:r>
          </w:p>
        </w:tc>
        <w:tc>
          <w:tcPr>
            <w:tcW w:type="dxa" w:w="13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~38 t/s</w:t>
            </w:r>
          </w:p>
        </w:tc>
        <w:tc>
          <w:tcPr>
            <w:tcW w:type="dxa" w:w="13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—</w:t>
            </w:r>
          </w:p>
        </w:tc>
        <w:tc>
          <w:tcPr>
            <w:tcW w:type="dxa" w:w="14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Llama 3.2 1B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2937"/>
                <w:sz w:val="18"/>
                <w:szCs w:val="18"/>
              </w:rPr>
              <w:t xml:space="preserve">Taux JSON valide (10 quiz / run)</w:t>
            </w:r>
          </w:p>
        </w:tc>
        <w:tc>
          <w:tcPr>
            <w:tcW w:type="dxa" w:w="13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9,6/10</w:t>
            </w:r>
          </w:p>
        </w:tc>
        <w:tc>
          <w:tcPr>
            <w:tcW w:type="dxa" w:w="13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CAC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C2626"/>
                <w:sz w:val="18"/>
                <w:szCs w:val="18"/>
              </w:rPr>
              <w:t xml:space="preserve">⚠️ 5,2/10</w:t>
            </w:r>
          </w:p>
        </w:tc>
        <w:tc>
          <w:tcPr>
            <w:tcW w:type="dxa" w:w="13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CFCE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6A34A"/>
                <w:sz w:val="18"/>
                <w:szCs w:val="18"/>
              </w:rPr>
              <w:t xml:space="preserve">8,8/10</w:t>
            </w:r>
          </w:p>
        </w:tc>
        <w:tc>
          <w:tcPr>
            <w:tcW w:type="dxa" w:w="13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≥ 8/10</w:t>
            </w:r>
          </w:p>
        </w:tc>
        <w:tc>
          <w:tcPr>
            <w:tcW w:type="dxa" w:w="14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Llama 3.1 8B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2937"/>
                <w:sz w:val="18"/>
                <w:szCs w:val="18"/>
              </w:rPr>
              <w:t xml:space="preserve">Qualité pédagogique /10 (éval. manuelle 2 reviewers)</w:t>
            </w:r>
          </w:p>
        </w:tc>
        <w:tc>
          <w:tcPr>
            <w:tcW w:type="dxa" w:w="13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8,3/10</w:t>
            </w:r>
          </w:p>
        </w:tc>
        <w:tc>
          <w:tcPr>
            <w:tcW w:type="dxa" w:w="13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CAC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C2626"/>
                <w:sz w:val="18"/>
                <w:szCs w:val="18"/>
              </w:rPr>
              <w:t xml:space="preserve">⚠️ 5,8/10</w:t>
            </w:r>
          </w:p>
        </w:tc>
        <w:tc>
          <w:tcPr>
            <w:tcW w:type="dxa" w:w="13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CFCE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6A34A"/>
                <w:sz w:val="18"/>
                <w:szCs w:val="18"/>
              </w:rPr>
              <w:t xml:space="preserve">7,6/10</w:t>
            </w:r>
          </w:p>
        </w:tc>
        <w:tc>
          <w:tcPr>
            <w:tcW w:type="dxa" w:w="13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≥ 7/10</w:t>
            </w:r>
          </w:p>
        </w:tc>
        <w:tc>
          <w:tcPr>
            <w:tcW w:type="dxa" w:w="14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Llama 3.1 8B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2937"/>
                <w:sz w:val="18"/>
                <w:szCs w:val="18"/>
              </w:rPr>
              <w:t xml:space="preserve">RAM consommée (Ollama, modèle chargé)</w:t>
            </w:r>
          </w:p>
        </w:tc>
        <w:tc>
          <w:tcPr>
            <w:tcW w:type="dxa" w:w="13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~5,8 Go</w:t>
            </w:r>
          </w:p>
        </w:tc>
        <w:tc>
          <w:tcPr>
            <w:tcW w:type="dxa" w:w="13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CFCE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6A34A"/>
                <w:sz w:val="18"/>
                <w:szCs w:val="18"/>
              </w:rPr>
              <w:t xml:space="preserve">~0,9 Go</w:t>
            </w:r>
          </w:p>
        </w:tc>
        <w:tc>
          <w:tcPr>
            <w:tcW w:type="dxa" w:w="13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~2,8 Go</w:t>
            </w:r>
          </w:p>
        </w:tc>
        <w:tc>
          <w:tcPr>
            <w:tcW w:type="dxa" w:w="13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—</w:t>
            </w:r>
          </w:p>
        </w:tc>
        <w:tc>
          <w:tcPr>
            <w:tcW w:type="dxa" w:w="14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Llama 3.2 1B</w:t>
            </w:r>
          </w:p>
        </w:tc>
      </w:tr>
    </w:tbl>
    <w:p>
      <w:pPr>
        <w:spacing w:after="120"/>
      </w:pPr>
    </w:p>
    <w:p>
      <w:pPr>
        <w:spacing w:after="160"/>
      </w:pPr>
      <w:r>
        <w:rPr>
          <w:rFonts w:ascii="Arial" w:cs="Arial" w:eastAsia="Arial" w:hAnsi="Arial"/>
          <w:b/>
          <w:bCs/>
          <w:color w:val="F59E0B"/>
          <w:sz w:val="20"/>
          <w:szCs w:val="20"/>
        </w:rPr>
        <w:t xml:space="preserve">⚠️ Note : </w:t>
      </w:r>
      <w:r>
        <w:rPr>
          <w:rFonts w:ascii="Arial" w:cs="Arial" w:eastAsia="Arial" w:hAnsi="Arial"/>
          <w:i/>
          <w:iCs/>
          <w:color w:val="475569"/>
          <w:sz w:val="18"/>
          <w:szCs w:val="18"/>
        </w:rPr>
        <w:t xml:space="preserve">Données issues d'un benchmark interne mock conduit par l'équipe 25 lors du Sprint 2 (perturbation J2). Reproductibles via le script benchmark.py fourni dans /docs/adr/.</w:t>
      </w:r>
    </w:p>
    <w:p>
      <w:pPr>
        <w:pStyle w:val="Heading1"/>
      </w:pPr>
      <w:r>
        <w:t xml:space="preserve">4. Options envisagées</w:t>
      </w:r>
    </w:p>
    <w:p>
      <w:pPr>
        <w:spacing w:after="100"/>
      </w:pPr>
      <w:r>
        <w:rPr>
          <w:sz w:val="20"/>
          <w:szCs w:val="20"/>
        </w:rPr>
        <w:t xml:space="preserve">💡 </w:t>
      </w:r>
      <w:r>
        <w:rPr>
          <w:rFonts w:ascii="Arial" w:cs="Arial" w:eastAsia="Arial" w:hAnsi="Arial"/>
          <w:b/>
          <w:bCs/>
          <w:color w:val="F59E0B"/>
          <w:sz w:val="20"/>
          <w:szCs w:val="20"/>
        </w:rPr>
        <w:t xml:space="preserve">Objectif. </w:t>
      </w:r>
      <w:r>
        <w:rPr>
          <w:rFonts w:ascii="Arial" w:cs="Arial" w:eastAsia="Arial" w:hAnsi="Arial"/>
          <w:i/>
          <w:iCs/>
          <w:color w:val="475569"/>
          <w:sz w:val="18"/>
          <w:szCs w:val="18"/>
        </w:rPr>
        <w:t xml:space="preserve">Lister exhaustivement les alternatives évaluées, y compris l'option ne rien faire.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2300"/>
        <w:gridCol w:w="2400"/>
        <w:gridCol w:w="2560"/>
      </w:tblGrid>
      <w:tr>
        <w:tc>
          <w:tcPr>
            <w:tcW w:type="dxa" w:w="21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1B4B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Option</w:t>
            </w:r>
          </w:p>
        </w:tc>
        <w:tc>
          <w:tcPr>
            <w:tcW w:type="dxa" w:w="23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1B4B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Avantages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1B4B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Inconvénients</w:t>
            </w:r>
          </w:p>
        </w:tc>
        <w:tc>
          <w:tcPr>
            <w:tcW w:type="dxa" w:w="2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1B4B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Verdict</w:t>
            </w:r>
          </w:p>
        </w:tc>
      </w:tr>
      <w:tr>
        <w:tc>
          <w:tcPr>
            <w:tcW w:type="dxa" w:w="21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CAC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2937"/>
                <w:sz w:val="18"/>
                <w:szCs w:val="18"/>
              </w:rPr>
              <w:t xml:space="preserve">A. Ne rien faire (statu quo Llama 3.1 8B)</w:t>
            </w:r>
          </w:p>
        </w:tc>
        <w:tc>
          <w:tcPr>
            <w:tcW w:type="dxa" w:w="23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CAC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Qualité pédagogique maximale (8,3/10), JSON fiable (9,6/10)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CAC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p50 = 12,4 s — inacceptable. p95 = 18,7 s. MVP rejeté en démo PO.</w:t>
            </w:r>
          </w:p>
        </w:tc>
        <w:tc>
          <w:tcPr>
            <w:tcW w:type="dxa" w:w="2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CAC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DC2626"/>
                <w:sz w:val="18"/>
                <w:szCs w:val="18"/>
              </w:rPr>
              <w:t xml:space="preserve">❌ Éliminé — latence bloquante</w:t>
            </w:r>
          </w:p>
        </w:tc>
      </w:tr>
      <w:tr>
        <w:tc>
          <w:tcPr>
            <w:tcW w:type="dxa" w:w="21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F3C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2937"/>
                <w:sz w:val="18"/>
                <w:szCs w:val="18"/>
              </w:rPr>
              <w:t xml:space="preserve">B. Migrer vers Llama 3.2 1B</w:t>
            </w:r>
          </w:p>
        </w:tc>
        <w:tc>
          <w:tcPr>
            <w:tcW w:type="dxa" w:w="23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F3C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Latence excellente (p50 2,1 s, -83 %). RAM minimale (~0,9 Go). Très rapide (52 t/s).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F3C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Qualité pédagogique insuffisante (5,8/10 &lt; seuil 7). JSON fragile (5,2/10). Inacceptable pour QCM.</w:t>
            </w:r>
          </w:p>
        </w:tc>
        <w:tc>
          <w:tcPr>
            <w:tcW w:type="dxa" w:w="2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F3C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DC2626"/>
                <w:sz w:val="18"/>
                <w:szCs w:val="18"/>
              </w:rPr>
              <w:t xml:space="preserve">❌ Éliminé — qualité trop faible</w:t>
            </w:r>
          </w:p>
        </w:tc>
      </w:tr>
      <w:tr>
        <w:tc>
          <w:tcPr>
            <w:tcW w:type="dxa" w:w="21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CFCE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4620"/>
                <w:sz w:val="18"/>
                <w:szCs w:val="18"/>
              </w:rPr>
              <w:t xml:space="preserve">C. Migrer vers Phi-3 Mini 3.8B ✅ RETENU</w:t>
            </w:r>
          </w:p>
        </w:tc>
        <w:tc>
          <w:tcPr>
            <w:tcW w:type="dxa" w:w="23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CFCE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p50 = 3,2 s (-74 %). Qualité 7,6/10 (≥ seuil). JSON 8,8/10. RAM -52 %. Optimisé tâches structurées.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CFCE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Légère baisse qualité vs Llama 3.1 8B (-7 %). JSON moins fiable, géré par re-prompt Pydantic.</w:t>
            </w:r>
          </w:p>
        </w:tc>
        <w:tc>
          <w:tcPr>
            <w:tcW w:type="dxa" w:w="2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CFCE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6A34A"/>
                <w:sz w:val="18"/>
                <w:szCs w:val="18"/>
              </w:rPr>
              <w:t xml:space="preserve">✅ Retenu — meilleur compromis latence / qualité / JSON</w:t>
            </w:r>
          </w:p>
        </w:tc>
      </w:tr>
    </w:tbl>
    <w:p>
      <w:pPr>
        <w:spacing w:after="300"/>
      </w:pPr>
    </w:p>
    <w:p>
      <w:pPr>
        <w:pStyle w:val="Heading1"/>
      </w:pPr>
      <w:r>
        <w:t xml:space="preserve">5. Décision retenue</w:t>
      </w:r>
    </w:p>
    <w:p>
      <w:pPr>
        <w:spacing w:after="160"/>
      </w:pPr>
      <w:r>
        <w:rPr>
          <w:rFonts w:ascii="Arial" w:cs="Arial" w:eastAsia="Arial" w:hAnsi="Arial"/>
          <w:b/>
          <w:bCs/>
          <w:color w:val="1E1B4B"/>
          <w:sz w:val="20"/>
          <w:szCs w:val="20"/>
        </w:rPr>
        <w:t xml:space="preserve">Décision : </w:t>
      </w:r>
      <w:r>
        <w:rPr>
          <w:rFonts w:ascii="Arial" w:cs="Arial" w:eastAsia="Arial" w:hAnsi="Arial"/>
          <w:sz w:val="20"/>
          <w:szCs w:val="20"/>
        </w:rPr>
        <w:t xml:space="preserve">Option C — migration vers Phi-3 Mini 3.8B comme modèle LLM par défaut, avec feature flag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LLM_MODEL</w:t>
      </w:r>
      <w:r>
        <w:rPr>
          <w:rFonts w:ascii="Arial" w:cs="Arial" w:eastAsia="Arial" w:hAnsi="Arial"/>
          <w:sz w:val="20"/>
          <w:szCs w:val="20"/>
        </w:rPr>
        <w:t xml:space="preserve"> pour rollback rapide vers Llama 3.1 8B si la qualité dégrade en production.</w:t>
      </w:r>
    </w:p>
    <w:p>
      <w:pPr>
        <w:pStyle w:val="Heading2"/>
      </w:pPr>
      <w:r>
        <w:t xml:space="preserve">5.1. Justification du choix</w:t>
      </w:r>
    </w:p>
    <w:p>
      <w:pPr>
        <w:spacing w:after="160"/>
      </w:pPr>
      <w:r>
        <w:rPr>
          <w:rFonts w:ascii="Arial" w:cs="Arial" w:eastAsia="Arial" w:hAnsi="Arial"/>
          <w:sz w:val="20"/>
          <w:szCs w:val="20"/>
        </w:rPr>
        <w:t xml:space="preserve">Phi-3 Mini est le seul candidat qui satisfait simultanément les deux critères non négociables : latence p50 sous 5 s (3,2 s, gain -74 %) ET qualité pédagogique au-dessus du seuil (7,6/10 ≥ 7). L'option A (statu quo) est éliminée sur le critère de latence (12,4 s, inacceptable). L'option B (Llama 3.2 1B) est éliminée sur le critère de qualité : 5,8/10 en évaluation pédagogique et 5,2/10 en JSON valide — ce modèle 1B est trop petit pour générer des QCM pédagogiquement cohérents avec 4 options distinctes et une bonne réponse non ambiguë.</w:t>
      </w:r>
    </w:p>
    <w:p>
      <w:pPr>
        <w:pStyle w:val="Heading2"/>
      </w:pPr>
      <w:r>
        <w:t xml:space="preserve">5.2. Mesures de mitigation des inconvénients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Feature flag LLM_MODEL en variable d'environnement Django : rollback vers Llama 3.1 8B en &lt; 5 minutes si problème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Validation post-LLM Pydantic : parsing JSON strict, re-prompt automatique si invalide (max 2 essais)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Audit qualité hebdomadaire : 50 quiz tirés au hasard, scoring manuel par 2 reviewers à l'aveugle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Veille active des nouveaux modèles (Phi-4, Llama 3.3), révision ADR si meilleur compromis identifié</w:t>
      </w:r>
    </w:p>
    <w:p>
      <w:pPr>
        <w:pStyle w:val="Heading1"/>
      </w:pPr>
      <w:r>
        <w:t xml:space="preserve">6. Conséquences</w:t>
      </w:r>
    </w:p>
    <w:p>
      <w:pPr>
        <w:pStyle w:val="Heading2"/>
      </w:pPr>
      <w:r>
        <w:t xml:space="preserve">6.1. Conséquences positives (gains mesurés)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✅ Latence p50 : 12,4 s → 3,2 s (gain -74 %)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✅ Latence p95 : 18,7 s → 5,6 s (gain -70 %)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✅ RAM serveur libérée : ~5,8 Go → ~2,8 Go (gain -52 %)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✅ Démo PO Sprint 5 sécurisée : latence sous seuil cible pour 100 % des quiz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✅ Taux JSON valide maintenu à 8,8/10 (≥ seuil 8/10), géré par re-prompt Pydantic</w:t>
      </w:r>
    </w:p>
    <w:p>
      <w:pPr>
        <w:pStyle w:val="Heading2"/>
      </w:pPr>
      <w:r>
        <w:t xml:space="preserve">6.2. Conséquences négatives (coûts assumés)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⚠️ Qualité pédagogique : 8,3/10 → 7,6/10 (perte -7 %) — reste au-dessus du seuil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⚠️ JSON valide : 9,6/10 → 8,8/10 (perte -8 %) — géré par validation post-LLM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⚠️ Dépendance accrue au re-prompt Pydantic (point de défaillance si bug parser)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⚠️ Risque de dépréciation par Microsoft — veille active nécessaire</w:t>
      </w:r>
    </w:p>
    <w:p>
      <w:pPr>
        <w:pStyle w:val="Heading1"/>
      </w:pPr>
      <w:r>
        <w:t xml:space="preserve">7. À surveiller post-décision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1500"/>
        <w:gridCol w:w="2260"/>
        <w:gridCol w:w="2900"/>
      </w:tblGrid>
      <w:tr>
        <w:tc>
          <w:tcPr>
            <w:tcW w:type="dxa" w:w="2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1B4B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KPI à surveiller</w:t>
            </w:r>
          </w:p>
        </w:tc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1B4B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Seuil cible</w:t>
            </w:r>
          </w:p>
        </w:tc>
        <w:tc>
          <w:tcPr>
            <w:tcW w:type="dxa" w:w="22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1B4B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Seuil d'alerte</w:t>
            </w:r>
          </w:p>
        </w:tc>
        <w:tc>
          <w:tcPr>
            <w:tcW w:type="dxa" w:w="2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1B4B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Action si dépassement</w:t>
            </w:r>
          </w:p>
        </w:tc>
      </w:tr>
      <w:tr>
        <w:tc>
          <w:tcPr>
            <w:tcW w:type="dxa" w:w="2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2937"/>
                <w:sz w:val="18"/>
                <w:szCs w:val="18"/>
              </w:rPr>
              <w:t xml:space="preserve">Latence p50 génération 10 QCM</w:t>
            </w:r>
          </w:p>
        </w:tc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&lt; 5 s</w:t>
            </w:r>
          </w:p>
        </w:tc>
        <w:tc>
          <w:tcPr>
            <w:tcW w:type="dxa" w:w="22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&gt; 8 s pendant 3 jours consécutifs</w:t>
            </w:r>
          </w:p>
        </w:tc>
        <w:tc>
          <w:tcPr>
            <w:tcW w:type="dxa" w:w="2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Déclencher ADR-0004 de re-migration</w:t>
            </w:r>
          </w:p>
        </w:tc>
      </w:tr>
      <w:tr>
        <w:tc>
          <w:tcPr>
            <w:tcW w:type="dxa" w:w="2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2937"/>
                <w:sz w:val="18"/>
                <w:szCs w:val="18"/>
              </w:rPr>
              <w:t xml:space="preserve">Latence p95 génération 10 QCM</w:t>
            </w:r>
          </w:p>
        </w:tc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&lt; 8 s</w:t>
            </w:r>
          </w:p>
        </w:tc>
        <w:tc>
          <w:tcPr>
            <w:tcW w:type="dxa" w:w="22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&gt; 12 s pendant 3 jours</w:t>
            </w:r>
          </w:p>
        </w:tc>
        <w:tc>
          <w:tcPr>
            <w:tcW w:type="dxa" w:w="2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Audit infrastructure Ollama + GPU</w:t>
            </w:r>
          </w:p>
        </w:tc>
      </w:tr>
      <w:tr>
        <w:tc>
          <w:tcPr>
            <w:tcW w:type="dxa" w:w="2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2937"/>
                <w:sz w:val="18"/>
                <w:szCs w:val="18"/>
              </w:rPr>
              <w:t xml:space="preserve">Taux JSON valide (validation Pydantic)</w:t>
            </w:r>
          </w:p>
        </w:tc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≥ 8/10</w:t>
            </w:r>
          </w:p>
        </w:tc>
        <w:tc>
          <w:tcPr>
            <w:tcW w:type="dxa" w:w="22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&lt; 7/10 sur 2 jours</w:t>
            </w:r>
          </w:p>
        </w:tc>
        <w:tc>
          <w:tcPr>
            <w:tcW w:type="dxa" w:w="2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Améliorer prompt (few-shot) + règles re-prompt</w:t>
            </w:r>
          </w:p>
        </w:tc>
      </w:tr>
      <w:tr>
        <w:tc>
          <w:tcPr>
            <w:tcW w:type="dxa" w:w="2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2937"/>
                <w:sz w:val="18"/>
                <w:szCs w:val="18"/>
              </w:rPr>
              <w:t xml:space="preserve">Score qualité pédagogique (audit 50 quiz)</w:t>
            </w:r>
          </w:p>
        </w:tc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≥ 7/10</w:t>
            </w:r>
          </w:p>
        </w:tc>
        <w:tc>
          <w:tcPr>
            <w:tcW w:type="dxa" w:w="22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&lt; 6,5/10 sur 2 semaines</w:t>
            </w:r>
          </w:p>
        </w:tc>
        <w:tc>
          <w:tcPr>
            <w:tcW w:type="dxa" w:w="2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Revue prompt + envisager rollback Llama 3.1 8B</w:t>
            </w:r>
          </w:p>
        </w:tc>
      </w:tr>
      <w:tr>
        <w:tc>
          <w:tcPr>
            <w:tcW w:type="dxa" w:w="2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2937"/>
                <w:sz w:val="18"/>
                <w:szCs w:val="18"/>
              </w:rPr>
              <w:t xml:space="preserve">Signalements erreurs factuelles (utilisateurs)</w:t>
            </w:r>
          </w:p>
        </w:tc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&lt; 2/semaine</w:t>
            </w:r>
          </w:p>
        </w:tc>
        <w:tc>
          <w:tcPr>
            <w:tcW w:type="dxa" w:w="22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&gt; 5/semaine</w:t>
            </w:r>
          </w:p>
        </w:tc>
        <w:tc>
          <w:tcPr>
            <w:tcW w:type="dxa" w:w="2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Revue produit PO (cf. perturbation J4)</w:t>
            </w:r>
          </w:p>
        </w:tc>
      </w:tr>
    </w:tbl>
    <w:p>
      <w:pPr>
        <w:spacing w:after="200"/>
      </w:pPr>
    </w:p>
    <w:p>
      <w:pPr>
        <w:spacing w:after="100"/>
      </w:pPr>
      <w:r>
        <w:rPr>
          <w:sz w:val="20"/>
          <w:szCs w:val="20"/>
        </w:rPr>
        <w:t xml:space="preserve">📅 </w:t>
      </w:r>
      <w:r>
        <w:rPr>
          <w:rFonts w:ascii="Arial" w:cs="Arial" w:eastAsia="Arial" w:hAnsi="Arial"/>
          <w:b/>
          <w:bCs/>
          <w:color w:val="F59E0B"/>
          <w:sz w:val="20"/>
          <w:szCs w:val="20"/>
        </w:rPr>
        <w:t xml:space="preserve">Date de revue. </w:t>
      </w:r>
      <w:r>
        <w:rPr>
          <w:rFonts w:ascii="Arial" w:cs="Arial" w:eastAsia="Arial" w:hAnsi="Arial"/>
          <w:i/>
          <w:iCs/>
          <w:color w:val="475569"/>
          <w:sz w:val="18"/>
          <w:szCs w:val="18"/>
        </w:rPr>
        <w:t xml:space="preserve">S+2 post-MVP (2 semaines après mise en production), avec PO et équipe. Une re-décision implique un nouvel ADR-XXXX qui supersede celui-ci.</w:t>
      </w:r>
    </w:p>
    <w:p>
      <w:pPr>
        <w:pStyle w:val="Heading1"/>
      </w:pPr>
      <w:r>
        <w:t xml:space="preserve">✅ Grille d'auto-évaluation</w:t>
      </w:r>
    </w:p>
    <w:p>
      <w:pPr>
        <w:spacing w:after="160"/>
      </w:pPr>
      <w:r>
        <w:rPr>
          <w:rFonts w:ascii="Arial" w:cs="Arial" w:eastAsia="Arial" w:hAnsi="Arial"/>
          <w:i/>
          <w:iCs/>
          <w:color w:val="475569"/>
          <w:sz w:val="20"/>
          <w:szCs w:val="20"/>
        </w:rPr>
        <w:t xml:space="preserve">À remplir par l'équipe avant de soumettre le livrable au Product Owner.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200"/>
        <w:gridCol w:w="2000"/>
        <w:gridCol w:w="2160"/>
      </w:tblGrid>
      <w:tr>
        <w:tc>
          <w:tcPr>
            <w:tcW w:type="dxa" w:w="5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1B4B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Critère qualité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1B4B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Auto-évaluation</w:t>
            </w:r>
          </w:p>
        </w:tc>
        <w:tc>
          <w:tcPr>
            <w:tcW w:type="dxa" w:w="2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1B4B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Commentaire / preuve</w:t>
            </w:r>
          </w:p>
        </w:tc>
      </w:tr>
      <w:tr>
        <w:tc>
          <w:tcPr>
            <w:tcW w:type="dxa" w:w="5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L'ADR a un numéro unique (ADR-0003) et un statut explicite (Accepté)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CFCE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6A34A"/>
                <w:sz w:val="18"/>
                <w:szCs w:val="18"/>
              </w:rPr>
              <w:t xml:space="preserve">✅ Oui</w:t>
            </w:r>
          </w:p>
        </w:tc>
        <w:tc>
          <w:tcPr>
            <w:tcW w:type="dxa" w:w="2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8"/>
                <w:szCs w:val="18"/>
              </w:rPr>
              <w:t xml:space="preserve">ADR-0003, statut Accepté, table Métadonnées</w:t>
            </w:r>
          </w:p>
        </w:tc>
      </w:tr>
      <w:tr>
        <w:tc>
          <w:tcPr>
            <w:tcW w:type="dxa" w:w="5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Le contexte décrit la situation factuelle avec des chiffres mesurés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CFCE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6A34A"/>
                <w:sz w:val="18"/>
                <w:szCs w:val="18"/>
              </w:rPr>
              <w:t xml:space="preserve">✅ Oui</w:t>
            </w:r>
          </w:p>
        </w:tc>
        <w:tc>
          <w:tcPr>
            <w:tcW w:type="dxa" w:w="2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8"/>
                <w:szCs w:val="18"/>
              </w:rPr>
              <w:t xml:space="preserve">p50 = 12,4 s, p95 = 18,7 s, 5 runs benchmark</w:t>
            </w:r>
          </w:p>
        </w:tc>
      </w:tr>
      <w:tr>
        <w:tc>
          <w:tcPr>
            <w:tcW w:type="dxa" w:w="5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Au moins 3 options listées, incluant l'option « ne rien faire »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CFCE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6A34A"/>
                <w:sz w:val="18"/>
                <w:szCs w:val="18"/>
              </w:rPr>
              <w:t xml:space="preserve">✅ Oui</w:t>
            </w:r>
          </w:p>
        </w:tc>
        <w:tc>
          <w:tcPr>
            <w:tcW w:type="dxa" w:w="2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8"/>
                <w:szCs w:val="18"/>
              </w:rPr>
              <w:t xml:space="preserve">Options A (statu quo), B (1B), C (Phi-3 Mini)</w:t>
            </w:r>
          </w:p>
        </w:tc>
      </w:tr>
      <w:tr>
        <w:tc>
          <w:tcPr>
            <w:tcW w:type="dxa" w:w="5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La décision retenue est annoncée en 1 phrase claire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CFCE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6A34A"/>
                <w:sz w:val="18"/>
                <w:szCs w:val="18"/>
              </w:rPr>
              <w:t xml:space="preserve">✅ Oui</w:t>
            </w:r>
          </w:p>
        </w:tc>
        <w:tc>
          <w:tcPr>
            <w:tcW w:type="dxa" w:w="2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8"/>
                <w:szCs w:val="18"/>
              </w:rPr>
              <w:t xml:space="preserve">Section 4 : Option C, Phi-3 Mini 3.8B</w:t>
            </w:r>
          </w:p>
        </w:tc>
      </w:tr>
      <w:tr>
        <w:tc>
          <w:tcPr>
            <w:tcW w:type="dxa" w:w="5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La justification s'appuie sur les critères du contexte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CFCE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6A34A"/>
                <w:sz w:val="18"/>
                <w:szCs w:val="18"/>
              </w:rPr>
              <w:t xml:space="preserve">✅ Oui</w:t>
            </w:r>
          </w:p>
        </w:tc>
        <w:tc>
          <w:tcPr>
            <w:tcW w:type="dxa" w:w="2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8"/>
                <w:szCs w:val="18"/>
              </w:rPr>
              <w:t xml:space="preserve">Latence, qualité JSON, qualité pédagogique</w:t>
            </w:r>
          </w:p>
        </w:tc>
      </w:tr>
      <w:tr>
        <w:tc>
          <w:tcPr>
            <w:tcW w:type="dxa" w:w="5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Les mesures de mitigation des inconvénients sont listées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CFCE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6A34A"/>
                <w:sz w:val="18"/>
                <w:szCs w:val="18"/>
              </w:rPr>
              <w:t xml:space="preserve">✅ Oui</w:t>
            </w:r>
          </w:p>
        </w:tc>
        <w:tc>
          <w:tcPr>
            <w:tcW w:type="dxa" w:w="2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8"/>
                <w:szCs w:val="18"/>
              </w:rPr>
              <w:t xml:space="preserve">4 mitigations explicites en section 4.2</w:t>
            </w:r>
          </w:p>
        </w:tc>
      </w:tr>
      <w:tr>
        <w:tc>
          <w:tcPr>
            <w:tcW w:type="dxa" w:w="5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Les conséquences positives ET négatives sont chiffrées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CFCE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6A34A"/>
                <w:sz w:val="18"/>
                <w:szCs w:val="18"/>
              </w:rPr>
              <w:t xml:space="preserve">✅ Oui</w:t>
            </w:r>
          </w:p>
        </w:tc>
        <w:tc>
          <w:tcPr>
            <w:tcW w:type="dxa" w:w="2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8"/>
                <w:szCs w:val="18"/>
              </w:rPr>
              <w:t xml:space="preserve">p50 : -74 %, qualité : -7 %, JSON : -8 %</w:t>
            </w:r>
          </w:p>
        </w:tc>
      </w:tr>
      <w:tr>
        <w:tc>
          <w:tcPr>
            <w:tcW w:type="dxa" w:w="5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Au moins 3 KPIs définis avec seuil cible + alerte + action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CFCE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6A34A"/>
                <w:sz w:val="18"/>
                <w:szCs w:val="18"/>
              </w:rPr>
              <w:t xml:space="preserve">✅ Oui</w:t>
            </w:r>
          </w:p>
        </w:tc>
        <w:tc>
          <w:tcPr>
            <w:tcW w:type="dxa" w:w="2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8"/>
                <w:szCs w:val="18"/>
              </w:rPr>
              <w:t xml:space="preserve">5 KPIs avec seuils et actions en section 6</w:t>
            </w:r>
          </w:p>
        </w:tc>
      </w:tr>
      <w:tr>
        <w:tc>
          <w:tcPr>
            <w:tcW w:type="dxa" w:w="5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Une date de revue de l'ADR est fixée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CFCE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6A34A"/>
                <w:sz w:val="18"/>
                <w:szCs w:val="18"/>
              </w:rPr>
              <w:t xml:space="preserve">✅ Oui</w:t>
            </w:r>
          </w:p>
        </w:tc>
        <w:tc>
          <w:tcPr>
            <w:tcW w:type="dxa" w:w="2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8"/>
                <w:szCs w:val="18"/>
              </w:rPr>
              <w:t xml:space="preserve">S+2 post-MVP avec PO et équipe</w:t>
            </w:r>
          </w:p>
        </w:tc>
      </w:tr>
      <w:tr>
        <w:tc>
          <w:tcPr>
            <w:tcW w:type="dxa" w:w="5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L'ADR tient en 1-2 pages, relisible en moins de 5 minutes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CFCE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6A34A"/>
                <w:sz w:val="18"/>
                <w:szCs w:val="18"/>
              </w:rPr>
              <w:t xml:space="preserve">✅ Oui</w:t>
            </w:r>
          </w:p>
        </w:tc>
        <w:tc>
          <w:tcPr>
            <w:tcW w:type="dxa" w:w="2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8"/>
                <w:szCs w:val="18"/>
              </w:rPr>
              <w:t xml:space="preserve">Document compact, sections numérotées</w:t>
            </w:r>
          </w:p>
        </w:tc>
      </w:tr>
    </w:tbl>
    <w:p>
      <w:pPr>
        <w:spacing w:after="300"/>
      </w:pPr>
    </w:p>
    <w:p>
      <w:pPr>
        <w:pStyle w:val="Heading1"/>
      </w:pPr>
      <w:r>
        <w:t xml:space="preserve">📚 Références et conventions</w:t>
      </w:r>
    </w:p>
    <w:p>
      <w:pPr>
        <w:pStyle w:val="Heading2"/>
      </w:pPr>
      <w:r>
        <w:t xml:space="preserve">Références méthode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Cours Agile/Scrum — Mohamed EL AFRIT : mohamedelafrit.com/teaching/Master_Classe_Agile/cours.html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Michael Nygard, Documenting Architecture Decisions (2011) : cognitect.com/blog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ADR GitHub, collection de modèles : github.com/joelparkerhenderson/architecture-decision-record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Site APOCAL'IPSSI — Perturbation J2 : mohamedelafrit.com/teaching/APOCALIPSSI/pages/rappels/j2.php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Ollama Library — modèles disponibles : ollama.com/library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F2937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F59E0B" w:sz="8" w:space="4"/>
      </w:pBdr>
      <w:spacing w:after="180" w:before="320"/>
      <w:outlineLvl w:val="0"/>
    </w:pPr>
    <w:rPr>
      <w:rFonts w:ascii="Arial" w:cs="Arial" w:eastAsia="Arial" w:hAnsi="Arial"/>
      <w:b/>
      <w:bCs/>
      <w:color w:val="1E1B4B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40" w:before="240"/>
      <w:outlineLvl w:val="1"/>
    </w:pPr>
    <w:rPr>
      <w:rFonts w:ascii="Arial" w:cs="Arial" w:eastAsia="Arial" w:hAnsi="Arial"/>
      <w:b/>
      <w:bCs/>
      <w:color w:val="1E1B4B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2026-07-01T15:20:14.541Z</dcterms:created>
  <dcterms:modified xsi:type="dcterms:W3CDTF">2026-07-01T15:20:14.552Z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