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497D"/>
          <w:sz w:val="36"/>
        </w:rPr>
        <w:t>ОТЧЁТ</w:t>
        <w:br/>
        <w:t>по результатам исследования ИТ-ландшафта</w:t>
        <w:br/>
        <w:t>АО «Эмбамунайгаз»</w:t>
      </w:r>
    </w:p>
    <w:p/>
    <w:p>
      <w:pPr>
        <w:jc w:val="center"/>
      </w:pPr>
      <w:r>
        <w:rPr>
          <w:rFonts w:ascii="Calibri" w:hAnsi="Calibri"/>
          <w:color w:val="2E74B5"/>
          <w:sz w:val="26"/>
        </w:rPr>
        <w:t>Месторождение В. Молдабек (НГДУ «Кайнармунайгаз»)</w:t>
        <w:br/>
        <w:t>Месторождение С. Нуржанова (НГДУ «Жылыоймунайгаз»)</w:t>
      </w:r>
    </w:p>
    <w:p/>
    <w:p/>
    <w:p>
      <w:pPr>
        <w:jc w:val="center"/>
      </w:pPr>
      <w:r>
        <w:rPr>
          <w:rFonts w:ascii="Calibri" w:hAnsi="Calibri"/>
          <w:i/>
          <w:color w:val="606060"/>
          <w:sz w:val="22"/>
        </w:rPr>
        <w:t>Июнь 2026</w:t>
        <w:br/>
        <w:t>АО «Эмбамунайгаз» | АО НК «КазМунайГаз»</w:t>
      </w:r>
    </w:p>
    <w:p>
      <w:r>
        <w:br w:type="page"/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1. Цель исследования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Настоящий отчёт подготовлен в рамках Этапа 2 проекта по анализу текущего ИТ-ландшафта блока UPSTREAM АО НК «КазМунайГаз» (исполнитель — ESP WELLTECH SERVICES – FZCO) применительно к активам АО «Эмбамунайгаз» (ЭМГ): месторождению В. Молдабек и месторождению С. Нуржанова.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Основные задачи исследования: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описание совокупности информационных систем, применяемых для управления производственными и корпоративными процессами;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анализ интеграционной архитектуры: протоколы, форматы, частота обмена, направления потоков;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выявление «серых зон» и рисков в части данных, интеграций, управляемости ИТ и кибербезопасности;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формирование рекомендаций по устранению выявленных пробелов и подготовке инфраструктуры к внедрению Цифрового двойника.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2. Объект исследования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АО «Эмбамунайгаз» (ЭМГ) — дочернее зависимое общество АО НК «КазМунайГаз» (КМГ). Входит в периметр корпоративных ИТ-сервисов группы КМГ. Исследование охватывает два актива: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26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Актив</w:t>
            </w:r>
          </w:p>
        </w:tc>
        <w:tc>
          <w:tcPr>
            <w:tcW w:type="dxa" w:w="283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НГДУ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Скважин всего</w:t>
            </w:r>
          </w:p>
        </w:tc>
        <w:tc>
          <w:tcPr>
            <w:tcW w:type="dxa" w:w="226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Оснащены ИСУ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АГЗУ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В. Молдабек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«Кайнармунайгаз»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360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331 (91,9%)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С. Нуржанова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«Жылыоймунайгаз»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148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125 (84,5%)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19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ИТ-ландшафт ЭМГ построен в гибридной модели размещения: собственный центр обработки данных (ЦОД) + платформа IaaS ТОО «Qazcloud» (виртуализация VMware). Большая часть корпоративных ИС размещена в облаке; в ЦОД сосредоточены производственные системы, технически не выносимые в облако.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3. Реестр информационных систем ЭМГ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В ходе исследования зафиксированы 19 информационных систем, используемых ЭМГ в рамках корпоративного и производственного контуров. Системы сгруппированы по функциональным доменам.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3.1 Производственный учёт и аналитика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68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ИС ABAI</w:t>
              <w:br/>
              <w:t>abai.kmg.kz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Централизованная производственная ИС группы КМГ. Фонд скважин, история эксплуатации, параметры добычи и закачки, отчётность. 17 модулей; реализовано 6 из 58 отчётных форм, 52 — в доработке. С Q4 2024 является ядром данных группы (заменила ТБД).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КЦ КМГ, ЭМГ, КМГИ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ИМ (SQL), СДМО (ODBC), SAP (частично)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 «Интеллектуальное месторождение» (ИМ)</w:t>
              <w:br/>
              <w:t>10.32.10.99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OT-хаб: централизованный сбор телеметрии от АСУТП, АГЗУ, ИСУ, КУУН, СДМО через OPC UA / Modbus TCP / SQL. Django/Celery + cron. Передаёт агрегированные данные в аналитику ЭМГ (:8099) и SMTP-уведомления.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ABAI, СДМО, АСУТП, АГЗУ, КУУН, Аналитика :8099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АСДЦ</w:t>
              <w:br/>
              <w:t>iis.thkmg.kz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Аналитика диспетчерского центра. Смежный контур с ABAI и телеметрией промысла.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ABAI / ИМ (диспетчеризация)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Жулдыз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Система мониторинга месторождения.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Active Directory (LDAP)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СДМО (Danfoss MCO-101)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Дистанционный мониторинг ИСУ VLT SALT. Собирает суточные параметры и статус УШГН/УЭВН с 456 скважин двух месторождений.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ИМ (MySQL ODBC, ежечасно)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3.2 Финансы, кадры и закупки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68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Центральный хаб финансовых и кадровых интеграций. Финансовый учёт, МТР, кадровый контур. Интегрирован с ~13 внешними системами.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ЭМГ, КЦ КМГ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Нацбанк, ЭСФ, БВУ, 1С, АСУНСИ, ИС УТО, SCADA, AVR, Documentum, Platts, СИЗ, FC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1С (зарплата)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Расчёт заработной платы. Получает данные из SAP ERP.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 (CSV, пакетно)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SAS-FM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Финансовое планирование и бюджетирование. Интегрирован с SAP BW/R3.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SAP BW, SAP R/3 (RFC, .sas7bdat, CSV)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ПК «Управление персоналом»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Кадровый учёт, табельные данные. Двусторонний обмен с SAP ERP.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 (SOAP, DB functions), Электронный архив (CMIS)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Procu / Price</w:t>
              <w:br/>
              <w:t>price.kmg.kz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Управление закупками. Интегрирован с АСУНСИ (НСИ) и ИСЭЗ (Самрук-Казына).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АСУНСИ, ИСЭЗ, Active Directory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AVR + SAP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Акты выполненных работ по договорам подряда. Двусторонний обмен с SAP ERP.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 (API XML, двусторонний)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3.3 Документооборот и архив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68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Directum / САПФИР</w:t>
              <w:br/>
              <w:t>docs.kmg.kz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СЭД, электронный документооборот, BPM. Основная платформа согласования документов группы КМГ. Также используется как САПФИР — мониторинг КПД.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КЦ КМГ, ЭМГ, КМГИ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Active Directory (LDAP), КХД КМГ (sPoint)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Alfresco ECM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Управление корпоративным контентом.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Active Directory (LDAP)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Электронный архив (Азия-Софт)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Архивирование договоров и первичных документов. Ранее использовался Documentum (выведен из эксплуатации).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SAP ERP (API), ПК «Управление персоналом» (CMIS)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3.4 Транспорт и GPS-мониторинг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68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ИС «УТО ЭМГ»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Управление транспортным обеспечением ЭМГ. Данные от Argus Pro → ИС УТО → SAP ERP.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ИС «УТО» → SAP ERP (SOAP XML)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Argus Pro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GPS-мониторинг транспорта. Введён в промышленную эксплуатацию с 2025 г. Заменил CityPoint (эксплуатировался в 2021–2024 гг., выведен из облачной сервисной модели).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 «УТО ЭМГ» (REST JSON)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3.5 Информационная безопасность и идентификация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402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83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Active Directory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8"/>
              </w:rPr>
              <w:t>Единый источник учётных записей (IdP). LDAP-интеграция для 8+ ИС.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ЭМГ, КЦ КМГ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Directum, Alfresco, КГИС, Solar Dozor, FUDO PAM, E-Pass, Жулдыз, Procu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Solar Dozor (DLP)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Система предотвращения утечек данных. Перехват почтового трафика и веб.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MS Exchange (BCC), Forcepoint Web Gateway (ICAP), AD (LDAP)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FUDO PAM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8"/>
              </w:rPr>
              <w:t>Управление привилегированным доступом.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Active Directory (LDAP)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E-Pass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Электронные пропуска / СКУД.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Active Directory (LDAP)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ОЦИБ Qazcloud (внешний SOC)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8"/>
              </w:rPr>
              <w:t>Мониторинг событий ИБ 24×7. Регламентное SLA зафиксировано в соглашении о взаимодействии. Остаточная ответственность — на ЭМГ.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Qazcloud IaaS (SIEM)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SMAX (ITSM)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Централизованная для КМГ платформа управления ИТ-сервисами. Внедрена в ЭМГ с 2023 г. (на схеме ошибочно обозначена как отсутствующая).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КЦ КМГ, ЭМГ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Service Desk (телефон, e-mail)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3.6 Прочие корпоративные системы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</w:t>
            </w:r>
          </w:p>
        </w:tc>
        <w:tc>
          <w:tcPr>
            <w:tcW w:type="dxa" w:w="368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Описание / функция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Связь с другими ИС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sPoint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Наряды-допуски на производстве.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КХД АО НК КМГ (REST JSON)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КГИС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Геоинформационная система.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Active Directory (LDAP)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ИСОТ / ЭНД</w:t>
              <w:br/>
              <w:t>hse.kmg.kz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Охрана труда, промышленная безопасность, экологический мониторинг.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КЦ КМГ, ЭМГ, КМГИ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ABAI (нарушения СИЗ, добыча), AD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ИСУП</w:t>
              <w:br/>
              <w:t>pmo.kmg.kz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Управление проектами.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ЭМГ, КМГИ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Compliance Control</w:t>
              <w:br/>
              <w:t>compliance.kmg.kz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18"/>
              </w:rPr>
              <w:t>Комплаенс-контроль.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КЦ КМГ, ЭМГ, КМГИ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Active Directory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Портал Team / Интранет</w:t>
              <w:br/>
              <w:t>kmg.kz / intranet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Корпоративный портал КМГ, внутренняя коммуникация.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КЦ КМГ, ЭМГ, КМГИ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Active Directory</w:t>
            </w:r>
          </w:p>
        </w:tc>
      </w:tr>
    </w:tbl>
    <w:p/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4. Интеграционная архитектура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Интеграционный ландшафт ЭМГ строится вокруг трёх центров притяжения: SAP ERP (финансово-кадровый хаб), ИС «Интеллектуальное месторождение» (OT-хаб) и Active Directory (служба каталогов). Централизованная интеграционная платформа (ESB / API Gateway) в ЭМГ отсутствует; обмен между ИС реализован по схеме «точка-точка».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4.1 SAP ERP — финансово-кадровый хаб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Контрагент</w:t>
            </w:r>
          </w:p>
        </w:tc>
        <w:tc>
          <w:tcPr>
            <w:tcW w:type="dxa" w:w="311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Данные</w:t>
            </w:r>
          </w:p>
        </w:tc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Протокол / формат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Направление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АСУНСИ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Нормативно-справочная информация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SAP PO /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 УТО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Транспорт, объекты, операции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API XML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AVR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Договора, акты выполненных работ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API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Электронный архив / Documentum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Карточки договоров, акты, накладные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API / CMIS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1С (зарплата)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Суммы заработной платы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CSV, пакетно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SAP →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ПК «Управление персоналом»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Табельные номера, кадровые данные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SOAP / DB functions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FC (финансовая консолидация)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Данные ЕКП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CSV, пакетно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SAP →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Нацбанк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Официальные курсы валют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XML, ежедневно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→ SAP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БВУ (банки)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Банковские выписки, платежи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MT940 / MT103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 ЭСФ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Счета-фактуры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XML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↔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Platts.com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Котировки нефти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→ SAP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СИЗ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Финансовые данные по СИЗ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XLSX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→ SAP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SCADA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Данные по оборудованию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API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→ SAP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4.2 ИС «Интеллектуальное месторождение» (ИМ) — OT-хаб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ИМ является центральным интеграционным узлом промыслового уровня. Сбор данных выполняется по расписанию (cron + Django/Celery + сигналы post_save).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3118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Данные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Протокол / формат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Частота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ИС ABAI (PostgreSQL)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Фонд скважин, статусы, техрежимы, история ремонтов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SQL read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08:00 / 13:30 / 18:00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ИСУН (Kepware OPC DA, 192.168.17.186)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PUMP, RVS+GAS: уровни, объёмы, температура, давление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OPC DA (OpenOPC + Pyro4)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каждые 2 часа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АСУТП/ТМ (12+ OPC UA серверов)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РГС, расходы, насосы, задвижки (ATB, DMB, GRN…)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OPC UA Polling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каждые 5 мин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КУУН НПС-3 (Modbus TCP)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Объём/масса накопл., давление, температура, плотность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pymodbus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каждые 7 мин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Сервер ТМ АГЗУ (MS SQL + OPC UA)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Замеры АГЗУ, дебит, обводнённость, давление/темп.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OPC UA / ODBC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каждые 5 мин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СДМО (4× MySQL Danfoss)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Статус скважин, суточные показатели, остановы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PyMySQL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ежечасно / 07:17 daily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KTM Floboss S600+ (MySQL)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СИКН, двухчасовые данные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PyMySQL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вручную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emg (PostgreSQL 10.32.10.90, схема emg_skv)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chrp_well.working — статус ЧРП скважин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SQL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каждые 15 мин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Исходящие потоки ИМ: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83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Получатель</w:t>
            </w:r>
          </w:p>
        </w:tc>
        <w:tc>
          <w:tcPr>
            <w:tcW w:type="dxa" w:w="283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Данные</w:t>
            </w:r>
          </w:p>
        </w:tc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Протокол</w:t>
            </w:r>
          </w:p>
        </w:tc>
        <w:tc>
          <w:tcPr>
            <w:tcW w:type="dxa" w:w="170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Частота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Аналитика ЭМГ (108.181.186.12:8099)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Теги, параметры скважин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REST JSON POST /tags/update/ /wells/update/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каждые 5 мин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packet_service (10.32.10.90:8951)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Данные реклоузеров bd 522/601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REST JSON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каждые 5 мин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Распознавание речи (10.32.10.90:8777)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Аудио рапортов ПРС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multipart → JSON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online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SMTP / Gmail (noreply@dlc.kz)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СИЗ, добыча, XLSX-реестры — уведомления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RFC 5322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cron + сигналы</w:t>
            </w:r>
          </w:p>
        </w:tc>
      </w:tr>
    </w:tbl>
    <w:p/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4.3 Active Directory — служба каталогов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Active Directory является единым источником учётных записей (UPN, ФИО, e-mail) для 8 систем ЭМГ. Интеграция — односторонний LDAP-запрос, online, без промежуточного слоя.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Directum / САПФИР, Alfresco ECM, КГИС — онлайн-аутентификация сотрудников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Solar Dozor (DLP) — идентификация субъектов перехвата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FUDO PAM — управление привилегированными сессиями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E-Pass (СКУД), Жулдыз, Procu — авторизация пользователей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4.4 Сводная матрица интеграций (по протоколам)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835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Система-источник</w:t>
            </w:r>
          </w:p>
        </w:tc>
        <w:tc>
          <w:tcPr>
            <w:tcW w:type="dxa" w:w="2551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Система-приёмник</w:t>
            </w:r>
          </w:p>
        </w:tc>
        <w:tc>
          <w:tcPr>
            <w:tcW w:type="dxa" w:w="1984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Протокол / формат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Directum, Alfresco, КГИС, DLP, PAM, E-Pass, Жулдыз, Procu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Active Directory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LDAP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АСУНСИ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PO / XML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ИС УТО, AVR, Documentum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API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Реальное время / пакетная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1С, FC, кадры УП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CSV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Пакетная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БВУ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MT940 / MT103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Пакетная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Нацбанк, ИС ЭСФ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XML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Ежедневно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SAS-FM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SAP BW / SAP R/3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RFC, .sas7bdat, CSV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Пакетная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ПК «Управление персоналом»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SOAP / DB functions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ИС УТО ЭМГ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ИС «УТО»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SOAP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Argus Pro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ИС «УТО ЭМГ»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REST JSON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sPoint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КХД АО НК КМГ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REST JSON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Пакетная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Procu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АСУНСИ, ИСЭЗ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API JSON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AVR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SAP ERP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API XML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Реальное время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ИМ (OT-данные)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ABAI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SQL read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3 раза/сутки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ИМ (телеметрия)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Аналитика ЭМГ :8099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REST JSON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каждые 5 мин</w:t>
            </w:r>
          </w:p>
        </w:tc>
      </w:tr>
    </w:tbl>
    <w:p/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5. Анализ текущего состояния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5.1 Сильные стороны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Гибридная облачная модель (ЦОД + Qazcloud IaaS) снижает инфраструктурные риски для корпоративных ИС.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SAP ERP — зрелый и устойчивый хаб финансовых и кадровых интеграций, покрывает более 13 внешних контрагентов.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Directum (САПФИР) обеспечивает корпоративный документооборот в рамках всей группы КМГ.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ABAI — единая производственная платформа группы КМГ; с Q4 2024 является ядром данных, заменив ТБД.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Мониторинг событий ИБ 24×7 обеспечивается ОЦИБ Qazcloud с формализованным SLA.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Процессы реагирования на инциденты ИБ формализованы НПА: Инструкция по действиям пользователей и Правила управления инцидентами ИБ.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SMAX функционирует как единая ITSM-платформа КМГ с 2023 г.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Argus Pro внедрён в промышленную эксплуатацию с 2025 г., заменив устаревший CityPoint.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ИМ обеспечивает централизованный сбор 12+ источников телеметрии с периодичностью до 5 минут.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5.2 Ключевые проблемы и риски</w:t>
      </w:r>
    </w:p>
    <w:p>
      <w:pPr>
        <w:spacing w:after="80" w:before="0"/>
      </w:pPr>
      <w:r>
        <w:rPr>
          <w:rFonts w:ascii="Calibri" w:hAnsi="Calibri"/>
          <w:b/>
          <w:i w:val="0"/>
          <w:sz w:val="22"/>
        </w:rPr>
        <w:t>Данные и аналитика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Проблема</w:t>
            </w:r>
          </w:p>
        </w:tc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Последствие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Приоритет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Единая корпоративная модель данных ЭМГ не сформирована. MDM / Data Governance / Data Office как функция отсутствуют. Единого владельца НСИ нет.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Расхождения по добыче, фонду скважин, материалам, контрагентам между SAP, 1С, ABAI, Directum не закрываются регулярными процессами.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КХД на уровне ЭМГ не создаётся осознанно — ожидается от КМГ «сверху». Аналитика живёт «силосами» в встроенных средствах SAP, 1С, ABAI, Directum.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Отсутствие единой версии правды; развитие аналитики и сквозной отчётности поставлено в зависимость от дорожной карты КМГ.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ABAI: реализовано только 6 отчётных форм из 58. Ключевые расчётные и аналитические модули используются как вспомогательные.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Невозможность автоматизированного производственного планирования; ЭМГ потребляет ABAI как сервис без права управления очередью развития.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Интеграции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Проблема</w:t>
            </w:r>
          </w:p>
        </w:tc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Последствие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Приоритет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Отсутствует централизованная интеграционная платформа (ESB / API Gateway). Обмен между ИС — «точка-точка» без реестра потоков, без SLA на интеграционные обмены, без карты «источник–приёмник–протокол–частота».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Нелинейный рост стоимости каждого нового внедрения. Техдолг по интеграциям. Низкая наблюдаемость потоков данных.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Единственный явно описанный внешний обмен — SQL Server → ИСУН через КМГ Инжиниринг. Остальные интеграции не задокументированы в актуальном виде.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Риски при аудите, при инцидент-менеджменте и при планировании инвестиций.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Средний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Инфраструктура и кибербезопасность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Проблема</w:t>
            </w:r>
          </w:p>
        </w:tc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Последствие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Приоритет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Размещение значительной части ИС в Qazcloud (IaaS, VMware) без публично описанных DR/BCP, RPO/RTO и политики резервного копирования.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Риски доступности ключевых ИС при инцидентах на стороне Qazcloud.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Сегментация OT/IT между производственным ЦОД и облаком не формализована. Разграничение ответственности между ЭМГ, Qazcloud и ОЦИБ по модели Shared Responsibility не задокументировано.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Риски кибербезопасности, не закрываемые внешним SOC (ОЦИБ отвечает за мониторинг и рекомендации).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Схемы ИТ-инфраструктуры и каналов связи переданы только на бумаге; цифровой версии нет.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Сложность аудита, планирования инвестиций и восстановления при инцидентах.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Средний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ИТ-управляемость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Проблема</w:t>
            </w:r>
          </w:p>
        </w:tc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Последствие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Приоритет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Реестр ИС с атрибутами (бизнес-владелец, ИТ-владелец, критичность, SLA, тип поддержки, локация) находится в стадии подготовки.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Нет актуального инструмента для приоритизации вложений в ИТ и управления рисками.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Архитектурный комитет, ADR, корпоративные архитектурные стандарты и принципы не подтверждены.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Архитектурные решения принимаются децентрализованно; нарастание технического долга.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Средний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Параллельные кадровые контуры: SAP HCM и 1С 8.2 «Зарплата» без явного источника истины.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Риск расхождений по ФОТ и налоговой / статистической отчётности.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As-is схема не актуальна: SMAX внедрён с 2023 г. (обозначен как отсутствующий), ТБД выведена (Q4 2024), CityPoint заменён ArgusPro (2025).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Снижение доверия к схеме как основанию для принятия решений.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Средний</w:t>
            </w:r>
          </w:p>
        </w:tc>
      </w:tr>
    </w:tbl>
    <w:p/>
    <w:p>
      <w:pPr>
        <w:spacing w:after="80" w:before="0"/>
      </w:pPr>
      <w:r>
        <w:rPr>
          <w:rFonts w:ascii="Calibri" w:hAnsi="Calibri"/>
          <w:b/>
          <w:i w:val="0"/>
          <w:sz w:val="22"/>
        </w:rPr>
        <w:t>Зависимость от КМГ Инжиниринг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Проблема</w:t>
            </w:r>
          </w:p>
        </w:tc>
        <w:tc>
          <w:tcPr>
            <w:tcW w:type="dxa" w:w="3969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Последствие</w:t>
            </w:r>
          </w:p>
        </w:tc>
        <w:tc>
          <w:tcPr>
            <w:tcW w:type="dxa" w:w="1417"/>
            <w:shd w:val="clear" w:color="auto" w:fill="2E74B5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Приоритет</w:t>
            </w:r>
          </w:p>
        </w:tc>
      </w:tr>
      <w:tr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Функциональное развитие ABAI (52 недоработанных отчётных формы и расчётные модули) и будущее корпоративное КХД — в зоне ответственности КМГ Инжиниринг.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ЭМГ несёт риски сроков, приоритетов и качества чужой дорожной карты. Ограничена возможность управления собственной аналитикой.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18"/>
              </w:rPr>
              <w:t>Высокий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Вендорный и санкционный риск: зависимость от SAP, Directum, VMware, частично западных систем.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Требует отдельной оценки планов импортозамещения и замещения компонентов.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rFonts w:ascii="Calibri" w:hAnsi="Calibri"/>
                <w:sz w:val="18"/>
              </w:rPr>
              <w:t>Средний</w:t>
            </w:r>
          </w:p>
        </w:tc>
      </w:tr>
    </w:tbl>
    <w:p/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6. Рекомендации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6.1 Данные и аналитика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Инициировать создание функции Data Office / MDM-комитета. Определить домены НСИ (материалы, контрагенты, оборудование, скважины, объекты) и их владельцев.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Запросить и зафиксировать дорожную карту корпоративного КХД КМГ с привязкой к срокам и обязательствам для ЭМГ.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Сформировать реестр существующих BI-инструментов и дашбордов в SAP / 1С / ABAI / Directum; зафиксировать план интеграции SCADA-данных в аналитический слой.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С КМГ Инжиниринг согласовать: перечень функциональных модулей, к которым ЭМГ имеет доступ; статус 52 разрабатываемых форм и план их ввода; разграничение задач ЭМГ vs КМГ по ABAI; возможности кастомизации под ЭМГ.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6.2 Интеграции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Провести инвентаризацию текущих point-to-point связей: источник, приёмник, протокол, частота, объёмы, ответственные.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Инициировать проработку централизованной интеграционной платформы (DataFlow, WSO2, SAP PO, 1С:Шина или аналог). Определить SLA на потоки и ответственного за реестр интеграций.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Получить цифровые схемы ИТ-инфраструктуры и каналов связи; оформить в актуальный реестр ИС с атрибутами критичности, владельцев и SLA.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6.3 Инфраструктура и кибербезопасность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Разработать / актуализировать DR/BCP планы; определить RPO/RTO для каждой критичной ИС.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Формализовать модель Shared Responsibility между ЭМГ, Qazcloud (IaaS) и ОЦИБ: сегментация OT/IT, конфигурационный менеджмент, процессы управления уязвимостями и доступами.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Уточнить состав ИБ-стека помимо EPP/DLP/SOC: SIEM, IAM/PAM, NGFW, EDR/XDR, MFA, VM, защита АСУ ТП.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2E74B5"/>
          <w:sz w:val="24"/>
        </w:rPr>
        <w:t>6.4 ИТ-управляемость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Завершить формирование реестра ИС с атрибутами: бизнес-владелец, ИТ-владелец, критичность, SLA, тип поддержки, локация размещения.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Подтвердить наличие / создать архитектурный комитет, ADR, корпоративные стандарты и принципы. Зафиксировать требования КМГ и Самрук-Казыны к стандартам и обязательным интеграциям.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Определить единый источник истины по кадрам (SAP HCM или 1С 8.2 «Зарплата») и по бюджетированию (Excel / 1С / специализированный продукт).</w:t>
      </w:r>
    </w:p>
    <w:p>
      <w:pPr>
        <w:pStyle w:val="Heading1"/>
        <w:spacing w:before="240" w:after="80"/>
      </w:pPr>
      <w:r>
        <w:rPr>
          <w:rFonts w:ascii="Calibri" w:hAnsi="Calibri"/>
          <w:b/>
          <w:color w:val="1F497D"/>
          <w:sz w:val="28"/>
        </w:rPr>
        <w:t>7. Заключение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ИТ-ландшафт АО «Эмбамунайгаз» по месторождениям В. Молдабек и С. Нуржанова располагает зрелой базовой инфраструктурой: SAP ERP как финансово-кадровым хабом, Directum как корпоративным СЭД, гибридным облаком с внешним SOC и ABAI как централизованной производственной ИС группы КМГ.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Вместе с тем зафиксированы системные пробелы, критичные для реализации программы цифровизации и внедрения Цифрового двойника: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Отсутствие единой корпоративной модели данных, MDM и Data Governance — «силосы» данных без единой версии правды.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«Точка-точка» интеграции без ESB/API Gateway — нарастание технического долга и низкая наблюдаемость потоков.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Функциональная незавершённость ABAI (6/58 форм в продуктиве) при полной зависимости от дорожной карты КМГ Инжиниринг.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Отсутствие DR/BCP и формализованной сегментации OT/IT при гибридном облачном размещении.</w:t>
      </w:r>
    </w:p>
    <w:p>
      <w:pPr>
        <w:pStyle w:val="ListBullet"/>
        <w:spacing w:after="40" w:before="0"/>
        <w:ind w:left="340"/>
      </w:pPr>
      <w:r>
        <w:rPr>
          <w:rFonts w:ascii="Calibri" w:hAnsi="Calibri"/>
          <w:b w:val="0"/>
          <w:i w:val="0"/>
          <w:sz w:val="20"/>
        </w:rPr>
        <w:t>Реестр ИС с владельцами и SLA только готовится; архитектурный комитет не подтверждён.</w:t>
      </w:r>
    </w:p>
    <w:p>
      <w:pPr>
        <w:spacing w:after="80" w:before="0"/>
      </w:pPr>
      <w:r>
        <w:rPr>
          <w:rFonts w:ascii="Calibri" w:hAnsi="Calibri"/>
          <w:b w:val="0"/>
          <w:i w:val="0"/>
          <w:sz w:val="22"/>
        </w:rPr>
        <w:t>Реализация предложенных рекомендаций позволит устранить ключевые пробелы, сформировать управляемый ИТ-контур и создать необходимый фундамент для внедрения Цифрового двойника актива в рамках программы трансформации UPSTREAM КМГ.</w:t>
      </w:r>
    </w:p>
    <w:p/>
    <w:p>
      <w:pPr>
        <w:spacing w:after="80" w:before="0"/>
      </w:pPr>
      <w:r>
        <w:rPr>
          <w:rFonts w:ascii="Calibri" w:hAnsi="Calibri"/>
          <w:b w:val="0"/>
          <w:i/>
          <w:color w:val="646464"/>
          <w:sz w:val="18"/>
        </w:rPr>
        <w:t>Документ подготовлен на основании: реестра ИС и матрицы интеграций ЭМГ (19 систем); архитектурных схем корпоративного и производственного контуров; верхнеуровневого анализа ИТ-ландшафта АО «Эмбамунайгаз»; ТЗ ESP WELLTECH SERVICES – FZCO, Этап 2.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