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Инструкция пользователя СППР</w:t>
      </w:r>
    </w:p>
    <w:p>
      <w:r>
        <w:rPr>
          <w:b/>
        </w:rPr>
        <w:t>Система Поддержки Принятия Решений (СППР)</w:t>
      </w:r>
    </w:p>
    <w:p>
      <w:r>
        <w:t>Проект U250008610. Формат: зайдите сюда → нажмите это → получите то.</w:t>
      </w:r>
    </w:p>
    <w:p/>
    <w:p>
      <w:pPr>
        <w:pStyle w:val="Heading1"/>
      </w:pPr>
      <w:r>
        <w:t>Общие сведения</w:t>
      </w:r>
    </w:p>
    <w:p>
      <w:r>
        <w:t xml:space="preserve">Адрес системы (тестовая среда): </w:t>
      </w:r>
    </w:p>
    <w:p>
      <w:r>
        <w:t>https://sppr-dev.apps.okd.cloud.nedra.digital/</w:t>
      </w:r>
    </w:p>
    <w:p>
      <w:r>
        <w:t>Роли пользователей: Гость, Руководитель КЦ, Руководитель ДО, Руководитель управления, Руководитель производственного цеха, Эксперт.</w:t>
      </w:r>
    </w:p>
    <w:p>
      <w:r>
        <w:t>Три основных модуля на главной странице:</w:t>
      </w:r>
    </w:p>
    <w:p>
      <w:pPr>
        <w:pStyle w:val="ListBullet"/>
      </w:pPr>
      <w:r>
        <w:t>Схема цифровых двойников</w:t>
      </w:r>
    </w:p>
    <w:p>
      <w:pPr>
        <w:pStyle w:val="ListBullet"/>
      </w:pPr>
      <w:r>
        <w:t>Визуальный ассистент</w:t>
      </w:r>
    </w:p>
    <w:p>
      <w:pPr>
        <w:pStyle w:val="ListBullet"/>
      </w:pPr>
      <w:r>
        <w:t>Каскад КПЭ</w:t>
      </w:r>
    </w:p>
    <w:p>
      <w:pPr>
        <w:pStyle w:val="Heading1"/>
      </w:pPr>
      <w:r>
        <w:t>1. Вход в систему (авторизация)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Шаг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Действие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Откройте в браузере https://sppr-dev.apps.okd.cloud.nedra.digital/</w:t>
            </w:r>
          </w:p>
        </w:tc>
        <w:tc>
          <w:tcPr>
            <w:tcW w:type="dxa" w:w="2880"/>
          </w:tcPr>
          <w:p>
            <w:r>
              <w:t>Откроется страница авторизации с формой входа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Введите логин и пароль учётной записи</w:t>
            </w:r>
          </w:p>
        </w:tc>
        <w:tc>
          <w:tcPr>
            <w:tcW w:type="dxa" w:w="2880"/>
          </w:tcPr>
          <w:p>
            <w:r>
              <w:t>Поля заполнены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Нажмите кнопку «Вход»</w:t>
            </w:r>
          </w:p>
        </w:tc>
        <w:tc>
          <w:tcPr>
            <w:tcW w:type="dxa" w:w="2880"/>
          </w:tcPr>
          <w:p>
            <w:r>
              <w:t>Вы авторизованы; доступны разделы согласно вашей роли</w:t>
            </w:r>
          </w:p>
        </w:tc>
      </w:tr>
    </w:tbl>
    <w:p/>
    <w:p>
      <w:r>
        <w:t>Если не получается: проверьте учётные данные или обратитесь к администратору.</w:t>
      </w:r>
    </w:p>
    <w:p>
      <w:pPr>
        <w:pStyle w:val="Heading1"/>
      </w:pPr>
      <w:r>
        <w:t>2. Главная страница СППР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Шаг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Действие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После входа вы окажетесь на главной странице</w:t>
            </w:r>
          </w:p>
        </w:tc>
        <w:tc>
          <w:tcPr>
            <w:tcW w:type="dxa" w:w="2880"/>
          </w:tcPr>
          <w:p>
            <w:r>
              <w:t>В правом верхнем углу — текущая дата; отображаются карточки модулей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Наведите курсор на карточку модуля (например, «Визуальный ассистент»)</w:t>
            </w:r>
          </w:p>
        </w:tc>
        <w:tc>
          <w:tcPr>
            <w:tcW w:type="dxa" w:w="2880"/>
          </w:tcPr>
          <w:p>
            <w:r>
              <w:t>Карточка подсвечивается, появляется анимация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Нажмите «Перейти» в карточке нужного модуля</w:t>
            </w:r>
          </w:p>
        </w:tc>
        <w:tc>
          <w:tcPr>
            <w:tcW w:type="dxa" w:w="2880"/>
          </w:tcPr>
          <w:p>
            <w:r>
              <w:t>Откроется выбранный модуль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Нажмите «Назад» в левом верхнем углу</w:t>
            </w:r>
          </w:p>
        </w:tc>
        <w:tc>
          <w:tcPr>
            <w:tcW w:type="dxa" w:w="2880"/>
          </w:tcPr>
          <w:p>
            <w:r>
              <w:t>Снова откроется главная страница</w:t>
            </w:r>
          </w:p>
        </w:tc>
      </w:tr>
    </w:tbl>
    <w:p/>
    <w:p>
      <w:r>
        <w:br w:type="page"/>
      </w:r>
    </w:p>
    <w:p>
      <w:pPr>
        <w:pStyle w:val="Heading1"/>
      </w:pPr>
      <w:r>
        <w:t>МОДУЛЬ 1. Схема цифровых двойников</w:t>
      </w:r>
    </w:p>
    <w:p>
      <w:pPr>
        <w:pStyle w:val="Heading2"/>
      </w:pPr>
      <w:r>
        <w:t>1.1. Открытие модуля и работа с картой ГИС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Шаг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Действие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На главной наведите курсор на «Схема цифровых двойников» и перейдите в раздел</w:t>
            </w:r>
          </w:p>
        </w:tc>
        <w:tc>
          <w:tcPr>
            <w:tcW w:type="dxa" w:w="2880"/>
          </w:tcPr>
          <w:p>
            <w:r>
              <w:t>Откроется карта месторождений на ГИС-подложке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Зажмите левую кнопку мыши и перетащите карту</w:t>
            </w:r>
          </w:p>
        </w:tc>
        <w:tc>
          <w:tcPr>
            <w:tcW w:type="dxa" w:w="2880"/>
          </w:tcPr>
          <w:p>
            <w:r>
              <w:t>Карта смещается в стороны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Прокрутите колёсико мыши</w:t>
            </w:r>
          </w:p>
        </w:tc>
        <w:tc>
          <w:tcPr>
            <w:tcW w:type="dxa" w:w="2880"/>
          </w:tcPr>
          <w:p>
            <w:r>
              <w:t>Карта приближается или отдаляется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Нажмите «Назад»</w:t>
            </w:r>
          </w:p>
        </w:tc>
        <w:tc>
          <w:tcPr>
            <w:tcW w:type="dxa" w:w="2880"/>
          </w:tcPr>
          <w:p>
            <w:r>
              <w:t>Возврат на главную страницу</w:t>
            </w:r>
          </w:p>
        </w:tc>
      </w:tr>
    </w:tbl>
    <w:p/>
    <w:p>
      <w:r>
        <w:t>При ошибке загрузки: карта без объектов, навигация не работает, система показывает ошибку отображения объектов.</w:t>
      </w:r>
    </w:p>
    <w:p>
      <w:pPr>
        <w:pStyle w:val="Heading2"/>
      </w:pPr>
      <w:r>
        <w:t>1.2. Просмотр информации об объекте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Шаг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Действие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Наведите курсор на объект на карте</w:t>
            </w:r>
          </w:p>
        </w:tc>
        <w:tc>
          <w:tcPr>
            <w:tcW w:type="dxa" w:w="2880"/>
          </w:tcPr>
          <w:p>
            <w:r>
              <w:t>Объект выделяется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Кликните по объекту</w:t>
            </w:r>
          </w:p>
        </w:tc>
        <w:tc>
          <w:tcPr>
            <w:tcW w:type="dxa" w:w="2880"/>
          </w:tcPr>
          <w:p>
            <w:r>
              <w:t>Откроется окно: наименования параметров и их значения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Кликните по свободной области карты</w:t>
            </w:r>
          </w:p>
        </w:tc>
        <w:tc>
          <w:tcPr>
            <w:tcW w:type="dxa" w:w="2880"/>
          </w:tcPr>
          <w:p>
            <w:r>
              <w:t>Информационное окно закроется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Нажмите «Назад»</w:t>
            </w:r>
          </w:p>
        </w:tc>
        <w:tc>
          <w:tcPr>
            <w:tcW w:type="dxa" w:w="2880"/>
          </w:tcPr>
          <w:p>
            <w:r>
              <w:t>Возврат на главную страницу</w:t>
            </w:r>
          </w:p>
        </w:tc>
      </w:tr>
    </w:tbl>
    <w:p/>
    <w:p>
      <w:pPr>
        <w:pStyle w:val="Heading2"/>
      </w:pPr>
      <w:r>
        <w:t>1.3. Добавление комментария к объекту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Шаг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Действие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Кликните по объекту на карте</w:t>
            </w:r>
          </w:p>
        </w:tc>
        <w:tc>
          <w:tcPr>
            <w:tcW w:type="dxa" w:w="2880"/>
          </w:tcPr>
          <w:p>
            <w:r>
              <w:t>Откроется информационное окно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Нажмите «Добавить комментарий»</w:t>
            </w:r>
          </w:p>
        </w:tc>
        <w:tc>
          <w:tcPr>
            <w:tcW w:type="dxa" w:w="2880"/>
          </w:tcPr>
          <w:p>
            <w:r>
              <w:t>Появится поле ввода текста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Введите текст комментария</w:t>
            </w:r>
          </w:p>
        </w:tc>
        <w:tc>
          <w:tcPr>
            <w:tcW w:type="dxa" w:w="2880"/>
          </w:tcPr>
          <w:p>
            <w:r>
              <w:t>Текст введён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Нажмите «Сохранить»</w:t>
            </w:r>
          </w:p>
        </w:tc>
        <w:tc>
          <w:tcPr>
            <w:tcW w:type="dxa" w:w="2880"/>
          </w:tcPr>
          <w:p>
            <w:r>
              <w:t>Комментарий на карте: пользователь, дата, текст, объект</w:t>
            </w:r>
          </w:p>
        </w:tc>
      </w:tr>
    </w:tbl>
    <w:p/>
    <w:p>
      <w:pPr>
        <w:pStyle w:val="Heading2"/>
      </w:pPr>
      <w:r>
        <w:t>1.4. Редактирование своего комментария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Шаг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Действие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Кликните по своему комментарию</w:t>
            </w:r>
          </w:p>
        </w:tc>
        <w:tc>
          <w:tcPr>
            <w:tcW w:type="dxa" w:w="2880"/>
          </w:tcPr>
          <w:p>
            <w:r>
              <w:t>Информация по комментарию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Нажмите «Редактировать»</w:t>
            </w:r>
          </w:p>
        </w:tc>
        <w:tc>
          <w:tcPr>
            <w:tcW w:type="dxa" w:w="2880"/>
          </w:tcPr>
          <w:p>
            <w:r>
              <w:t>Поле редактирования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Измените текст, нажмите «Сохранить»</w:t>
            </w:r>
          </w:p>
        </w:tc>
        <w:tc>
          <w:tcPr>
            <w:tcW w:type="dxa" w:w="2880"/>
          </w:tcPr>
          <w:p>
            <w:r>
              <w:t>Обновлённый комментарий</w:t>
            </w:r>
          </w:p>
        </w:tc>
      </w:tr>
    </w:tbl>
    <w:p/>
    <w:p>
      <w:r>
        <w:t>Редактировать можно только свои комментарии.</w:t>
      </w:r>
    </w:p>
    <w:p>
      <w:pPr>
        <w:pStyle w:val="Heading2"/>
      </w:pPr>
      <w:r>
        <w:t>1.5. Удаление своего комментария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Шаг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Действие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Кликните по своему комментарию</w:t>
            </w:r>
          </w:p>
        </w:tc>
        <w:tc>
          <w:tcPr>
            <w:tcW w:type="dxa" w:w="2880"/>
          </w:tcPr>
          <w:p>
            <w:r>
              <w:t>Информация по комментарию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Нажмите «Удалить»</w:t>
            </w:r>
          </w:p>
        </w:tc>
        <w:tc>
          <w:tcPr>
            <w:tcW w:type="dxa" w:w="2880"/>
          </w:tcPr>
          <w:p>
            <w:r>
              <w:t>Запрос подтверждения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Нажмите «Да»</w:t>
            </w:r>
          </w:p>
        </w:tc>
        <w:tc>
          <w:tcPr>
            <w:tcW w:type="dxa" w:w="2880"/>
          </w:tcPr>
          <w:p>
            <w:r>
              <w:t>Комментарий исчезнет с карты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Нажмите «Назад»</w:t>
            </w:r>
          </w:p>
        </w:tc>
        <w:tc>
          <w:tcPr>
            <w:tcW w:type="dxa" w:w="2880"/>
          </w:tcPr>
          <w:p>
            <w:r>
              <w:t>Возврат на главную</w:t>
            </w:r>
          </w:p>
        </w:tc>
      </w:tr>
    </w:tbl>
    <w:p/>
    <w:p>
      <w:r>
        <w:br w:type="page"/>
      </w:r>
    </w:p>
    <w:p>
      <w:pPr>
        <w:pStyle w:val="Heading1"/>
      </w:pPr>
      <w:r>
        <w:t>МОДУЛЬ 2. Визуальный ассистент</w:t>
      </w:r>
    </w:p>
    <w:p>
      <w:pPr>
        <w:pStyle w:val="Heading2"/>
      </w:pPr>
      <w:r>
        <w:t>2.1. Главный экран модуля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Шаг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Действие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На главной перейдите в «Визуальный ассистент»</w:t>
            </w:r>
          </w:p>
        </w:tc>
        <w:tc>
          <w:tcPr>
            <w:tcW w:type="dxa" w:w="2880"/>
          </w:tcPr>
          <w:p>
            <w:r>
              <w:t>Стартовая страница модуля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Просмотрите 6 виджетов</w:t>
            </w:r>
          </w:p>
        </w:tc>
        <w:tc>
          <w:tcPr>
            <w:tcW w:type="dxa" w:w="2880"/>
          </w:tcPr>
          <w:p>
            <w:r>
              <w:t>Добыча, Газ и Энергетика, Экономика, HSE, HR, Капстроительство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Нажмите на виджет</w:t>
            </w:r>
          </w:p>
        </w:tc>
        <w:tc>
          <w:tcPr>
            <w:tcW w:type="dxa" w:w="2880"/>
          </w:tcPr>
          <w:p>
            <w:r>
              <w:t>Полноэкранный аналитический просмотр по направлению</w:t>
            </w:r>
          </w:p>
        </w:tc>
      </w:tr>
    </w:tbl>
    <w:p/>
    <w:p>
      <w:pPr>
        <w:pStyle w:val="Heading2"/>
      </w:pPr>
      <w:r>
        <w:t>2.2. Направление «Добыча» — вкладка «Ключевые показатели»</w:t>
      </w:r>
    </w:p>
    <w:p>
      <w:r>
        <w:t>Путь: Визуальный ассистент → Добыча → Ключевые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График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Действие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>
              <w:t>Добыча нефти</w:t>
            </w:r>
          </w:p>
        </w:tc>
        <w:tc>
          <w:tcPr>
            <w:tcW w:type="dxa" w:w="2880"/>
          </w:tcPr>
          <w:p>
            <w:r>
              <w:t>Наведите на столбец (например, март)</w:t>
            </w:r>
          </w:p>
        </w:tc>
        <w:tc>
          <w:tcPr>
            <w:tcW w:type="dxa" w:w="2880"/>
          </w:tcPr>
          <w:p>
            <w:r>
              <w:t>Тултип; слева — суммарные данные за год</w:t>
            </w:r>
          </w:p>
        </w:tc>
      </w:tr>
      <w:tr>
        <w:tc>
          <w:tcPr>
            <w:tcW w:type="dxa" w:w="2880"/>
          </w:tcPr>
          <w:p>
            <w:r>
              <w:t>Добыча жидкости</w:t>
            </w:r>
          </w:p>
        </w:tc>
        <w:tc>
          <w:tcPr>
            <w:tcW w:type="dxa" w:w="2880"/>
          </w:tcPr>
          <w:p>
            <w:r>
              <w:t>Наведите на элемент графика</w:t>
            </w:r>
          </w:p>
        </w:tc>
        <w:tc>
          <w:tcPr>
            <w:tcW w:type="dxa" w:w="2880"/>
          </w:tcPr>
          <w:p>
            <w:r>
              <w:t>Факт, прогноз, бизнес-план, график по месяцам</w:t>
            </w:r>
          </w:p>
        </w:tc>
      </w:tr>
      <w:tr>
        <w:tc>
          <w:tcPr>
            <w:tcW w:type="dxa" w:w="2880"/>
          </w:tcPr>
          <w:p>
            <w:r>
              <w:t>Закачка</w:t>
            </w:r>
          </w:p>
        </w:tc>
        <w:tc>
          <w:tcPr>
            <w:tcW w:type="dxa" w:w="2880"/>
          </w:tcPr>
          <w:p>
            <w:r>
              <w:t>Наведите на график и легенду справа</w:t>
            </w:r>
          </w:p>
        </w:tc>
        <w:tc>
          <w:tcPr>
            <w:tcW w:type="dxa" w:w="2880"/>
          </w:tcPr>
          <w:p>
            <w:r>
              <w:t>Данные за год; легенда включает/скрывает серии</w:t>
            </w:r>
          </w:p>
        </w:tc>
      </w:tr>
      <w:tr>
        <w:tc>
          <w:tcPr>
            <w:tcW w:type="dxa" w:w="2880"/>
          </w:tcPr>
          <w:p>
            <w:r>
              <w:t>Добыча газа</w:t>
            </w:r>
          </w:p>
        </w:tc>
        <w:tc>
          <w:tcPr>
            <w:tcW w:type="dxa" w:w="2880"/>
          </w:tcPr>
          <w:p>
            <w:r>
              <w:t>Наведите на элемент</w:t>
            </w:r>
          </w:p>
        </w:tc>
        <w:tc>
          <w:tcPr>
            <w:tcW w:type="dxa" w:w="2880"/>
          </w:tcPr>
          <w:p>
            <w:r>
              <w:t>Показатели добычи газа</w:t>
            </w:r>
          </w:p>
        </w:tc>
      </w:tr>
      <w:tr>
        <w:tc>
          <w:tcPr>
            <w:tcW w:type="dxa" w:w="2880"/>
          </w:tcPr>
          <w:p>
            <w:r>
              <w:t>Показатели по газу</w:t>
            </w:r>
          </w:p>
        </w:tc>
        <w:tc>
          <w:tcPr>
            <w:tcW w:type="dxa" w:w="2880"/>
          </w:tcPr>
          <w:p>
            <w:r>
              <w:t>Наведите на утилизацию</w:t>
            </w:r>
          </w:p>
        </w:tc>
        <w:tc>
          <w:tcPr>
            <w:tcW w:type="dxa" w:w="2880"/>
          </w:tcPr>
          <w:p>
            <w:r>
              <w:t>Показатели по газу</w:t>
            </w:r>
          </w:p>
        </w:tc>
      </w:tr>
      <w:tr>
        <w:tc>
          <w:tcPr>
            <w:tcW w:type="dxa" w:w="2880"/>
          </w:tcPr>
          <w:p>
            <w:r>
              <w:t>Добыча УВ</w:t>
            </w:r>
          </w:p>
        </w:tc>
        <w:tc>
          <w:tcPr>
            <w:tcW w:type="dxa" w:w="2880"/>
          </w:tcPr>
          <w:p>
            <w:r>
              <w:t>Наведите на месяц</w:t>
            </w:r>
          </w:p>
        </w:tc>
        <w:tc>
          <w:tcPr>
            <w:tcW w:type="dxa" w:w="2880"/>
          </w:tcPr>
          <w:p>
            <w:r>
              <w:t>Данные по добыче УВ</w:t>
            </w:r>
          </w:p>
        </w:tc>
      </w:tr>
      <w:tr>
        <w:tc>
          <w:tcPr>
            <w:tcW w:type="dxa" w:w="2880"/>
          </w:tcPr>
          <w:p>
            <w:r>
              <w:t>Сдача нефти</w:t>
            </w:r>
          </w:p>
        </w:tc>
        <w:tc>
          <w:tcPr>
            <w:tcW w:type="dxa" w:w="2880"/>
          </w:tcPr>
          <w:p>
            <w:r>
              <w:t>Наведите на месяц</w:t>
            </w:r>
          </w:p>
        </w:tc>
        <w:tc>
          <w:tcPr>
            <w:tcW w:type="dxa" w:w="2880"/>
          </w:tcPr>
          <w:p>
            <w:r>
              <w:t>Данные по сдаче нефти</w:t>
            </w:r>
          </w:p>
        </w:tc>
      </w:tr>
      <w:tr>
        <w:tc>
          <w:tcPr>
            <w:tcW w:type="dxa" w:w="2880"/>
          </w:tcPr>
          <w:p>
            <w:r>
              <w:t>Динамика фонда скважин</w:t>
            </w:r>
          </w:p>
        </w:tc>
        <w:tc>
          <w:tcPr>
            <w:tcW w:type="dxa" w:w="2880"/>
          </w:tcPr>
          <w:p>
            <w:r>
              <w:t>Просмотрите график</w:t>
            </w:r>
          </w:p>
        </w:tc>
        <w:tc>
          <w:tcPr>
            <w:tcW w:type="dxa" w:w="2880"/>
          </w:tcPr>
          <w:p>
            <w:r>
              <w:t>Динамика фонда по категориям</w:t>
            </w:r>
          </w:p>
        </w:tc>
      </w:tr>
      <w:tr>
        <w:tc>
          <w:tcPr>
            <w:tcW w:type="dxa" w:w="2880"/>
          </w:tcPr>
          <w:p>
            <w:r>
              <w:t>Фонд скважин ДО</w:t>
            </w:r>
          </w:p>
        </w:tc>
        <w:tc>
          <w:tcPr>
            <w:tcW w:type="dxa" w:w="2880"/>
          </w:tcPr>
          <w:p>
            <w:r>
              <w:t>Просмотрите график</w:t>
            </w:r>
          </w:p>
        </w:tc>
        <w:tc>
          <w:tcPr>
            <w:tcW w:type="dxa" w:w="2880"/>
          </w:tcPr>
          <w:p>
            <w:r>
              <w:t>Состояние фонда по ДО</w:t>
            </w:r>
          </w:p>
        </w:tc>
      </w:tr>
    </w:tbl>
    <w:p/>
    <w:p>
      <w:pPr>
        <w:pStyle w:val="Heading2"/>
      </w:pPr>
      <w:r>
        <w:t>2.3. Вкладка «Работа с фондом»</w:t>
      </w:r>
    </w:p>
    <w:p>
      <w:r>
        <w:t>Путь: Визуальный ассистент → Добыча → Работа с фондом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График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Действие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>
              <w:t>Распределение отказов</w:t>
            </w:r>
          </w:p>
        </w:tc>
        <w:tc>
          <w:tcPr>
            <w:tcW w:type="dxa" w:w="2880"/>
          </w:tcPr>
          <w:p>
            <w:r>
              <w:t>Просмотр</w:t>
            </w:r>
          </w:p>
        </w:tc>
        <w:tc>
          <w:tcPr>
            <w:tcW w:type="dxa" w:w="2880"/>
          </w:tcPr>
          <w:p>
            <w:r>
              <w:t>Распределение отказов</w:t>
            </w:r>
          </w:p>
        </w:tc>
      </w:tr>
      <w:tr>
        <w:tc>
          <w:tcPr>
            <w:tcW w:type="dxa" w:w="2880"/>
          </w:tcPr>
          <w:p>
            <w:r>
              <w:t>Динамика отказов</w:t>
            </w:r>
          </w:p>
        </w:tc>
        <w:tc>
          <w:tcPr>
            <w:tcW w:type="dxa" w:w="2880"/>
          </w:tcPr>
          <w:p>
            <w:r>
              <w:t>Просмотр</w:t>
            </w:r>
          </w:p>
        </w:tc>
        <w:tc>
          <w:tcPr>
            <w:tcW w:type="dxa" w:w="2880"/>
          </w:tcPr>
          <w:p>
            <w:r>
              <w:t>Динамика отказов</w:t>
            </w:r>
          </w:p>
        </w:tc>
      </w:tr>
      <w:tr>
        <w:tc>
          <w:tcPr>
            <w:tcW w:type="dxa" w:w="2880"/>
          </w:tcPr>
          <w:p>
            <w:r>
              <w:t>Динамика фонда по категориям</w:t>
            </w:r>
          </w:p>
        </w:tc>
        <w:tc>
          <w:tcPr>
            <w:tcW w:type="dxa" w:w="2880"/>
          </w:tcPr>
          <w:p>
            <w:r>
              <w:t>Просмотр</w:t>
            </w:r>
          </w:p>
        </w:tc>
        <w:tc>
          <w:tcPr>
            <w:tcW w:type="dxa" w:w="2880"/>
          </w:tcPr>
          <w:p>
            <w:r>
              <w:t>Динамика по категориям</w:t>
            </w:r>
          </w:p>
        </w:tc>
      </w:tr>
      <w:tr>
        <w:tc>
          <w:tcPr>
            <w:tcW w:type="dxa" w:w="2880"/>
          </w:tcPr>
          <w:p>
            <w:r>
              <w:t>Фонд скважин по ДО</w:t>
            </w:r>
          </w:p>
        </w:tc>
        <w:tc>
          <w:tcPr>
            <w:tcW w:type="dxa" w:w="2880"/>
          </w:tcPr>
          <w:p>
            <w:r>
              <w:t>Просмотр</w:t>
            </w:r>
          </w:p>
        </w:tc>
        <w:tc>
          <w:tcPr>
            <w:tcW w:type="dxa" w:w="2880"/>
          </w:tcPr>
          <w:p>
            <w:r>
              <w:t>Фонд по ДО</w:t>
            </w:r>
          </w:p>
        </w:tc>
      </w:tr>
      <w:tr>
        <w:tc>
          <w:tcPr>
            <w:tcW w:type="dxa" w:w="2880"/>
          </w:tcPr>
          <w:p>
            <w:r>
              <w:t>ННО</w:t>
            </w:r>
          </w:p>
        </w:tc>
        <w:tc>
          <w:tcPr>
            <w:tcW w:type="dxa" w:w="2880"/>
          </w:tcPr>
          <w:p>
            <w:r>
              <w:t>Наведите + легенда</w:t>
            </w:r>
          </w:p>
        </w:tc>
        <w:tc>
          <w:tcPr>
            <w:tcW w:type="dxa" w:w="2880"/>
          </w:tcPr>
          <w:p>
            <w:r>
              <w:t>Тултип, управление сериями</w:t>
            </w:r>
          </w:p>
        </w:tc>
      </w:tr>
      <w:tr>
        <w:tc>
          <w:tcPr>
            <w:tcW w:type="dxa" w:w="2880"/>
          </w:tcPr>
          <w:p>
            <w:r>
              <w:t>МРП без ГТМ</w:t>
            </w:r>
          </w:p>
        </w:tc>
        <w:tc>
          <w:tcPr>
            <w:tcW w:type="dxa" w:w="2880"/>
          </w:tcPr>
          <w:p>
            <w:r>
              <w:t>Наведите + легенда</w:t>
            </w:r>
          </w:p>
        </w:tc>
        <w:tc>
          <w:tcPr>
            <w:tcW w:type="dxa" w:w="2880"/>
          </w:tcPr>
          <w:p>
            <w:r>
              <w:t>Показатели МРП без ГТМ</w:t>
            </w:r>
          </w:p>
        </w:tc>
      </w:tr>
    </w:tbl>
    <w:p/>
    <w:p>
      <w:pPr>
        <w:pStyle w:val="Heading2"/>
      </w:pPr>
      <w:r>
        <w:t>2.4. Вкладка «Недоборы»</w:t>
      </w:r>
    </w:p>
    <w:p>
      <w:r>
        <w:t>Путь: Визуальный ассистент → Добыча → Недоборы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График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4320"/>
          </w:tcPr>
          <w:p>
            <w:r>
              <w:t>Распределение причин ВСП</w:t>
            </w:r>
          </w:p>
        </w:tc>
        <w:tc>
          <w:tcPr>
            <w:tcW w:type="dxa" w:w="4320"/>
          </w:tcPr>
          <w:p>
            <w:r>
              <w:t>Причины внутрисменных простоев</w:t>
            </w:r>
          </w:p>
        </w:tc>
      </w:tr>
      <w:tr>
        <w:tc>
          <w:tcPr>
            <w:tcW w:type="dxa" w:w="4320"/>
          </w:tcPr>
          <w:p>
            <w:r>
              <w:t>Динамика ВСП (количество)</w:t>
            </w:r>
          </w:p>
        </w:tc>
        <w:tc>
          <w:tcPr>
            <w:tcW w:type="dxa" w:w="4320"/>
          </w:tcPr>
          <w:p>
            <w:r>
              <w:t>Динамика количества ВСП</w:t>
            </w:r>
          </w:p>
        </w:tc>
      </w:tr>
      <w:tr>
        <w:tc>
          <w:tcPr>
            <w:tcW w:type="dxa" w:w="4320"/>
          </w:tcPr>
          <w:p>
            <w:r>
              <w:t>Потенциальная добыча от ВСП</w:t>
            </w:r>
          </w:p>
        </w:tc>
        <w:tc>
          <w:tcPr>
            <w:tcW w:type="dxa" w:w="4320"/>
          </w:tcPr>
          <w:p>
            <w:r>
              <w:t>Потенциал от простоев</w:t>
            </w:r>
          </w:p>
        </w:tc>
      </w:tr>
      <w:tr>
        <w:tc>
          <w:tcPr>
            <w:tcW w:type="dxa" w:w="4320"/>
          </w:tcPr>
          <w:p>
            <w:r>
              <w:t>Потенциал по нефти Топ-10</w:t>
            </w:r>
          </w:p>
        </w:tc>
        <w:tc>
          <w:tcPr>
            <w:tcW w:type="dxa" w:w="4320"/>
          </w:tcPr>
          <w:p>
            <w:r>
              <w:t>Топ-10 по потенциалу</w:t>
            </w:r>
          </w:p>
        </w:tc>
      </w:tr>
    </w:tbl>
    <w:p/>
    <w:p>
      <w:pPr>
        <w:pStyle w:val="Heading2"/>
      </w:pPr>
      <w:r>
        <w:t>2.5. Комментарии на графиках</w:t>
      </w:r>
    </w:p>
    <w:p>
      <w:pPr>
        <w:pStyle w:val="ListBullet"/>
      </w:pPr>
      <w:r>
        <w:t>Добавить комментарий: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Шаг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Действие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Включите «Комментирование» на панели</w:t>
            </w:r>
          </w:p>
        </w:tc>
        <w:tc>
          <w:tcPr>
            <w:tcW w:type="dxa" w:w="2880"/>
          </w:tcPr>
          <w:p>
            <w:r>
              <w:t>Режим ввода активен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Кликните параметр на графике</w:t>
            </w:r>
          </w:p>
        </w:tc>
        <w:tc>
          <w:tcPr>
            <w:tcW w:type="dxa" w:w="2880"/>
          </w:tcPr>
          <w:p>
            <w:r>
              <w:t>Поле ввода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Введите текст, «Сохранить»</w:t>
            </w:r>
          </w:p>
        </w:tc>
        <w:tc>
          <w:tcPr>
            <w:tcW w:type="dxa" w:w="2880"/>
          </w:tcPr>
          <w:p>
            <w:r>
              <w:t>Комментарий на графике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Откройте почту</w:t>
            </w:r>
          </w:p>
        </w:tc>
        <w:tc>
          <w:tcPr>
            <w:tcW w:type="dxa" w:w="2880"/>
          </w:tcPr>
          <w:p>
            <w:r>
              <w:t>Уведомление об комментарии</w:t>
            </w:r>
          </w:p>
        </w:tc>
      </w:tr>
    </w:tbl>
    <w:p/>
    <w:p>
      <w:pPr>
        <w:pStyle w:val="ListBullet"/>
      </w:pPr>
      <w:r>
        <w:t>Показать / редактировать / удалить: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Действие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Шаги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>
              <w:t>Показать</w:t>
            </w:r>
          </w:p>
        </w:tc>
        <w:tc>
          <w:tcPr>
            <w:tcW w:type="dxa" w:w="2880"/>
          </w:tcPr>
          <w:p>
            <w:r>
              <w:t>«Показать комментарии» на панели</w:t>
            </w:r>
          </w:p>
        </w:tc>
        <w:tc>
          <w:tcPr>
            <w:tcW w:type="dxa" w:w="2880"/>
          </w:tcPr>
          <w:p>
            <w:r>
              <w:t>Комментарии видны на графиках</w:t>
            </w:r>
          </w:p>
        </w:tc>
      </w:tr>
      <w:tr>
        <w:tc>
          <w:tcPr>
            <w:tcW w:type="dxa" w:w="2880"/>
          </w:tcPr>
          <w:p>
            <w:r>
              <w:t>Редактировать</w:t>
            </w:r>
          </w:p>
        </w:tc>
        <w:tc>
          <w:tcPr>
            <w:tcW w:type="dxa" w:w="2880"/>
          </w:tcPr>
          <w:p>
            <w:r>
              <w:t>Клик → «Редактировать» → текст → «Сохранить»</w:t>
            </w:r>
          </w:p>
        </w:tc>
        <w:tc>
          <w:tcPr>
            <w:tcW w:type="dxa" w:w="2880"/>
          </w:tcPr>
          <w:p>
            <w:r>
              <w:t>Обновлённый комментарий</w:t>
            </w:r>
          </w:p>
        </w:tc>
      </w:tr>
      <w:tr>
        <w:tc>
          <w:tcPr>
            <w:tcW w:type="dxa" w:w="2880"/>
          </w:tcPr>
          <w:p>
            <w:r>
              <w:t>Удалить</w:t>
            </w:r>
          </w:p>
        </w:tc>
        <w:tc>
          <w:tcPr>
            <w:tcW w:type="dxa" w:w="2880"/>
          </w:tcPr>
          <w:p>
            <w:r>
              <w:t>Клик → «Удалить» → «Да»</w:t>
            </w:r>
          </w:p>
        </w:tc>
        <w:tc>
          <w:tcPr>
            <w:tcW w:type="dxa" w:w="2880"/>
          </w:tcPr>
          <w:p>
            <w:r>
              <w:t>Комментарий удалён</w:t>
            </w:r>
          </w:p>
        </w:tc>
      </w:tr>
    </w:tbl>
    <w:p/>
    <w:p>
      <w:r>
        <w:br w:type="page"/>
      </w:r>
    </w:p>
    <w:p>
      <w:pPr>
        <w:pStyle w:val="Heading1"/>
      </w:pPr>
      <w:r>
        <w:t>МОДУЛЬ 3. Каскад КПЭ</w:t>
      </w:r>
    </w:p>
    <w:p>
      <w:pPr>
        <w:pStyle w:val="Heading2"/>
      </w:pPr>
      <w:r>
        <w:t>3.1. Главная страница модуля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Шаг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Действие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Перейдите в «Каскад КПЭ»</w:t>
            </w:r>
          </w:p>
        </w:tc>
        <w:tc>
          <w:tcPr>
            <w:tcW w:type="dxa" w:w="2880"/>
          </w:tcPr>
          <w:p>
            <w:r>
              <w:t>Виджеты КП по ДО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Просмотрите виджеты</w:t>
            </w:r>
          </w:p>
        </w:tc>
        <w:tc>
          <w:tcPr>
            <w:tcW w:type="dxa" w:w="2880"/>
          </w:tcPr>
          <w:p>
            <w:r>
              <w:t>Сводка с цветовой индикацией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Переключите «Общие КП» / «Обязательные КП»</w:t>
            </w:r>
          </w:p>
        </w:tc>
        <w:tc>
          <w:tcPr>
            <w:tcW w:type="dxa" w:w="2880"/>
          </w:tcPr>
          <w:p>
            <w:r>
              <w:t>Данные обновятся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Наведите на «Производство» или «Качество»</w:t>
            </w:r>
          </w:p>
        </w:tc>
        <w:tc>
          <w:tcPr>
            <w:tcW w:type="dxa" w:w="2880"/>
          </w:tcPr>
          <w:p>
            <w:r>
              <w:t>Тултип за период</w:t>
            </w:r>
          </w:p>
        </w:tc>
      </w:tr>
    </w:tbl>
    <w:p/>
    <w:p>
      <w:pPr>
        <w:pStyle w:val="Heading2"/>
      </w:pPr>
      <w:r>
        <w:t>3.2. Мониторинг КПЭ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Шаг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Действие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«Мониторинг КПЭ» в карточке ДО или меню «три точки»</w:t>
            </w:r>
          </w:p>
        </w:tc>
        <w:tc>
          <w:tcPr>
            <w:tcW w:type="dxa" w:w="2880"/>
          </w:tcPr>
          <w:p>
            <w:r>
              <w:t>Страница мониторинга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Просмотрите таблицу</w:t>
            </w:r>
          </w:p>
        </w:tc>
        <w:tc>
          <w:tcPr>
            <w:tcW w:type="dxa" w:w="2880"/>
          </w:tcPr>
          <w:p>
            <w:r>
              <w:t>Список КП по шаблону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Фильтр: Все / Эффективность / Качество</w:t>
            </w:r>
          </w:p>
        </w:tc>
        <w:tc>
          <w:tcPr>
            <w:tcW w:type="dxa" w:w="2880"/>
          </w:tcPr>
          <w:p>
            <w:r>
              <w:t>Фильтр по типу показателя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Фильтр: ЦДНГ / ЦППН</w:t>
            </w:r>
          </w:p>
        </w:tc>
        <w:tc>
          <w:tcPr>
            <w:tcW w:type="dxa" w:w="2880"/>
          </w:tcPr>
          <w:p>
            <w:r>
              <w:t>Данные по подразделению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Наведите на показатель</w:t>
            </w:r>
          </w:p>
        </w:tc>
        <w:tc>
          <w:tcPr>
            <w:tcW w:type="dxa" w:w="2880"/>
          </w:tcPr>
          <w:p>
            <w:r>
              <w:t>Информационное окно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Кликните наименование ДО</w:t>
            </w:r>
          </w:p>
        </w:tc>
        <w:tc>
          <w:tcPr>
            <w:tcW w:type="dxa" w:w="2880"/>
          </w:tcPr>
          <w:p>
            <w:r>
              <w:t>Возврат в карточку ДО</w:t>
            </w:r>
          </w:p>
        </w:tc>
      </w:tr>
    </w:tbl>
    <w:p/>
    <w:p>
      <w:pPr>
        <w:pStyle w:val="Heading2"/>
      </w:pPr>
      <w:r>
        <w:t>3.3. Экспорт и импорт (Мониторинг КПЭ)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Шаг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Действие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«Экспортировать»</w:t>
            </w:r>
          </w:p>
        </w:tc>
        <w:tc>
          <w:tcPr>
            <w:tcW w:type="dxa" w:w="2880"/>
          </w:tcPr>
          <w:p>
            <w:r>
              <w:t>Выбор формата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PDF или Excel</w:t>
            </w:r>
          </w:p>
        </w:tc>
        <w:tc>
          <w:tcPr>
            <w:tcW w:type="dxa" w:w="2880"/>
          </w:tcPr>
          <w:p>
            <w:r>
              <w:t>Файл по шаблону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Откройте файл</w:t>
            </w:r>
          </w:p>
        </w:tc>
        <w:tc>
          <w:tcPr>
            <w:tcW w:type="dxa" w:w="2880"/>
          </w:tcPr>
          <w:p>
            <w:r>
              <w:t>Проверка данных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«Импортировать» → загрузите шаблон</w:t>
            </w:r>
          </w:p>
        </w:tc>
        <w:tc>
          <w:tcPr>
            <w:tcW w:type="dxa" w:w="2880"/>
          </w:tcPr>
          <w:p>
            <w:r>
              <w:t>Таблица обновлена</w:t>
            </w:r>
          </w:p>
        </w:tc>
      </w:tr>
    </w:tbl>
    <w:p/>
    <w:p>
      <w:pPr>
        <w:pStyle w:val="Heading2"/>
      </w:pPr>
      <w:r>
        <w:t>3.4. Анализ трендов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Шаг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Действие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Каскад КПЭ → Карточка ДО → меню → «Анализ трендов»</w:t>
            </w:r>
          </w:p>
        </w:tc>
        <w:tc>
          <w:tcPr>
            <w:tcW w:type="dxa" w:w="2880"/>
          </w:tcPr>
          <w:p>
            <w:r>
              <w:t>Страница анализа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Просмотрите показатели</w:t>
            </w:r>
          </w:p>
        </w:tc>
        <w:tc>
          <w:tcPr>
            <w:tcW w:type="dxa" w:w="2880"/>
          </w:tcPr>
          <w:p>
            <w:r>
              <w:t>Таблица и графики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Фильтр ЦДНГ / ЦППН</w:t>
            </w:r>
          </w:p>
        </w:tc>
        <w:tc>
          <w:tcPr>
            <w:tcW w:type="dxa" w:w="2880"/>
          </w:tcPr>
          <w:p>
            <w:r>
              <w:t>По подразделению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Фильтр Безопасность / Эффективность</w:t>
            </w:r>
          </w:p>
        </w:tc>
        <w:tc>
          <w:tcPr>
            <w:tcW w:type="dxa" w:w="2880"/>
          </w:tcPr>
          <w:p>
            <w:r>
              <w:t>По категории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Кликните «Выполнение месячного графика добычи»</w:t>
            </w:r>
          </w:p>
        </w:tc>
        <w:tc>
          <w:tcPr>
            <w:tcW w:type="dxa" w:w="2880"/>
          </w:tcPr>
          <w:p>
            <w:r>
              <w:t>Динамика КП в графике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Фильтр подразделений</w:t>
            </w:r>
          </w:p>
        </w:tc>
        <w:tc>
          <w:tcPr>
            <w:tcW w:type="dxa" w:w="2880"/>
          </w:tcPr>
          <w:p>
            <w:r>
              <w:t>График обновится</w:t>
            </w:r>
          </w:p>
        </w:tc>
      </w:tr>
    </w:tbl>
    <w:p/>
    <w:p>
      <w:r>
        <w:t>Повторите для «Выполнение графика сдачи нефти» и «Выполнение графика производительной закачки».</w:t>
      </w:r>
    </w:p>
    <w:p>
      <w:pPr>
        <w:pStyle w:val="Heading2"/>
      </w:pPr>
      <w:r>
        <w:t>3.5. Сводная справка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Шаг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Действие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Каскад КПЭ → Карточка ДО → «Сводная справка»</w:t>
            </w:r>
          </w:p>
        </w:tc>
        <w:tc>
          <w:tcPr>
            <w:tcW w:type="dxa" w:w="2880"/>
          </w:tcPr>
          <w:p>
            <w:r>
              <w:t>Страница справки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Просмотрите показатели премирования</w:t>
            </w:r>
          </w:p>
        </w:tc>
        <w:tc>
          <w:tcPr>
            <w:tcW w:type="dxa" w:w="2880"/>
          </w:tcPr>
          <w:p>
            <w:r>
              <w:t>Таблица по шаблону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Фильтр ЦДНГ / ЦППН</w:t>
            </w:r>
          </w:p>
        </w:tc>
        <w:tc>
          <w:tcPr>
            <w:tcW w:type="dxa" w:w="2880"/>
          </w:tcPr>
          <w:p>
            <w:r>
              <w:t>По подразделению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Наведите на показатель</w:t>
            </w:r>
          </w:p>
        </w:tc>
        <w:tc>
          <w:tcPr>
            <w:tcW w:type="dxa" w:w="2880"/>
          </w:tcPr>
          <w:p>
            <w:r>
              <w:t>Информационное окно</w:t>
            </w:r>
          </w:p>
        </w:tc>
      </w:tr>
    </w:tbl>
    <w:p/>
    <w:p>
      <w:r>
        <w:t>Экспорт/импорт: «Экспортировать» → PDF/Excel → «Импортировать» → загрузка шаблона.</w:t>
      </w:r>
    </w:p>
    <w:p>
      <w:r>
        <w:br w:type="page"/>
      </w:r>
    </w:p>
    <w:p>
      <w:pPr>
        <w:pStyle w:val="Heading1"/>
      </w:pPr>
      <w:r>
        <w:t>Шпаргалка по навигации</w:t>
      </w:r>
    </w:p>
    <w:p>
      <w:r>
        <w:rPr>
          <w:rFonts w:ascii="Consolas" w:hAnsi="Consolas"/>
        </w:rPr>
        <w:t>[Авторизация] → [Главная]</w:t>
        <w:br/>
        <w:t xml:space="preserve">    ├─ Схема ЦД (карта, объекты, комментарии)</w:t>
        <w:br/>
        <w:t xml:space="preserve">    ├─ Визуальный ассистент (Добыча: Ключевые / Фонд / Недоборы)</w:t>
        <w:br/>
        <w:t xml:space="preserve">    └─ Каскад КПЭ (Мониторинг, Анализ трендов, Сводная справка)</w:t>
      </w:r>
    </w:p>
    <w:p>
      <w:pPr>
        <w:pStyle w:val="Heading1"/>
      </w:pPr>
      <w:r>
        <w:t>Типичные проблемы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Ситуация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Что проверить</w:t>
            </w:r>
          </w:p>
        </w:tc>
      </w:tr>
      <w:tr>
        <w:tc>
          <w:tcPr>
            <w:tcW w:type="dxa" w:w="4320"/>
          </w:tcPr>
          <w:p>
            <w:r>
              <w:t>Нет доступа к разделу</w:t>
            </w:r>
          </w:p>
        </w:tc>
        <w:tc>
          <w:tcPr>
            <w:tcW w:type="dxa" w:w="4320"/>
          </w:tcPr>
          <w:p>
            <w:r>
              <w:t>Роль в системе, администратор</w:t>
            </w:r>
          </w:p>
        </w:tc>
      </w:tr>
      <w:tr>
        <w:tc>
          <w:tcPr>
            <w:tcW w:type="dxa" w:w="4320"/>
          </w:tcPr>
          <w:p>
            <w:r>
              <w:t>Пустые графики / карта без объектов</w:t>
            </w:r>
          </w:p>
        </w:tc>
        <w:tc>
          <w:tcPr>
            <w:tcW w:type="dxa" w:w="4320"/>
          </w:tcPr>
          <w:p>
            <w:r>
              <w:t>ДО, месторождение, загрузка данных</w:t>
            </w:r>
          </w:p>
        </w:tc>
      </w:tr>
      <w:tr>
        <w:tc>
          <w:tcPr>
            <w:tcW w:type="dxa" w:w="4320"/>
          </w:tcPr>
          <w:p>
            <w:r>
              <w:t>Не открывается комментарий</w:t>
            </w:r>
          </w:p>
        </w:tc>
        <w:tc>
          <w:tcPr>
            <w:tcW w:type="dxa" w:w="4320"/>
          </w:tcPr>
          <w:p>
            <w:r>
              <w:t>Повторный вход, поддержка</w:t>
            </w:r>
          </w:p>
        </w:tc>
      </w:tr>
      <w:tr>
        <w:tc>
          <w:tcPr>
            <w:tcW w:type="dxa" w:w="4320"/>
          </w:tcPr>
          <w:p>
            <w:r>
              <w:t>Нет письма о комментарии</w:t>
            </w:r>
          </w:p>
        </w:tc>
        <w:tc>
          <w:tcPr>
            <w:tcW w:type="dxa" w:w="4320"/>
          </w:tcPr>
          <w:p>
            <w:r>
              <w:t>Почта, спам, сохранение комментария</w:t>
            </w:r>
          </w:p>
        </w:tc>
      </w:tr>
      <w:tr>
        <w:tc>
          <w:tcPr>
            <w:tcW w:type="dxa" w:w="4320"/>
          </w:tcPr>
          <w:p>
            <w:r>
              <w:t>Ошибка экспорта/импорта</w:t>
            </w:r>
          </w:p>
        </w:tc>
        <w:tc>
          <w:tcPr>
            <w:tcW w:type="dxa" w:w="4320"/>
          </w:tcPr>
          <w:p>
            <w:r>
              <w:t>Формат PDF/Excel, шаблон</w:t>
            </w:r>
          </w:p>
        </w:tc>
      </w:tr>
    </w:tbl>
    <w:p/>
    <w:p/>
    <w:p>
      <w:r>
        <w:rPr>
          <w:i/>
        </w:rPr>
        <w:t>Документ составлен по ФТС U250008610 «СППР», версия 1.0. Актуальный URL промышленной среды уточняйте у администратора.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