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ПАО «ГАЗПРОМ НЕФТЬ»</w:t>
      </w:r>
    </w:p>
    <w:p>
      <w:pPr>
        <w:pStyle w:val="Title"/>
        <w:jc w:val="center"/>
      </w:pPr>
      <w:r>
        <w:t>Операционная инструкция пользователя</w:t>
      </w:r>
    </w:p>
    <w:p>
      <w:pPr>
        <w:jc w:val="center"/>
      </w:pPr>
      <w:r>
        <w:t>(релиз 1.0)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Код проекта</w:t>
            </w:r>
          </w:p>
        </w:tc>
        <w:tc>
          <w:tcPr>
            <w:tcW w:type="dxa" w:w="4320"/>
          </w:tcPr>
          <w:p>
            <w:r>
              <w:t>U250008610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Наименование проекта</w:t>
            </w:r>
          </w:p>
        </w:tc>
        <w:tc>
          <w:tcPr>
            <w:tcW w:type="dxa" w:w="4320"/>
          </w:tcPr>
          <w:p>
            <w:r>
              <w:t>Система Поддержки Принятия Решений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Название документа</w:t>
            </w:r>
          </w:p>
        </w:tc>
        <w:tc>
          <w:tcPr>
            <w:tcW w:type="dxa" w:w="4320"/>
          </w:tcPr>
          <w:p>
            <w:r>
              <w:t>Операционная инструкция пользователя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Версия документа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Дата документа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Назначение документа</w:t>
            </w:r>
          </w:p>
        </w:tc>
        <w:tc>
          <w:tcPr>
            <w:tcW w:type="dxa" w:w="4320"/>
          </w:tcPr>
          <w:p>
            <w:r>
              <w:t>Описывает внешний вид интерфейсных форм СППР и порядок выполнения типовых пользовательских операций.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Аудитория</w:t>
            </w:r>
          </w:p>
        </w:tc>
        <w:tc>
          <w:tcPr>
            <w:tcW w:type="dxa" w:w="4320"/>
          </w:tcPr>
          <w:p>
            <w:r>
              <w:t>Пользователи системы, работники технической поддержки.</w:t>
            </w:r>
          </w:p>
        </w:tc>
      </w:tr>
    </w:tbl>
    <w:p/>
    <w:p>
      <w:pPr>
        <w:pStyle w:val="Heading2"/>
      </w:pPr>
      <w:r>
        <w:t>История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Комментарий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Автор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Создание документа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t>1 Общая информация</w:t>
      </w:r>
    </w:p>
    <w:p>
      <w:r>
        <w:t>1.1 Перечень сокращений</w:t>
      </w:r>
    </w:p>
    <w:p>
      <w:r>
        <w:t>1.2 Назначение системы</w:t>
      </w:r>
    </w:p>
    <w:p>
      <w:r>
        <w:t>1.3 Цель проекта</w:t>
      </w:r>
    </w:p>
    <w:p>
      <w:r>
        <w:t>1.4 Минимальные требования к программному и аппаратному обеспечению</w:t>
      </w:r>
    </w:p>
    <w:p>
      <w:r>
        <w:t>1.5 Организационный принцип работы (ролевая модель)</w:t>
      </w:r>
    </w:p>
    <w:p>
      <w:r>
        <w:t>1.6 Инструкция по получению доступа к системе</w:t>
      </w:r>
    </w:p>
    <w:p>
      <w:r>
        <w:t>2 Сценарии работы</w:t>
      </w:r>
    </w:p>
    <w:p>
      <w:r>
        <w:t>2.1 Сценарий 1: Вход в систему и главная страница</w:t>
      </w:r>
    </w:p>
    <w:p>
      <w:r>
        <w:t>2.2 Сценарий 2: Схема цифровых двойников</w:t>
      </w:r>
    </w:p>
    <w:p>
      <w:r>
        <w:t>2.3 Сценарий 3: Визуальный ассистент</w:t>
      </w:r>
    </w:p>
    <w:p>
      <w:r>
        <w:t>2.4 Сценарий 4: Каскад КПЭ</w:t>
      </w:r>
    </w:p>
    <w:p>
      <w:r>
        <w:br w:type="page"/>
      </w:r>
    </w:p>
    <w:p>
      <w:pPr>
        <w:pStyle w:val="Heading1"/>
      </w:pPr>
      <w:r>
        <w:t>1 Общая информация</w:t>
      </w:r>
    </w:p>
    <w:p>
      <w:pPr>
        <w:pStyle w:val="Heading2"/>
      </w:pPr>
      <w:r>
        <w:t>1.1 Перечень сокращений</w:t>
      </w:r>
    </w:p>
    <w:p>
      <w:r>
        <w:rPr>
          <w:b/>
        </w:rPr>
        <w:t>Таблица 1 – Перечень сокращений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Термин / сокращение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СППР</w:t>
            </w:r>
          </w:p>
        </w:tc>
        <w:tc>
          <w:tcPr>
            <w:tcW w:type="dxa" w:w="2880"/>
          </w:tcPr>
          <w:p>
            <w:r>
              <w:t>Система Поддержки Принятия Решений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ДО</w:t>
            </w:r>
          </w:p>
        </w:tc>
        <w:tc>
          <w:tcPr>
            <w:tcW w:type="dxa" w:w="2880"/>
          </w:tcPr>
          <w:p>
            <w:r>
              <w:t>Дочернее общество ПАО «Газпром нефть»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ГПН, Компания</w:t>
            </w:r>
          </w:p>
        </w:tc>
        <w:tc>
          <w:tcPr>
            <w:tcW w:type="dxa" w:w="2880"/>
          </w:tcPr>
          <w:p>
            <w:r>
              <w:t>Публичное акционерное общество «Газпром нефть»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ИС</w:t>
            </w:r>
          </w:p>
        </w:tc>
        <w:tc>
          <w:tcPr>
            <w:tcW w:type="dxa" w:w="2880"/>
          </w:tcPr>
          <w:p>
            <w:r>
              <w:t>Информационная система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КПЭ</w:t>
            </w:r>
          </w:p>
        </w:tc>
        <w:tc>
          <w:tcPr>
            <w:tcW w:type="dxa" w:w="2880"/>
          </w:tcPr>
          <w:p>
            <w:r>
              <w:t>Ключевые показатели эффективности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КП</w:t>
            </w:r>
          </w:p>
        </w:tc>
        <w:tc>
          <w:tcPr>
            <w:tcW w:type="dxa" w:w="2880"/>
          </w:tcPr>
          <w:p>
            <w:r>
              <w:t>Ключевые показатели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ГИС</w:t>
            </w:r>
          </w:p>
        </w:tc>
        <w:tc>
          <w:tcPr>
            <w:tcW w:type="dxa" w:w="2880"/>
          </w:tcPr>
          <w:p>
            <w:r>
              <w:t>Геоинформационная система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АП</w:t>
            </w:r>
          </w:p>
        </w:tc>
        <w:tc>
          <w:tcPr>
            <w:tcW w:type="dxa" w:w="2880"/>
          </w:tcPr>
          <w:p>
            <w:r>
              <w:t>Аналитическое представление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ВСП</w:t>
            </w:r>
          </w:p>
        </w:tc>
        <w:tc>
          <w:tcPr>
            <w:tcW w:type="dxa" w:w="2880"/>
          </w:tcPr>
          <w:p>
            <w:r>
              <w:t>Внутрисменные простои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УВ</w:t>
            </w:r>
          </w:p>
        </w:tc>
        <w:tc>
          <w:tcPr>
            <w:tcW w:type="dxa" w:w="2880"/>
          </w:tcPr>
          <w:p>
            <w:r>
              <w:t>Углеводороды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ННО</w:t>
            </w:r>
          </w:p>
        </w:tc>
        <w:tc>
          <w:tcPr>
            <w:tcW w:type="dxa" w:w="2880"/>
          </w:tcPr>
          <w:p>
            <w:r>
              <w:t>Нефтеотдача/not oil — показатель по фонду (согласно макету)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МРП</w:t>
            </w:r>
          </w:p>
        </w:tc>
        <w:tc>
          <w:tcPr>
            <w:tcW w:type="dxa" w:w="2880"/>
          </w:tcPr>
          <w:p>
            <w:r>
              <w:t>Межремонтный период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ГТМ</w:t>
            </w:r>
          </w:p>
        </w:tc>
        <w:tc>
          <w:tcPr>
            <w:tcW w:type="dxa" w:w="2880"/>
          </w:tcPr>
          <w:p>
            <w:r>
              <w:t>Геолого-технические мероприятия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ЦДНГ</w:t>
            </w:r>
          </w:p>
        </w:tc>
        <w:tc>
          <w:tcPr>
            <w:tcW w:type="dxa" w:w="2880"/>
          </w:tcPr>
          <w:p>
            <w:r>
              <w:t>Цех добычи нефти и газа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ЦППН</w:t>
            </w:r>
          </w:p>
        </w:tc>
        <w:tc>
          <w:tcPr>
            <w:tcW w:type="dxa" w:w="2880"/>
          </w:tcPr>
          <w:p>
            <w:r>
              <w:t>Цех подготовки и перекачки нефти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СУИД</w:t>
            </w:r>
          </w:p>
        </w:tc>
        <w:tc>
          <w:tcPr>
            <w:tcW w:type="dxa" w:w="2880"/>
          </w:tcPr>
          <w:p>
            <w:r>
              <w:t>Система управления идентификационными данными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MS AD</w:t>
            </w:r>
          </w:p>
        </w:tc>
        <w:tc>
          <w:tcPr>
            <w:tcW w:type="dxa" w:w="2880"/>
          </w:tcPr>
          <w:p>
            <w:r>
              <w:t>Microsoft Active Directory</w:t>
            </w:r>
          </w:p>
        </w:tc>
      </w:tr>
    </w:tbl>
    <w:p/>
    <w:p>
      <w:pPr>
        <w:pStyle w:val="Heading2"/>
      </w:pPr>
      <w:r>
        <w:t>1.2 Назначение системы</w:t>
      </w:r>
    </w:p>
    <w:p>
      <w:r>
        <w:t>СППР (Система Поддержки Принятия Решений) предназначена для поддержки управленческих решений на основе аналитических данных по добыче и смежным направлениям. В системе реализованы модули визуализации показателей, мониторинга ключевых показателей эффективности и работы с цифровыми двойниками месторождений.</w:t>
      </w:r>
    </w:p>
    <w:p>
      <w:r>
        <w:t>В документе приведено описание основных модулей, входящих в СППР, и пошаговый порядок работы с ними.</w:t>
      </w:r>
    </w:p>
    <w:p>
      <w:pPr>
        <w:pStyle w:val="Heading2"/>
      </w:pPr>
      <w:r>
        <w:t>1.3 Цель проекта</w:t>
      </w:r>
    </w:p>
    <w:p>
      <w:r>
        <w:t>Цель проекта U250008610 — обеспечить единую платформу для просмотра дашбордов по выбранным направлениям, карты месторождений на ГИС-подложке, мониторинга и анализа ключевых показателей эффективности подразделений.</w:t>
      </w:r>
    </w:p>
    <w:p>
      <w:pPr>
        <w:pStyle w:val="Heading2"/>
      </w:pPr>
      <w:r>
        <w:t>1.4 Минимальные требования к программному и аппаратному обеспечению</w:t>
      </w:r>
    </w:p>
    <w:p>
      <w:r>
        <w:t>Минимальные требования к рабочему месту пользователя:</w:t>
      </w:r>
    </w:p>
    <w:p>
      <w:r>
        <w:rPr>
          <w:b/>
        </w:rPr>
        <w:t>Таблица 2 – Характеристики клиентского рабочего места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Минимальные требования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Рекомендуемые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Процессор</w:t>
            </w:r>
          </w:p>
        </w:tc>
        <w:tc>
          <w:tcPr>
            <w:tcW w:type="dxa" w:w="2160"/>
          </w:tcPr>
          <w:p>
            <w:r>
              <w:t>Intel i3</w:t>
            </w:r>
          </w:p>
        </w:tc>
        <w:tc>
          <w:tcPr>
            <w:tcW w:type="dxa" w:w="2160"/>
          </w:tcPr>
          <w:p>
            <w:r>
              <w:t>Intel i5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ОЗУ</w:t>
            </w:r>
          </w:p>
        </w:tc>
        <w:tc>
          <w:tcPr>
            <w:tcW w:type="dxa" w:w="2160"/>
          </w:tcPr>
          <w:p>
            <w:r>
              <w:t>4 Гб</w:t>
            </w:r>
          </w:p>
        </w:tc>
        <w:tc>
          <w:tcPr>
            <w:tcW w:type="dxa" w:w="2160"/>
          </w:tcPr>
          <w:p>
            <w:r>
              <w:t>8 Гб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Жёсткий диск</w:t>
            </w:r>
          </w:p>
        </w:tc>
        <w:tc>
          <w:tcPr>
            <w:tcW w:type="dxa" w:w="2160"/>
          </w:tcPr>
          <w:p>
            <w:r>
              <w:t>100 Гб</w:t>
            </w:r>
          </w:p>
        </w:tc>
        <w:tc>
          <w:tcPr>
            <w:tcW w:type="dxa" w:w="2160"/>
          </w:tcPr>
          <w:p>
            <w:r>
              <w:t>500 Гб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Монитор</w:t>
            </w:r>
          </w:p>
        </w:tc>
        <w:tc>
          <w:tcPr>
            <w:tcW w:type="dxa" w:w="2160"/>
          </w:tcPr>
          <w:p>
            <w:r>
              <w:t>FullHD 24″</w:t>
            </w:r>
          </w:p>
        </w:tc>
        <w:tc>
          <w:tcPr>
            <w:tcW w:type="dxa" w:w="2160"/>
          </w:tcPr>
          <w:p>
            <w:r>
              <w:t>FullHD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Браузер</w:t>
            </w:r>
          </w:p>
        </w:tc>
        <w:tc>
          <w:tcPr>
            <w:tcW w:type="dxa" w:w="2160"/>
          </w:tcPr>
          <w:p>
            <w:r>
              <w:t>Актуальная версия Chrome / Edge</w:t>
            </w:r>
          </w:p>
        </w:tc>
        <w:tc>
          <w:tcPr>
            <w:tcW w:type="dxa" w:w="2160"/>
          </w:tcPr>
          <w:p>
            <w:r>
              <w:t>Chrome (последняя версия)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Сеть</w:t>
            </w:r>
          </w:p>
        </w:tc>
        <w:tc>
          <w:tcPr>
            <w:tcW w:type="dxa" w:w="2160"/>
          </w:tcPr>
          <w:p>
            <w:r>
              <w:t>Доступ к корпоративной сети / VPN</w:t>
            </w:r>
          </w:p>
        </w:tc>
        <w:tc>
          <w:tcPr>
            <w:tcW w:type="dxa" w:w="2160"/>
          </w:tcPr>
          <w:p>
            <w:r>
              <w:t>Стабильное подключение</w:t>
            </w:r>
          </w:p>
        </w:tc>
      </w:tr>
    </w:tbl>
    <w:p/>
    <w:p>
      <w:pPr>
        <w:pStyle w:val="Heading2"/>
      </w:pPr>
      <w:r>
        <w:t>1.5 Организационный принцип работы (ролевая модель)</w:t>
      </w:r>
    </w:p>
    <w:p>
      <w:r>
        <w:t>Доступ пользователей к системе осуществляется в соответствии с назначенными правами. Неавторизованный доступ к данным не разрешён.</w:t>
      </w:r>
    </w:p>
    <w:p>
      <w:r>
        <w:rPr>
          <w:b/>
        </w:rPr>
        <w:t>Таблица 3 – Реестр процессных ролей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Гость</w:t>
            </w:r>
          </w:p>
        </w:tc>
        <w:tc>
          <w:tcPr>
            <w:tcW w:type="dxa" w:w="2880"/>
          </w:tcPr>
          <w:p>
            <w:r>
              <w:t>Просмотр аналитических представлений в рамках предоставленного доступа.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Руководитель КЦ</w:t>
            </w:r>
          </w:p>
        </w:tc>
        <w:tc>
          <w:tcPr>
            <w:tcW w:type="dxa" w:w="2880"/>
          </w:tcPr>
          <w:p>
            <w:r>
              <w:t>Просмотр данных, работа с модулями согласно матрице доступа.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Руководитель ДО</w:t>
            </w:r>
          </w:p>
        </w:tc>
        <w:tc>
          <w:tcPr>
            <w:tcW w:type="dxa" w:w="2880"/>
          </w:tcPr>
          <w:p>
            <w:r>
              <w:t>Просмотр и анализ данных по ДО, комментирование, работа с КПЭ.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Руководитель управления</w:t>
            </w:r>
          </w:p>
        </w:tc>
        <w:tc>
          <w:tcPr>
            <w:tcW w:type="dxa" w:w="2880"/>
          </w:tcPr>
          <w:p>
            <w:r>
              <w:t>Просмотр аналитики управления.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Руководитель производственного цеха</w:t>
            </w:r>
          </w:p>
        </w:tc>
        <w:tc>
          <w:tcPr>
            <w:tcW w:type="dxa" w:w="2880"/>
          </w:tcPr>
          <w:p>
            <w:r>
              <w:t>Просмотр операционных показателей цеха.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Эксперт</w:t>
            </w:r>
          </w:p>
        </w:tc>
        <w:tc>
          <w:tcPr>
            <w:tcW w:type="dxa" w:w="2880"/>
          </w:tcPr>
          <w:p>
            <w:r>
              <w:t>Просмотр данных, комментирование на карте и графиках.</w:t>
            </w:r>
          </w:p>
        </w:tc>
      </w:tr>
    </w:tbl>
    <w:p/>
    <w:p>
      <w:pPr>
        <w:pStyle w:val="Heading2"/>
      </w:pPr>
      <w:r>
        <w:t>1.6 Инструкция по получению доступа к системе</w:t>
      </w:r>
    </w:p>
    <w:p>
      <w:r>
        <w:t>Для работы в СППР необходима учётная запись с правами согласно ролевой модели. Получение доступа выполняется через корпоративные процедуры (СУИД / портал самообслуживания) по регламенту вашего ДО либо через администратора системы.</w:t>
      </w:r>
    </w:p>
    <w:p>
      <w:pPr>
        <w:pStyle w:val="ListNumber"/>
      </w:pPr>
      <w:r>
        <w:t>1. Перейти по адресу https://sppr-dev.apps.okd.cloud.nedra.digital/ (актуальный URL уточняйте у администратора).</w:t>
      </w:r>
    </w:p>
    <w:p>
      <w:pPr>
        <w:pStyle w:val="ListNumber"/>
      </w:pPr>
      <w:r>
        <w:t>2. Дождаться загрузки страницы авторизации.</w:t>
      </w:r>
    </w:p>
    <w:p>
      <w:pPr>
        <w:pStyle w:val="ListNumber"/>
      </w:pPr>
      <w:r>
        <w:t>3. Ввести корпоративный логин и пароль.</w:t>
      </w:r>
    </w:p>
    <w:p>
      <w:pPr>
        <w:pStyle w:val="ListNumber"/>
      </w:pPr>
      <w:r>
        <w:t>4. Нажать кнопку «Вход».</w:t>
      </w:r>
    </w:p>
    <w:p>
      <w:pPr>
        <w:pStyle w:val="ListNumber"/>
      </w:pPr>
      <w:r>
        <w:t>5. Убедиться, что открылась главная страница СППР с доступными модулями.</w:t>
      </w:r>
    </w:p>
    <w:p>
      <w:r>
        <w:rPr>
          <w:i/>
        </w:rPr>
        <w:t>Рисунок 1 – Страница авторизации СППР</w:t>
      </w:r>
    </w:p>
    <w:p>
      <w:r>
        <w:rPr>
          <w:i/>
        </w:rPr>
        <w:t>[ Вставьте скриншот ]</w:t>
      </w:r>
    </w:p>
    <w:p/>
    <w:p/>
    <w:p>
      <w:r>
        <w:br w:type="page"/>
      </w:r>
    </w:p>
    <w:p>
      <w:pPr>
        <w:pStyle w:val="Heading1"/>
      </w:pPr>
      <w:r>
        <w:t>2 Сценарии работы</w:t>
      </w:r>
    </w:p>
    <w:p>
      <w:pPr>
        <w:pStyle w:val="Heading2"/>
      </w:pPr>
      <w:r>
        <w:t>Сценарий 1: Вход в систему и главная страница</w:t>
      </w:r>
    </w:p>
    <w:p>
      <w:r>
        <w:t>Данный сценарий описывает авторизацию в системе и навигацию с главной страницы к основным модулям СППР.</w:t>
      </w:r>
    </w:p>
    <w:p>
      <w:r>
        <w:rPr>
          <w:i/>
        </w:rPr>
        <w:t>Рисунок 2 – Диаграмма сценария «Вход в систему и главная страница»</w:t>
      </w:r>
    </w:p>
    <w:p>
      <w:r>
        <w:rPr>
          <w:i/>
        </w:rPr>
        <w:t>[ Вставьте скриншот ]</w:t>
      </w:r>
    </w:p>
    <w:p/>
    <w:p/>
    <w:p>
      <w:r>
        <w:t>На главной странице отображаются карточки модулей. В правом верхнем углу отображается текущая дата. При наведении на карточку модуль подсвечивается.</w:t>
      </w:r>
    </w:p>
    <w:p>
      <w:pPr>
        <w:pStyle w:val="ListNumber"/>
      </w:pPr>
      <w:r>
        <w:t>1. Войти в систему СППР (см. п. 1.6).</w:t>
      </w:r>
    </w:p>
    <w:p>
      <w:pPr>
        <w:pStyle w:val="ListNumber"/>
      </w:pPr>
      <w:r>
        <w:t>2. На главной странице просмотреть доступные модули: «Схема цифровых двойников», «Визуальный ассистент», «Каскад КПЭ».</w:t>
      </w:r>
    </w:p>
    <w:p>
      <w:pPr>
        <w:pStyle w:val="ListNumber"/>
      </w:pPr>
      <w:r>
        <w:t>3. Навести курсор на карточку нужного модуля — карточка подсвечивается.</w:t>
      </w:r>
    </w:p>
    <w:p>
      <w:pPr>
        <w:pStyle w:val="ListNumber"/>
      </w:pPr>
      <w:r>
        <w:t>4. Нажать «Перейти» (или перейти в модуль наведением и кликом — согласно макету).</w:t>
      </w:r>
    </w:p>
    <w:p>
      <w:pPr>
        <w:pStyle w:val="ListNumber"/>
      </w:pPr>
      <w:r>
        <w:t>5. Для возврата на главную нажать «Назад» в левом верхнем углу.</w:t>
      </w:r>
    </w:p>
    <w:p>
      <w:r>
        <w:rPr>
          <w:i/>
        </w:rPr>
        <w:t>Рисунок 3 – Главная страница СППР</w:t>
      </w:r>
    </w:p>
    <w:p>
      <w:r>
        <w:rPr>
          <w:i/>
        </w:rPr>
        <w:t>[ Вставьте скриншот ]</w:t>
      </w:r>
    </w:p>
    <w:p/>
    <w:p/>
    <w:p>
      <w:r>
        <w:br w:type="page"/>
      </w:r>
    </w:p>
    <w:p>
      <w:pPr>
        <w:pStyle w:val="Heading2"/>
      </w:pPr>
      <w:r>
        <w:t>Сценарий 2: Схема цифровых двойников</w:t>
      </w:r>
    </w:p>
    <w:p>
      <w:r>
        <w:t>Модуль «Схема цифровых двойников» позволяет просматривать карту месторождений на ГИС-подложке с объектами, получать информацию по объектам и работать с комментариями.</w:t>
      </w:r>
    </w:p>
    <w:p>
      <w:r>
        <w:rPr>
          <w:i/>
        </w:rPr>
        <w:t>Рисунок 4 – Диаграмма сценария «Схема цифровых двойников»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Работа с картой ГИС</w:t>
      </w:r>
    </w:p>
    <w:p>
      <w:pPr>
        <w:pStyle w:val="ListNumber"/>
      </w:pPr>
      <w:r>
        <w:t>1. На главной странице перейти в модуль «Схема цифровых двойников».</w:t>
      </w:r>
    </w:p>
    <w:p>
      <w:pPr>
        <w:pStyle w:val="ListNumber"/>
      </w:pPr>
      <w:r>
        <w:t>2. Дождаться отображения карты с объектами.</w:t>
      </w:r>
    </w:p>
    <w:p>
      <w:pPr>
        <w:pStyle w:val="ListNumber"/>
      </w:pPr>
      <w:r>
        <w:t>3. Зажать левую кнопку мыши и переместить карту — изменится область просмотра.</w:t>
      </w:r>
    </w:p>
    <w:p>
      <w:pPr>
        <w:pStyle w:val="ListNumber"/>
      </w:pPr>
      <w:r>
        <w:t>4. Прокрутить колёсико мыши — выполнить приближение или отдаление.</w:t>
      </w:r>
    </w:p>
    <w:p>
      <w:r>
        <w:rPr>
          <w:i/>
        </w:rPr>
        <w:t>Рисунок 5 – Карта ГИС в модуле «Схема цифровых двойников»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Просмотр информации по объекту</w:t>
      </w:r>
    </w:p>
    <w:p>
      <w:pPr>
        <w:pStyle w:val="ListNumber"/>
      </w:pPr>
      <w:r>
        <w:t>1. На карте навести курсор на объект и кликнуть по нему.</w:t>
      </w:r>
    </w:p>
    <w:p>
      <w:pPr>
        <w:pStyle w:val="ListNumber"/>
      </w:pPr>
      <w:r>
        <w:t>2. Просмотреть информационное окно: наименования параметров и значения.</w:t>
      </w:r>
    </w:p>
    <w:p>
      <w:pPr>
        <w:pStyle w:val="ListNumber"/>
      </w:pPr>
      <w:r>
        <w:t>3. Кликнуть по свободной области карты — окно закроется.</w:t>
      </w:r>
    </w:p>
    <w:p>
      <w:r>
        <w:rPr>
          <w:i/>
        </w:rPr>
        <w:t>Рисунок 6 – Информационное окно по объекту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Добавление комментария к объекту</w:t>
      </w:r>
    </w:p>
    <w:p>
      <w:pPr>
        <w:pStyle w:val="ListNumber"/>
      </w:pPr>
      <w:r>
        <w:t>1. Кликнуть по объекту на карте.</w:t>
      </w:r>
    </w:p>
    <w:p>
      <w:pPr>
        <w:pStyle w:val="ListNumber"/>
      </w:pPr>
      <w:r>
        <w:t>2. Нажать «Добавить комментарий».</w:t>
      </w:r>
    </w:p>
    <w:p>
      <w:pPr>
        <w:pStyle w:val="ListNumber"/>
      </w:pPr>
      <w:r>
        <w:t>3. Ввести текст в поле ввода.</w:t>
      </w:r>
    </w:p>
    <w:p>
      <w:pPr>
        <w:pStyle w:val="ListNumber"/>
      </w:pPr>
      <w:r>
        <w:t>4. Нажать «Сохранить» — комментарий отобразится на карте (пользователь, дата, текст, объект).</w:t>
      </w:r>
    </w:p>
    <w:p>
      <w:r>
        <w:rPr>
          <w:i/>
        </w:rPr>
        <w:t>Рисунок 7 – Добавление комментария на объекте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Редактирование и удаление своего комментария</w:t>
      </w:r>
    </w:p>
    <w:p>
      <w:pPr>
        <w:pStyle w:val="ListNumber"/>
      </w:pPr>
      <w:r>
        <w:t>1. Кликнуть по своему комментарию на карте.</w:t>
      </w:r>
    </w:p>
    <w:p>
      <w:pPr>
        <w:pStyle w:val="ListNumber"/>
      </w:pPr>
      <w:r>
        <w:t>2. Для редактирования: «Редактировать» → изменить текст → «Сохранить».</w:t>
      </w:r>
    </w:p>
    <w:p>
      <w:pPr>
        <w:pStyle w:val="ListNumber"/>
      </w:pPr>
      <w:r>
        <w:t>3. Для удаления: «Удалить» → подтвердить «Да».</w:t>
      </w:r>
    </w:p>
    <w:p>
      <w:pPr>
        <w:pStyle w:val="ListNumber"/>
      </w:pPr>
      <w:r>
        <w:t>4. Нажать «Назад» для возврата на главную страницу.</w:t>
      </w:r>
    </w:p>
    <w:p>
      <w:r>
        <w:rPr>
          <w:i/>
        </w:rPr>
        <w:t>Рисунок 8 – Редактирование комментария</w:t>
      </w:r>
    </w:p>
    <w:p>
      <w:r>
        <w:rPr>
          <w:i/>
        </w:rPr>
        <w:t>[ Вставьте скриншот ]</w:t>
      </w:r>
    </w:p>
    <w:p/>
    <w:p/>
    <w:p>
      <w:r>
        <w:t>Исключительная ситуация: при ошибке загрузки данных карта отображается без объектов, навигация недоступна, выводится сообщение об ошибке.</w:t>
      </w:r>
    </w:p>
    <w:p>
      <w:r>
        <w:br w:type="page"/>
      </w:r>
    </w:p>
    <w:p>
      <w:pPr>
        <w:pStyle w:val="Heading2"/>
      </w:pPr>
      <w:r>
        <w:t>Сценарий 3: Визуальный ассистент</w:t>
      </w:r>
    </w:p>
    <w:p>
      <w:r>
        <w:t>Модуль «Визуальный ассистент» предоставляет дашборды по направлениям (Добыча, Газ и Энергетика, Экономика, HSE, HR, Капитальное строительство) с возможностью детального просмотра графиков и комментирования показателей.</w:t>
      </w:r>
    </w:p>
    <w:p>
      <w:r>
        <w:rPr>
          <w:i/>
        </w:rPr>
        <w:t>Рисунок 9 – Диаграмма сценария «Визуальный ассистент»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Главный экран модуля</w:t>
      </w:r>
    </w:p>
    <w:p>
      <w:pPr>
        <w:pStyle w:val="ListNumber"/>
      </w:pPr>
      <w:r>
        <w:t>1. С главной страницы перейти в «Визуальный ассистент».</w:t>
      </w:r>
    </w:p>
    <w:p>
      <w:pPr>
        <w:pStyle w:val="ListNumber"/>
      </w:pPr>
      <w:r>
        <w:t>2. Просмотреть виджеты с графиками по шести направлениям.</w:t>
      </w:r>
    </w:p>
    <w:p>
      <w:pPr>
        <w:pStyle w:val="ListNumber"/>
      </w:pPr>
      <w:r>
        <w:t>3. Нажать на виджет — открыть полноэкранное аналитическое представление (АП).</w:t>
      </w:r>
    </w:p>
    <w:p>
      <w:r>
        <w:rPr>
          <w:i/>
        </w:rPr>
        <w:t>Рисунок 10 – Главная страница модуля «Визуальный ассистент»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Направление «Добыча» — вкладка «Ключевые показатели»</w:t>
      </w:r>
    </w:p>
    <w:p>
      <w:r>
        <w:t>На вкладке отображаются графики: Добыча нефти, Добыча жидкости, Закачка, Добыча газа, Показатели по газу, Динамика фонда скважин, Фонд скважин ДО, Добыча УВ, Сдача нефти. Слева от графиков — суммарные данные за год; справа — легенда.</w:t>
      </w:r>
    </w:p>
    <w:p>
      <w:pPr>
        <w:pStyle w:val="ListNumber"/>
      </w:pPr>
      <w:r>
        <w:t>1. Перейти: «Визуальный ассистент» → «Добыча» → «Ключевые показатели».</w:t>
      </w:r>
    </w:p>
    <w:p>
      <w:pPr>
        <w:pStyle w:val="ListNumber"/>
      </w:pPr>
      <w:r>
        <w:t>2. Навести курсор на элемент графика (например, значение за март) — появится тултип с деталями.</w:t>
      </w:r>
    </w:p>
    <w:p>
      <w:pPr>
        <w:pStyle w:val="ListNumber"/>
      </w:pPr>
      <w:r>
        <w:t>3. Навести курсор на пункт легенды — изменится отображение серий на графике.</w:t>
      </w:r>
    </w:p>
    <w:p>
      <w:r>
        <w:rPr>
          <w:i/>
        </w:rPr>
        <w:t>Рисунок 11 – Вкладка «Ключевые показатели», график «Закачка»</w:t>
      </w:r>
    </w:p>
    <w:p>
      <w:r>
        <w:rPr>
          <w:i/>
        </w:rPr>
        <w:t>[ Вставьте скриншот ]</w:t>
      </w:r>
    </w:p>
    <w:p/>
    <w:p/>
    <w:p>
      <w:r>
        <w:rPr>
          <w:i/>
        </w:rPr>
        <w:t>Рисунок 12 – График «Добыча газа» / «Показатели по газу»</w:t>
      </w:r>
    </w:p>
    <w:p>
      <w:r>
        <w:rPr>
          <w:i/>
        </w:rPr>
        <w:t>[ Вставьте скриншот ]</w:t>
      </w:r>
    </w:p>
    <w:p/>
    <w:p/>
    <w:p>
      <w:r>
        <w:rPr>
          <w:i/>
        </w:rPr>
        <w:t>Рисунок 13 – График «Добыча УВ» / «Сдача нефти»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Вкладка «Работа с фондом»</w:t>
      </w:r>
    </w:p>
    <w:p>
      <w:r>
        <w:t>Графики: Распределение отказов, Динамика отказов, Динамика фонда скважин по категориям, Фонд скважин по ДО, ННО, МРП без ГТМ.</w:t>
      </w:r>
    </w:p>
    <w:p>
      <w:pPr>
        <w:pStyle w:val="ListNumber"/>
      </w:pPr>
      <w:r>
        <w:t>1. Перейти: «Добыча» → «Работа с фондом».</w:t>
      </w:r>
    </w:p>
    <w:p>
      <w:pPr>
        <w:pStyle w:val="ListNumber"/>
      </w:pPr>
      <w:r>
        <w:t>2. Навести курсор на график «ННО» или «МРП без ГТМ» — просмотреть тултип.</w:t>
      </w:r>
    </w:p>
    <w:p>
      <w:pPr>
        <w:pStyle w:val="ListNumber"/>
      </w:pPr>
      <w:r>
        <w:t>3. Использовать легенду для включения/отключения показателей.</w:t>
      </w:r>
    </w:p>
    <w:p>
      <w:r>
        <w:rPr>
          <w:i/>
        </w:rPr>
        <w:t>Рисунок 14 – Вкладка «Работа с фондом»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Вкладка «Недоборы»</w:t>
      </w:r>
    </w:p>
    <w:p>
      <w:r>
        <w:t>Графики: Распределение причин ВСП, Динамика ВСП (количество), Потенциальная добыча от ВСП, Потенциал по нефти Топ-10.</w:t>
      </w:r>
    </w:p>
    <w:p>
      <w:r>
        <w:rPr>
          <w:i/>
        </w:rPr>
        <w:t>Рисунок 15 – Вкладка «Недоборы»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Комментарии на графиках</w:t>
      </w:r>
    </w:p>
    <w:p>
      <w:pPr>
        <w:pStyle w:val="ListNumber"/>
      </w:pPr>
      <w:r>
        <w:t>1. В панели управления включить «Комментирование».</w:t>
      </w:r>
    </w:p>
    <w:p>
      <w:pPr>
        <w:pStyle w:val="ListNumber"/>
      </w:pPr>
      <w:r>
        <w:t>2. Кликнуть по параметру на графике — откроется поле ввода.</w:t>
      </w:r>
    </w:p>
    <w:p>
      <w:pPr>
        <w:pStyle w:val="ListNumber"/>
      </w:pPr>
      <w:r>
        <w:t>3. Ввести текст, нажать «Сохранить».</w:t>
      </w:r>
    </w:p>
    <w:p>
      <w:pPr>
        <w:pStyle w:val="ListNumber"/>
      </w:pPr>
      <w:r>
        <w:t>4. Для просмотра: включить «Показать комментарии».</w:t>
      </w:r>
    </w:p>
    <w:p>
      <w:pPr>
        <w:pStyle w:val="ListNumber"/>
      </w:pPr>
      <w:r>
        <w:t>5. Редактирование/удаление своего комментария: клик по комментарию → «Редактировать» или «Удалить» → «Да».</w:t>
      </w:r>
    </w:p>
    <w:p>
      <w:pPr>
        <w:pStyle w:val="ListNumber"/>
      </w:pPr>
      <w:r>
        <w:t>6. Проверить почту — должно прийти уведомление об оставленном комментарии.</w:t>
      </w:r>
    </w:p>
    <w:p>
      <w:r>
        <w:rPr>
          <w:i/>
        </w:rPr>
        <w:t>Рисунок 16 – Режим «Комментирование» на графике</w:t>
      </w:r>
    </w:p>
    <w:p>
      <w:r>
        <w:rPr>
          <w:i/>
        </w:rPr>
        <w:t>[ Вставьте скриншот ]</w:t>
      </w:r>
    </w:p>
    <w:p/>
    <w:p/>
    <w:p>
      <w:r>
        <w:br w:type="page"/>
      </w:r>
    </w:p>
    <w:p>
      <w:pPr>
        <w:pStyle w:val="Heading2"/>
      </w:pPr>
      <w:r>
        <w:t>Сценарий 4: Каскад КПЭ</w:t>
      </w:r>
    </w:p>
    <w:p>
      <w:r>
        <w:t>Модуль «Каскад КПЭ» предназначен для просмотра ключевых показателей эффективности по ДО, мониторинга, анализа трендов, сводной справки по премированию, а также экспорта и импорта данных.</w:t>
      </w:r>
    </w:p>
    <w:p>
      <w:r>
        <w:rPr>
          <w:i/>
        </w:rPr>
        <w:t>Рисунок 17 – Диаграмма сценария «Каскад КПЭ»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Главная страница модуля</w:t>
      </w:r>
    </w:p>
    <w:p>
      <w:pPr>
        <w:pStyle w:val="ListNumber"/>
      </w:pPr>
      <w:r>
        <w:t>1. С главной страницы перейти в «Каскад КПЭ».</w:t>
      </w:r>
    </w:p>
    <w:p>
      <w:pPr>
        <w:pStyle w:val="ListNumber"/>
      </w:pPr>
      <w:r>
        <w:t>2. Просмотреть виджеты с показателями КП по ДО.</w:t>
      </w:r>
    </w:p>
    <w:p>
      <w:pPr>
        <w:pStyle w:val="ListNumber"/>
      </w:pPr>
      <w:r>
        <w:t>3. Переключить фильтр «Общие КП» / «Обязательные КП».</w:t>
      </w:r>
    </w:p>
    <w:p>
      <w:pPr>
        <w:pStyle w:val="ListNumber"/>
      </w:pPr>
      <w:r>
        <w:t>4. Навести курсор на показатель (например, «Производство», «Качество») — просмотреть тултип.</w:t>
      </w:r>
    </w:p>
    <w:p>
      <w:r>
        <w:rPr>
          <w:i/>
        </w:rPr>
        <w:t>Рисунок 18 – Главная страница модуля «Каскад КПЭ»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Мониторинг КПЭ</w:t>
      </w:r>
    </w:p>
    <w:p>
      <w:pPr>
        <w:pStyle w:val="ListNumber"/>
      </w:pPr>
      <w:r>
        <w:t>1. В карточке ДО нажать «Мониторинг КПЭ» (или меню «три точки» → «Мониторинг КПЭ»).</w:t>
      </w:r>
    </w:p>
    <w:p>
      <w:pPr>
        <w:pStyle w:val="ListNumber"/>
      </w:pPr>
      <w:r>
        <w:t>2. Просмотреть таблицу показателей.</w:t>
      </w:r>
    </w:p>
    <w:p>
      <w:pPr>
        <w:pStyle w:val="ListNumber"/>
      </w:pPr>
      <w:r>
        <w:t>3. Применить фильтр групп: Все / Эффективность / Качество.</w:t>
      </w:r>
    </w:p>
    <w:p>
      <w:pPr>
        <w:pStyle w:val="ListNumber"/>
      </w:pPr>
      <w:r>
        <w:t>4. Применить фильтр подразделений: ЦДНГ / ЦППН.</w:t>
      </w:r>
    </w:p>
    <w:p>
      <w:pPr>
        <w:pStyle w:val="ListNumber"/>
      </w:pPr>
      <w:r>
        <w:t>5. Навести на показатель — откроется информационное окно.</w:t>
      </w:r>
    </w:p>
    <w:p>
      <w:pPr>
        <w:pStyle w:val="ListNumber"/>
      </w:pPr>
      <w:r>
        <w:t>6. Кликнуть наименование ДО — вернуться в карточку ДО.</w:t>
      </w:r>
    </w:p>
    <w:p>
      <w:r>
        <w:rPr>
          <w:i/>
        </w:rPr>
        <w:t>Рисунок 19 – Страница «Мониторинг КПЭ»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Экспорт и импорт (Мониторинг КПЭ)</w:t>
      </w:r>
    </w:p>
    <w:p>
      <w:pPr>
        <w:pStyle w:val="ListNumber"/>
      </w:pPr>
      <w:r>
        <w:t>1. Нажать «Экспортировать», выбрать формат PDF или Excel.</w:t>
      </w:r>
    </w:p>
    <w:p>
      <w:pPr>
        <w:pStyle w:val="ListNumber"/>
      </w:pPr>
      <w:r>
        <w:t>2. Открыть скачанный файл и проверить соответствие шаблону.</w:t>
      </w:r>
    </w:p>
    <w:p>
      <w:pPr>
        <w:pStyle w:val="ListNumber"/>
      </w:pPr>
      <w:r>
        <w:t>3. Вернуться в систему, нажать «Импортировать».</w:t>
      </w:r>
    </w:p>
    <w:p>
      <w:pPr>
        <w:pStyle w:val="ListNumber"/>
      </w:pPr>
      <w:r>
        <w:t>4. Загрузить заполненный шаблон — данные в таблице обновятся.</w:t>
      </w:r>
    </w:p>
    <w:p>
      <w:r>
        <w:rPr>
          <w:i/>
        </w:rPr>
        <w:t>Рисунок 20 – Экспорт / импорт «Мониторинг КПЭ»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Анализ трендов</w:t>
      </w:r>
    </w:p>
    <w:p>
      <w:pPr>
        <w:pStyle w:val="ListNumber"/>
      </w:pPr>
      <w:r>
        <w:t>1. Перейти: Каскад КПЭ → Карточка ДО → доп. меню → «Анализ трендов».</w:t>
      </w:r>
    </w:p>
    <w:p>
      <w:pPr>
        <w:pStyle w:val="ListNumber"/>
      </w:pPr>
      <w:r>
        <w:t>2. Просмотреть показатели в табличном и графическом виде.</w:t>
      </w:r>
    </w:p>
    <w:p>
      <w:pPr>
        <w:pStyle w:val="ListNumber"/>
      </w:pPr>
      <w:r>
        <w:t>3. Применить фильтры по подразделениям и категориям (Безопасность, Эффективность).</w:t>
      </w:r>
    </w:p>
    <w:p>
      <w:pPr>
        <w:pStyle w:val="ListNumber"/>
      </w:pPr>
      <w:r>
        <w:t>4. Кликнуть показатель «Выполнение месячного графика добычи» — откроется «Динамика ключевых показателей».</w:t>
      </w:r>
    </w:p>
    <w:p>
      <w:pPr>
        <w:pStyle w:val="ListNumber"/>
      </w:pPr>
      <w:r>
        <w:t>5. Повторить для «Выполнение графика сдачи нефти» и «Выполнение графика производительной закачки».</w:t>
      </w:r>
    </w:p>
    <w:p>
      <w:r>
        <w:rPr>
          <w:i/>
        </w:rPr>
        <w:t>Рисунок 21 – Раздел «Анализ трендов»</w:t>
      </w:r>
    </w:p>
    <w:p>
      <w:r>
        <w:rPr>
          <w:i/>
        </w:rPr>
        <w:t>[ Вставьте скриншот ]</w:t>
      </w:r>
    </w:p>
    <w:p/>
    <w:p/>
    <w:p>
      <w:r>
        <w:rPr>
          <w:i/>
        </w:rPr>
        <w:t>Рисунок 22 – Динамика ключевых показателей</w:t>
      </w:r>
    </w:p>
    <w:p>
      <w:r>
        <w:rPr>
          <w:i/>
        </w:rPr>
        <w:t>[ Вставьте скриншот ]</w:t>
      </w:r>
    </w:p>
    <w:p/>
    <w:p/>
    <w:p>
      <w:pPr>
        <w:pStyle w:val="Heading3"/>
      </w:pPr>
      <w:r>
        <w:t>Сводная справка</w:t>
      </w:r>
    </w:p>
    <w:p>
      <w:pPr>
        <w:pStyle w:val="ListNumber"/>
      </w:pPr>
      <w:r>
        <w:t>1. Перейти: Каскад КПЭ → Карточка ДО → «Сводная справка».</w:t>
      </w:r>
    </w:p>
    <w:p>
      <w:pPr>
        <w:pStyle w:val="ListNumber"/>
      </w:pPr>
      <w:r>
        <w:t>2. Просмотреть показатели, влияющие на премирование.</w:t>
      </w:r>
    </w:p>
    <w:p>
      <w:pPr>
        <w:pStyle w:val="ListNumber"/>
      </w:pPr>
      <w:r>
        <w:t>3. Применить фильтр по подразделениям (ЦДНГ, ЦППН).</w:t>
      </w:r>
    </w:p>
    <w:p>
      <w:pPr>
        <w:pStyle w:val="ListNumber"/>
      </w:pPr>
      <w:r>
        <w:t>4. «Экспортировать» / «Импортировать» — по аналогии с мониторингом КПЭ.</w:t>
      </w:r>
    </w:p>
    <w:p>
      <w:r>
        <w:rPr>
          <w:i/>
        </w:rPr>
        <w:t>Рисунок 23 – Страница «Сводная справка»</w:t>
      </w:r>
    </w:p>
    <w:p>
      <w:r>
        <w:rPr>
          <w:i/>
        </w:rPr>
        <w:t>[ Вставьте скриншот ]</w:t>
      </w:r>
    </w:p>
    <w:p/>
    <w:p/>
    <w:p/>
    <w:p>
      <w:r>
        <w:rPr>
          <w:i/>
        </w:rPr>
        <w:t>Проект U250008610 «Система Поддержки Принятия Решений». Документ составлен по функционально-технической спецификации. Рисунки вставляются пользователем в отмеченные места.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