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943" w:type="dxa"/>
        <w:tblLook w:val="04A0" w:firstRow="1" w:lastRow="0" w:firstColumn="1" w:lastColumn="0" w:noHBand="0" w:noVBand="1"/>
      </w:tblPr>
      <w:tblGrid>
        <w:gridCol w:w="1925"/>
        <w:gridCol w:w="4067"/>
        <w:gridCol w:w="2959"/>
        <w:gridCol w:w="2532"/>
        <w:gridCol w:w="1134"/>
        <w:gridCol w:w="1131"/>
        <w:gridCol w:w="1195"/>
      </w:tblGrid>
      <w:tr w:rsidR="00433BC8" w:rsidRPr="00644032" w14:paraId="100B414E" w14:textId="77777777" w:rsidTr="00E4491E">
        <w:trPr>
          <w:trHeight w:val="558"/>
        </w:trPr>
        <w:tc>
          <w:tcPr>
            <w:tcW w:w="1838" w:type="dxa"/>
            <w:shd w:val="clear" w:color="auto" w:fill="2E74B5" w:themeFill="accent1" w:themeFillShade="BF"/>
          </w:tcPr>
          <w:p w14:paraId="66495A86" w14:textId="77777777" w:rsidR="00644032" w:rsidRPr="00644032" w:rsidRDefault="00644032" w:rsidP="00645909">
            <w:pPr>
              <w:rPr>
                <w:color w:val="FFFFFF" w:themeColor="background1"/>
              </w:rPr>
            </w:pPr>
            <w:r>
              <w:rPr>
                <w:color w:val="FFFFFF" w:themeColor="background1"/>
              </w:rPr>
              <w:t>Risk</w:t>
            </w:r>
          </w:p>
        </w:tc>
        <w:tc>
          <w:tcPr>
            <w:tcW w:w="4111" w:type="dxa"/>
            <w:shd w:val="clear" w:color="auto" w:fill="2E74B5" w:themeFill="accent1" w:themeFillShade="BF"/>
          </w:tcPr>
          <w:p w14:paraId="2722B5CD" w14:textId="77777777" w:rsidR="00644032" w:rsidRPr="00644032" w:rsidRDefault="00644032" w:rsidP="00645909">
            <w:pPr>
              <w:rPr>
                <w:color w:val="FFFFFF" w:themeColor="background1"/>
              </w:rPr>
            </w:pPr>
            <w:r w:rsidRPr="00644032">
              <w:rPr>
                <w:color w:val="FFFFFF" w:themeColor="background1"/>
              </w:rPr>
              <w:t>Risk Statement</w:t>
            </w:r>
          </w:p>
        </w:tc>
        <w:tc>
          <w:tcPr>
            <w:tcW w:w="2977" w:type="dxa"/>
            <w:shd w:val="clear" w:color="auto" w:fill="2E74B5" w:themeFill="accent1" w:themeFillShade="BF"/>
          </w:tcPr>
          <w:p w14:paraId="79A53B42" w14:textId="77777777" w:rsidR="00644032" w:rsidRPr="00644032" w:rsidRDefault="00644032" w:rsidP="00645909">
            <w:pPr>
              <w:rPr>
                <w:color w:val="FFFFFF" w:themeColor="background1"/>
              </w:rPr>
            </w:pPr>
            <w:r w:rsidRPr="00644032">
              <w:rPr>
                <w:color w:val="FFFFFF" w:themeColor="background1"/>
              </w:rPr>
              <w:t>Response strategy</w:t>
            </w:r>
          </w:p>
        </w:tc>
        <w:tc>
          <w:tcPr>
            <w:tcW w:w="2551" w:type="dxa"/>
            <w:shd w:val="clear" w:color="auto" w:fill="2E74B5" w:themeFill="accent1" w:themeFillShade="BF"/>
          </w:tcPr>
          <w:p w14:paraId="52DF3F3F" w14:textId="77777777" w:rsidR="00644032" w:rsidRPr="00644032" w:rsidRDefault="00644032" w:rsidP="00645909">
            <w:pPr>
              <w:rPr>
                <w:color w:val="FFFFFF" w:themeColor="background1"/>
              </w:rPr>
            </w:pPr>
            <w:r w:rsidRPr="00644032">
              <w:rPr>
                <w:color w:val="FFFFFF" w:themeColor="background1"/>
              </w:rPr>
              <w:t>Objectives</w:t>
            </w:r>
          </w:p>
        </w:tc>
        <w:tc>
          <w:tcPr>
            <w:tcW w:w="1134" w:type="dxa"/>
            <w:shd w:val="clear" w:color="auto" w:fill="2E74B5" w:themeFill="accent1" w:themeFillShade="BF"/>
          </w:tcPr>
          <w:p w14:paraId="598A3FDB" w14:textId="77777777" w:rsidR="00644032" w:rsidRPr="00644032" w:rsidRDefault="00644032" w:rsidP="00645909">
            <w:pPr>
              <w:rPr>
                <w:color w:val="FFFFFF" w:themeColor="background1"/>
              </w:rPr>
            </w:pPr>
            <w:r w:rsidRPr="00644032">
              <w:rPr>
                <w:color w:val="FFFFFF" w:themeColor="background1"/>
              </w:rPr>
              <w:t>Likelihood</w:t>
            </w:r>
          </w:p>
        </w:tc>
        <w:tc>
          <w:tcPr>
            <w:tcW w:w="1134" w:type="dxa"/>
            <w:shd w:val="clear" w:color="auto" w:fill="2E74B5" w:themeFill="accent1" w:themeFillShade="BF"/>
          </w:tcPr>
          <w:p w14:paraId="27C0AAF2" w14:textId="77777777" w:rsidR="00644032" w:rsidRPr="00644032" w:rsidRDefault="00644032" w:rsidP="00645909">
            <w:pPr>
              <w:rPr>
                <w:color w:val="FFFFFF" w:themeColor="background1"/>
              </w:rPr>
            </w:pPr>
            <w:r w:rsidRPr="00644032">
              <w:rPr>
                <w:color w:val="FFFFFF" w:themeColor="background1"/>
              </w:rPr>
              <w:t>Impact</w:t>
            </w:r>
          </w:p>
        </w:tc>
        <w:tc>
          <w:tcPr>
            <w:tcW w:w="1198" w:type="dxa"/>
            <w:shd w:val="clear" w:color="auto" w:fill="2E74B5" w:themeFill="accent1" w:themeFillShade="BF"/>
          </w:tcPr>
          <w:p w14:paraId="256ADF75" w14:textId="77777777" w:rsidR="00644032" w:rsidRPr="00644032" w:rsidRDefault="00644032" w:rsidP="00645909">
            <w:pPr>
              <w:rPr>
                <w:color w:val="FFFFFF" w:themeColor="background1"/>
              </w:rPr>
            </w:pPr>
            <w:r w:rsidRPr="00644032">
              <w:rPr>
                <w:color w:val="FFFFFF" w:themeColor="background1"/>
              </w:rPr>
              <w:t>Risk Level</w:t>
            </w:r>
          </w:p>
        </w:tc>
      </w:tr>
      <w:tr w:rsidR="00433BC8" w14:paraId="7463458F" w14:textId="77777777" w:rsidTr="00E4491E">
        <w:trPr>
          <w:trHeight w:val="2080"/>
        </w:trPr>
        <w:tc>
          <w:tcPr>
            <w:tcW w:w="1838" w:type="dxa"/>
          </w:tcPr>
          <w:p w14:paraId="1CDEA168" w14:textId="113CD2A5" w:rsidR="00644032" w:rsidRDefault="008954EB" w:rsidP="00645909">
            <w:r>
              <w:t>GitHub</w:t>
            </w:r>
          </w:p>
        </w:tc>
        <w:tc>
          <w:tcPr>
            <w:tcW w:w="4111" w:type="dxa"/>
          </w:tcPr>
          <w:p w14:paraId="23E2E5BB" w14:textId="1CF3193D" w:rsidR="00644032" w:rsidRDefault="00566FA1" w:rsidP="00C06F30">
            <w:r>
              <w:t xml:space="preserve">Any source code pushed to GitHub </w:t>
            </w:r>
            <w:r w:rsidR="00C06F30">
              <w:t>could potentially contain information that hackers would find useful when trying to a maliciously alter the project. The source files could potentially contain hard-coded login credentials which could allow for data leaks.</w:t>
            </w:r>
          </w:p>
        </w:tc>
        <w:tc>
          <w:tcPr>
            <w:tcW w:w="2977" w:type="dxa"/>
          </w:tcPr>
          <w:p w14:paraId="5293ED55" w14:textId="52680737" w:rsidR="008B77D9" w:rsidRDefault="00C06F30" w:rsidP="00C06F30">
            <w:r>
              <w:t>Use stronger passwords and usernames than just “admin” or “root”</w:t>
            </w:r>
            <w:r w:rsidR="00F546ED">
              <w:t>, and keep them regularly updated.</w:t>
            </w:r>
          </w:p>
        </w:tc>
        <w:tc>
          <w:tcPr>
            <w:tcW w:w="2551" w:type="dxa"/>
          </w:tcPr>
          <w:p w14:paraId="1004AAC7" w14:textId="5F86D5B2" w:rsidR="00644032" w:rsidRDefault="00C06F30" w:rsidP="00C06F30">
            <w:r>
              <w:t>Reduce the likelihood of hacking and data leaks.</w:t>
            </w:r>
          </w:p>
        </w:tc>
        <w:tc>
          <w:tcPr>
            <w:tcW w:w="1134" w:type="dxa"/>
          </w:tcPr>
          <w:p w14:paraId="1E18400E" w14:textId="65581388" w:rsidR="00644032" w:rsidRDefault="008954EB" w:rsidP="00645909">
            <w:r>
              <w:t>Medium</w:t>
            </w:r>
          </w:p>
        </w:tc>
        <w:tc>
          <w:tcPr>
            <w:tcW w:w="1134" w:type="dxa"/>
          </w:tcPr>
          <w:p w14:paraId="235E0F90" w14:textId="3DA436B4" w:rsidR="00644032" w:rsidRDefault="008954EB" w:rsidP="00645909">
            <w:r>
              <w:t>High</w:t>
            </w:r>
          </w:p>
        </w:tc>
        <w:tc>
          <w:tcPr>
            <w:tcW w:w="1198" w:type="dxa"/>
          </w:tcPr>
          <w:p w14:paraId="6A87BCCF" w14:textId="129F06CD" w:rsidR="00644032" w:rsidRDefault="008954EB" w:rsidP="00645909">
            <w:r>
              <w:t>Medium</w:t>
            </w:r>
            <w:r w:rsidR="00F546ED">
              <w:t>-to-</w:t>
            </w:r>
            <w:r>
              <w:t>High</w:t>
            </w:r>
          </w:p>
        </w:tc>
      </w:tr>
      <w:tr w:rsidR="00433BC8" w14:paraId="52D0A5EE" w14:textId="77777777" w:rsidTr="00E4491E">
        <w:trPr>
          <w:trHeight w:val="1162"/>
        </w:trPr>
        <w:tc>
          <w:tcPr>
            <w:tcW w:w="1838" w:type="dxa"/>
          </w:tcPr>
          <w:p w14:paraId="1A19E756" w14:textId="3E76D934" w:rsidR="00433BC8" w:rsidRDefault="00433BC8" w:rsidP="00645909">
            <w:r>
              <w:t>CoViD-19</w:t>
            </w:r>
          </w:p>
        </w:tc>
        <w:tc>
          <w:tcPr>
            <w:tcW w:w="4111" w:type="dxa"/>
          </w:tcPr>
          <w:p w14:paraId="6ECC7B46" w14:textId="712CB732" w:rsidR="002D4B93" w:rsidRDefault="00433BC8" w:rsidP="00C06F30">
            <w:r>
              <w:t>Poses a large risk to the workforce as infection can and will result in major disruption of the workflow.</w:t>
            </w:r>
          </w:p>
        </w:tc>
        <w:tc>
          <w:tcPr>
            <w:tcW w:w="2977" w:type="dxa"/>
          </w:tcPr>
          <w:p w14:paraId="35A20CA3" w14:textId="59BECB27" w:rsidR="002D4B93" w:rsidRDefault="00433BC8" w:rsidP="00C06F30">
            <w:r>
              <w:t>Enable efficient working from home, ensure workforce is educated on the risks and do not unnecessarily expose themselves.</w:t>
            </w:r>
          </w:p>
        </w:tc>
        <w:tc>
          <w:tcPr>
            <w:tcW w:w="2551" w:type="dxa"/>
          </w:tcPr>
          <w:p w14:paraId="24CBABBF" w14:textId="1A385C3A" w:rsidR="002D4B93" w:rsidRDefault="00433BC8" w:rsidP="00C06F30">
            <w:r>
              <w:t>Reduce the likelihood/ magnitude of infected workforce</w:t>
            </w:r>
          </w:p>
        </w:tc>
        <w:tc>
          <w:tcPr>
            <w:tcW w:w="1134" w:type="dxa"/>
          </w:tcPr>
          <w:p w14:paraId="348892C2" w14:textId="07145406" w:rsidR="002D4B93" w:rsidRDefault="00433BC8" w:rsidP="00645909">
            <w:r>
              <w:t>Very High</w:t>
            </w:r>
          </w:p>
        </w:tc>
        <w:tc>
          <w:tcPr>
            <w:tcW w:w="1134" w:type="dxa"/>
          </w:tcPr>
          <w:p w14:paraId="7672E42E" w14:textId="18939825" w:rsidR="002D4B93" w:rsidRDefault="00433BC8" w:rsidP="00645909">
            <w:r>
              <w:t>Very high</w:t>
            </w:r>
          </w:p>
        </w:tc>
        <w:tc>
          <w:tcPr>
            <w:tcW w:w="1198" w:type="dxa"/>
          </w:tcPr>
          <w:p w14:paraId="30A8B265" w14:textId="13CB6ADF" w:rsidR="00433BC8" w:rsidRDefault="00433BC8" w:rsidP="00645909">
            <w:r>
              <w:t>Very high</w:t>
            </w:r>
          </w:p>
        </w:tc>
      </w:tr>
      <w:tr w:rsidR="00433BC8" w14:paraId="6C539BDA" w14:textId="77777777" w:rsidTr="00E4491E">
        <w:trPr>
          <w:trHeight w:val="1242"/>
        </w:trPr>
        <w:tc>
          <w:tcPr>
            <w:tcW w:w="1838" w:type="dxa"/>
          </w:tcPr>
          <w:p w14:paraId="78AF9108" w14:textId="571455A9" w:rsidR="00433BC8" w:rsidRDefault="00433BC8" w:rsidP="00645909">
            <w:r>
              <w:t>Lack of necessary technical understanding</w:t>
            </w:r>
          </w:p>
        </w:tc>
        <w:tc>
          <w:tcPr>
            <w:tcW w:w="4111" w:type="dxa"/>
          </w:tcPr>
          <w:p w14:paraId="025BE163" w14:textId="3FE4656F" w:rsidR="002D4B93" w:rsidRDefault="00433BC8" w:rsidP="00C06F30">
            <w:r>
              <w:t>Workforce must be educated to the necessary degree in order to execute the tasks at hand effectively. When the technical understanding is not present, this could result in major delays and/or a faulty product.</w:t>
            </w:r>
          </w:p>
        </w:tc>
        <w:tc>
          <w:tcPr>
            <w:tcW w:w="2977" w:type="dxa"/>
          </w:tcPr>
          <w:p w14:paraId="19E241A6" w14:textId="40801291" w:rsidR="002D4B93" w:rsidRDefault="00433BC8" w:rsidP="00C06F30">
            <w:r>
              <w:t>Ensure the workforce is fully equipped to approach the tasks at hand.</w:t>
            </w:r>
          </w:p>
        </w:tc>
        <w:tc>
          <w:tcPr>
            <w:tcW w:w="2551" w:type="dxa"/>
          </w:tcPr>
          <w:p w14:paraId="17FD3701" w14:textId="631F76B1" w:rsidR="002D4B93" w:rsidRDefault="00433BC8" w:rsidP="00C06F30">
            <w:r>
              <w:t>Ensure smooth workflow with minimal disruption, maximise the quality of the resultant product in terms of user experience and security.</w:t>
            </w:r>
          </w:p>
        </w:tc>
        <w:tc>
          <w:tcPr>
            <w:tcW w:w="1134" w:type="dxa"/>
          </w:tcPr>
          <w:p w14:paraId="6833E698" w14:textId="6F4064F4" w:rsidR="002D4B93" w:rsidRDefault="00433BC8" w:rsidP="00645909">
            <w:r>
              <w:t>Low-Medium</w:t>
            </w:r>
          </w:p>
        </w:tc>
        <w:tc>
          <w:tcPr>
            <w:tcW w:w="1134" w:type="dxa"/>
          </w:tcPr>
          <w:p w14:paraId="2A224F21" w14:textId="69E3E543" w:rsidR="002D4B93" w:rsidRDefault="00433BC8" w:rsidP="00645909">
            <w:r>
              <w:t>High</w:t>
            </w:r>
          </w:p>
        </w:tc>
        <w:tc>
          <w:tcPr>
            <w:tcW w:w="1198" w:type="dxa"/>
          </w:tcPr>
          <w:p w14:paraId="3117CD00" w14:textId="7908675C" w:rsidR="002D4B93" w:rsidRDefault="00433BC8" w:rsidP="00645909">
            <w:r>
              <w:t>Medium</w:t>
            </w:r>
          </w:p>
          <w:p w14:paraId="6889CE9A" w14:textId="77777777" w:rsidR="00433BC8" w:rsidRDefault="00433BC8" w:rsidP="00645909"/>
          <w:p w14:paraId="01426CC6" w14:textId="6E3B5E23" w:rsidR="00433BC8" w:rsidRDefault="00433BC8" w:rsidP="00433BC8"/>
        </w:tc>
      </w:tr>
      <w:tr w:rsidR="00433BC8" w14:paraId="180672E7" w14:textId="77777777" w:rsidTr="00E4491E">
        <w:trPr>
          <w:trHeight w:val="137"/>
        </w:trPr>
        <w:tc>
          <w:tcPr>
            <w:tcW w:w="1838" w:type="dxa"/>
          </w:tcPr>
          <w:p w14:paraId="18317CD7" w14:textId="01D2169F" w:rsidR="00433BC8" w:rsidRDefault="00433BC8" w:rsidP="00645909">
            <w:r>
              <w:t>Privacy &amp; security</w:t>
            </w:r>
          </w:p>
        </w:tc>
        <w:tc>
          <w:tcPr>
            <w:tcW w:w="4111" w:type="dxa"/>
          </w:tcPr>
          <w:p w14:paraId="3D8F0D76" w14:textId="1D851829" w:rsidR="00433BC8" w:rsidRDefault="00433BC8" w:rsidP="00C06F30">
            <w:r>
              <w:t>Ensure data is protected where possible/necessary – users may store credentials, payment methods, order details on the system, meaning that careless handling of data may result in severe damages.</w:t>
            </w:r>
          </w:p>
        </w:tc>
        <w:tc>
          <w:tcPr>
            <w:tcW w:w="2977" w:type="dxa"/>
          </w:tcPr>
          <w:p w14:paraId="34043B0A" w14:textId="1399599D" w:rsidR="00433BC8" w:rsidRDefault="00433BC8" w:rsidP="00C06F30">
            <w:r>
              <w:t xml:space="preserve">Handle data carefully, use encapsulated/private methods, ensure developers have full understanding of </w:t>
            </w:r>
            <w:r w:rsidR="00E109AB">
              <w:t xml:space="preserve">responsible data handling processes. </w:t>
            </w:r>
          </w:p>
        </w:tc>
        <w:tc>
          <w:tcPr>
            <w:tcW w:w="2551" w:type="dxa"/>
          </w:tcPr>
          <w:p w14:paraId="2159B9F0" w14:textId="35D82013" w:rsidR="00433BC8" w:rsidRDefault="00E109AB" w:rsidP="00C06F30">
            <w:r>
              <w:t>Reduce likelihood of data leaks.</w:t>
            </w:r>
          </w:p>
        </w:tc>
        <w:tc>
          <w:tcPr>
            <w:tcW w:w="1134" w:type="dxa"/>
          </w:tcPr>
          <w:p w14:paraId="0A3EF4B9" w14:textId="4D3387BF" w:rsidR="00433BC8" w:rsidRDefault="00E109AB" w:rsidP="00645909">
            <w:r>
              <w:t>Medium</w:t>
            </w:r>
          </w:p>
        </w:tc>
        <w:tc>
          <w:tcPr>
            <w:tcW w:w="1134" w:type="dxa"/>
          </w:tcPr>
          <w:p w14:paraId="2C3F0A17" w14:textId="0B0304B6" w:rsidR="00433BC8" w:rsidRDefault="00E109AB" w:rsidP="00645909">
            <w:r>
              <w:t>High</w:t>
            </w:r>
          </w:p>
        </w:tc>
        <w:tc>
          <w:tcPr>
            <w:tcW w:w="1198" w:type="dxa"/>
          </w:tcPr>
          <w:p w14:paraId="0972E6A1" w14:textId="48832C1B" w:rsidR="00433BC8" w:rsidRDefault="00E109AB" w:rsidP="00645909">
            <w:r>
              <w:t>Medium</w:t>
            </w:r>
          </w:p>
        </w:tc>
      </w:tr>
      <w:tr w:rsidR="00433BC8" w14:paraId="7288BE64" w14:textId="77777777" w:rsidTr="00E4491E">
        <w:trPr>
          <w:trHeight w:val="137"/>
        </w:trPr>
        <w:tc>
          <w:tcPr>
            <w:tcW w:w="1838" w:type="dxa"/>
          </w:tcPr>
          <w:p w14:paraId="5408BE68" w14:textId="6C168653" w:rsidR="00433BC8" w:rsidRDefault="00433BC8" w:rsidP="00645909">
            <w:r>
              <w:t>schedule</w:t>
            </w:r>
          </w:p>
        </w:tc>
        <w:tc>
          <w:tcPr>
            <w:tcW w:w="4111" w:type="dxa"/>
          </w:tcPr>
          <w:p w14:paraId="6E7D7E89" w14:textId="6C1D94C7" w:rsidR="00433BC8" w:rsidRDefault="00E109AB" w:rsidP="00C06F30">
            <w:r>
              <w:t>Ensure a schedule is communicated well between the team and held as closely as possible. Delays may result in an unfinished/untested product being delivered, or delayed.</w:t>
            </w:r>
          </w:p>
        </w:tc>
        <w:tc>
          <w:tcPr>
            <w:tcW w:w="2977" w:type="dxa"/>
          </w:tcPr>
          <w:p w14:paraId="5F6C370B" w14:textId="2A00AD97" w:rsidR="00433BC8" w:rsidRDefault="00E109AB" w:rsidP="00C06F30">
            <w:r>
              <w:t>Use Gantt-charts/</w:t>
            </w:r>
            <w:r w:rsidR="00E4491E">
              <w:t xml:space="preserve">Kanban </w:t>
            </w:r>
            <w:r>
              <w:t>well organised roadmap in order to have clear and good organisation.</w:t>
            </w:r>
          </w:p>
        </w:tc>
        <w:tc>
          <w:tcPr>
            <w:tcW w:w="2551" w:type="dxa"/>
          </w:tcPr>
          <w:p w14:paraId="558882C7" w14:textId="5BF01884" w:rsidR="00433BC8" w:rsidRDefault="00E109AB" w:rsidP="00C06F30">
            <w:r>
              <w:t>Reduce the likelihood of delays.</w:t>
            </w:r>
          </w:p>
        </w:tc>
        <w:tc>
          <w:tcPr>
            <w:tcW w:w="1134" w:type="dxa"/>
          </w:tcPr>
          <w:p w14:paraId="710DE7B4" w14:textId="1A04887D" w:rsidR="00433BC8" w:rsidRDefault="00E109AB" w:rsidP="00645909">
            <w:r>
              <w:t>Low</w:t>
            </w:r>
          </w:p>
        </w:tc>
        <w:tc>
          <w:tcPr>
            <w:tcW w:w="1134" w:type="dxa"/>
          </w:tcPr>
          <w:p w14:paraId="3D7ED54F" w14:textId="1CAFBBB4" w:rsidR="00433BC8" w:rsidRDefault="00E109AB" w:rsidP="00645909">
            <w:r>
              <w:t>High</w:t>
            </w:r>
          </w:p>
        </w:tc>
        <w:tc>
          <w:tcPr>
            <w:tcW w:w="1198" w:type="dxa"/>
          </w:tcPr>
          <w:p w14:paraId="45CA0759" w14:textId="6ABF98A4" w:rsidR="00433BC8" w:rsidRDefault="00E109AB" w:rsidP="00645909">
            <w:r>
              <w:t>Low</w:t>
            </w:r>
          </w:p>
        </w:tc>
      </w:tr>
      <w:tr w:rsidR="00E4491E" w14:paraId="2A1EE138" w14:textId="77777777" w:rsidTr="00E4491E">
        <w:trPr>
          <w:trHeight w:val="137"/>
        </w:trPr>
        <w:tc>
          <w:tcPr>
            <w:tcW w:w="1838" w:type="dxa"/>
          </w:tcPr>
          <w:p w14:paraId="40A02D2F" w14:textId="0E8D509B" w:rsidR="00E4491E" w:rsidRDefault="00E4491E" w:rsidP="00645909">
            <w:r>
              <w:lastRenderedPageBreak/>
              <w:t>Specification miscommunication</w:t>
            </w:r>
          </w:p>
        </w:tc>
        <w:tc>
          <w:tcPr>
            <w:tcW w:w="4111" w:type="dxa"/>
          </w:tcPr>
          <w:p w14:paraId="5BF2379E" w14:textId="6AB1F9A8" w:rsidR="00E4491E" w:rsidRDefault="00E4491E" w:rsidP="00C06F30">
            <w:r>
              <w:t xml:space="preserve">There is always a chance of falling to provide a good product, due to a misunderstanding of what the user’s target with the project is. This is particularly true for a problem being developed in a continuous environment. </w:t>
            </w:r>
          </w:p>
        </w:tc>
        <w:tc>
          <w:tcPr>
            <w:tcW w:w="2977" w:type="dxa"/>
          </w:tcPr>
          <w:p w14:paraId="764C968A" w14:textId="497439FA" w:rsidR="00E4491E" w:rsidRDefault="00E4491E" w:rsidP="00C06F30">
            <w:r>
              <w:t>Ensure clear and frequent communication is upheld between the client and the product owner.</w:t>
            </w:r>
          </w:p>
        </w:tc>
        <w:tc>
          <w:tcPr>
            <w:tcW w:w="2551" w:type="dxa"/>
          </w:tcPr>
          <w:p w14:paraId="73382CC8" w14:textId="10FDFEEE" w:rsidR="00E4491E" w:rsidRDefault="00E4491E" w:rsidP="00C06F30">
            <w:r>
              <w:t>Reduce the likelihood of missing the intention of the client</w:t>
            </w:r>
          </w:p>
        </w:tc>
        <w:tc>
          <w:tcPr>
            <w:tcW w:w="1134" w:type="dxa"/>
          </w:tcPr>
          <w:p w14:paraId="4D1AF036" w14:textId="0C0DC1DA" w:rsidR="00E4491E" w:rsidRDefault="00E4491E" w:rsidP="00645909">
            <w:r>
              <w:t>Low</w:t>
            </w:r>
          </w:p>
        </w:tc>
        <w:tc>
          <w:tcPr>
            <w:tcW w:w="1134" w:type="dxa"/>
          </w:tcPr>
          <w:p w14:paraId="1D7E35B0" w14:textId="36B59757" w:rsidR="00E4491E" w:rsidRDefault="00E4491E" w:rsidP="00645909">
            <w:r>
              <w:t>Medium</w:t>
            </w:r>
          </w:p>
        </w:tc>
        <w:tc>
          <w:tcPr>
            <w:tcW w:w="1198" w:type="dxa"/>
          </w:tcPr>
          <w:p w14:paraId="0DDE7443" w14:textId="146837CB" w:rsidR="00E4491E" w:rsidRDefault="00E4491E" w:rsidP="00645909">
            <w:r>
              <w:t>Low</w:t>
            </w:r>
          </w:p>
        </w:tc>
      </w:tr>
      <w:tr w:rsidR="00E4491E" w14:paraId="6E6E64D8" w14:textId="77777777" w:rsidTr="00E4491E">
        <w:trPr>
          <w:trHeight w:val="137"/>
        </w:trPr>
        <w:tc>
          <w:tcPr>
            <w:tcW w:w="1838" w:type="dxa"/>
          </w:tcPr>
          <w:p w14:paraId="5A086D56" w14:textId="2868BF66" w:rsidR="00E4491E" w:rsidRDefault="00E4491E" w:rsidP="00645909">
            <w:r>
              <w:t>Incomplete testing</w:t>
            </w:r>
          </w:p>
        </w:tc>
        <w:tc>
          <w:tcPr>
            <w:tcW w:w="4111" w:type="dxa"/>
          </w:tcPr>
          <w:p w14:paraId="105762D2" w14:textId="76337F03" w:rsidR="00E4491E" w:rsidRDefault="00E4491E" w:rsidP="00C06F30">
            <w:r>
              <w:t>Not all possibilities may have been taken into account when testing using Junit. While SonarQube is a powerful static analysis tool, which is aware of many security hazards, it should not be relied on.</w:t>
            </w:r>
          </w:p>
        </w:tc>
        <w:tc>
          <w:tcPr>
            <w:tcW w:w="2977" w:type="dxa"/>
          </w:tcPr>
          <w:p w14:paraId="0376DF52" w14:textId="6C6F7062" w:rsidR="00E4491E" w:rsidRDefault="00E4491E" w:rsidP="00C06F30">
            <w:r>
              <w:t>Ensure good understanding of the code’s shortcomings, and address them accordingly.</w:t>
            </w:r>
          </w:p>
        </w:tc>
        <w:tc>
          <w:tcPr>
            <w:tcW w:w="2551" w:type="dxa"/>
          </w:tcPr>
          <w:p w14:paraId="0261F5C7" w14:textId="5687E369" w:rsidR="00E4491E" w:rsidRDefault="00E4491E" w:rsidP="00C06F30">
            <w:r>
              <w:t>Reduce the likelihood of security breaches/errors during deployment</w:t>
            </w:r>
          </w:p>
        </w:tc>
        <w:tc>
          <w:tcPr>
            <w:tcW w:w="1134" w:type="dxa"/>
          </w:tcPr>
          <w:p w14:paraId="031E947C" w14:textId="3B281B4B" w:rsidR="00E4491E" w:rsidRDefault="00E4491E" w:rsidP="00645909">
            <w:r>
              <w:t>Medium</w:t>
            </w:r>
          </w:p>
        </w:tc>
        <w:tc>
          <w:tcPr>
            <w:tcW w:w="1134" w:type="dxa"/>
          </w:tcPr>
          <w:p w14:paraId="47330D93" w14:textId="0F44E843" w:rsidR="00E4491E" w:rsidRDefault="00E4491E" w:rsidP="00645909">
            <w:r>
              <w:t>Medium</w:t>
            </w:r>
          </w:p>
        </w:tc>
        <w:tc>
          <w:tcPr>
            <w:tcW w:w="1198" w:type="dxa"/>
          </w:tcPr>
          <w:p w14:paraId="0C9C978B" w14:textId="454E40CB" w:rsidR="00E4491E" w:rsidRDefault="00E4491E" w:rsidP="00645909">
            <w:r>
              <w:t>medium</w:t>
            </w:r>
          </w:p>
        </w:tc>
      </w:tr>
    </w:tbl>
    <w:p w14:paraId="238ED843" w14:textId="77777777" w:rsidR="00975142" w:rsidRDefault="00975142"/>
    <w:sectPr w:rsidR="00975142" w:rsidSect="0064403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A04D2" w14:textId="77777777" w:rsidR="000748F9" w:rsidRDefault="000748F9" w:rsidP="00644032">
      <w:pPr>
        <w:spacing w:after="0" w:line="240" w:lineRule="auto"/>
      </w:pPr>
      <w:r>
        <w:separator/>
      </w:r>
    </w:p>
  </w:endnote>
  <w:endnote w:type="continuationSeparator" w:id="0">
    <w:p w14:paraId="0C03B6AB" w14:textId="77777777" w:rsidR="000748F9" w:rsidRDefault="000748F9" w:rsidP="0064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6CE6C" w14:textId="77777777" w:rsidR="000748F9" w:rsidRDefault="000748F9" w:rsidP="00644032">
      <w:pPr>
        <w:spacing w:after="0" w:line="240" w:lineRule="auto"/>
      </w:pPr>
      <w:r>
        <w:separator/>
      </w:r>
    </w:p>
  </w:footnote>
  <w:footnote w:type="continuationSeparator" w:id="0">
    <w:p w14:paraId="329CDE42" w14:textId="77777777" w:rsidR="000748F9" w:rsidRDefault="000748F9" w:rsidP="006440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032"/>
    <w:rsid w:val="000748F9"/>
    <w:rsid w:val="000F2C39"/>
    <w:rsid w:val="00136B33"/>
    <w:rsid w:val="00166DBB"/>
    <w:rsid w:val="00214833"/>
    <w:rsid w:val="002C175C"/>
    <w:rsid w:val="002D4B93"/>
    <w:rsid w:val="00433BC8"/>
    <w:rsid w:val="004A7EAA"/>
    <w:rsid w:val="00544D00"/>
    <w:rsid w:val="00553BAC"/>
    <w:rsid w:val="00566FA1"/>
    <w:rsid w:val="005A0375"/>
    <w:rsid w:val="0060733F"/>
    <w:rsid w:val="00644032"/>
    <w:rsid w:val="007C3F3F"/>
    <w:rsid w:val="007F2A7B"/>
    <w:rsid w:val="00811DBC"/>
    <w:rsid w:val="00833228"/>
    <w:rsid w:val="008869E7"/>
    <w:rsid w:val="008954EB"/>
    <w:rsid w:val="008B77D9"/>
    <w:rsid w:val="009276F4"/>
    <w:rsid w:val="00975142"/>
    <w:rsid w:val="00975284"/>
    <w:rsid w:val="009848DF"/>
    <w:rsid w:val="00C06F30"/>
    <w:rsid w:val="00C305EC"/>
    <w:rsid w:val="00D70C90"/>
    <w:rsid w:val="00DA1E98"/>
    <w:rsid w:val="00DC5FBD"/>
    <w:rsid w:val="00DD51E6"/>
    <w:rsid w:val="00E109AB"/>
    <w:rsid w:val="00E4491E"/>
    <w:rsid w:val="00E74DED"/>
    <w:rsid w:val="00E8715D"/>
    <w:rsid w:val="00F546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F1ED"/>
  <w15:chartTrackingRefBased/>
  <w15:docId w15:val="{D6FDC086-D98C-4F2D-8196-54A915CF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4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032"/>
  </w:style>
  <w:style w:type="paragraph" w:styleId="Footer">
    <w:name w:val="footer"/>
    <w:basedOn w:val="Normal"/>
    <w:link w:val="FooterChar"/>
    <w:uiPriority w:val="99"/>
    <w:unhideWhenUsed/>
    <w:rsid w:val="00644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D38B781211A141B111BF0EAC8BBEF1" ma:contentTypeVersion="2" ma:contentTypeDescription="Create a new document." ma:contentTypeScope="" ma:versionID="e9af5653b1630dbacbe03b797dd431f2">
  <xsd:schema xmlns:xsd="http://www.w3.org/2001/XMLSchema" xmlns:xs="http://www.w3.org/2001/XMLSchema" xmlns:p="http://schemas.microsoft.com/office/2006/metadata/properties" xmlns:ns2="4ef63aac-5350-43b6-ae04-fde037841aba" targetNamespace="http://schemas.microsoft.com/office/2006/metadata/properties" ma:root="true" ma:fieldsID="8ee620e6aabc03337cbe70283c7b3d3e" ns2:_="">
    <xsd:import namespace="4ef63aac-5350-43b6-ae04-fde037841ab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f63aac-5350-43b6-ae04-fde037841a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B0FC90-0607-4253-8766-7D67EAA19896}">
  <ds:schemaRefs>
    <ds:schemaRef ds:uri="http://schemas.microsoft.com/sharepoint/v3/contenttype/forms"/>
  </ds:schemaRefs>
</ds:datastoreItem>
</file>

<file path=customXml/itemProps2.xml><?xml version="1.0" encoding="utf-8"?>
<ds:datastoreItem xmlns:ds="http://schemas.openxmlformats.org/officeDocument/2006/customXml" ds:itemID="{823BF6F5-3631-451D-9F24-4A43CC1283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F1A6F6-7266-4524-85FB-39362793C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f63aac-5350-43b6-ae04-fde037841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Korbinian Ring</cp:lastModifiedBy>
  <cp:revision>8</cp:revision>
  <dcterms:created xsi:type="dcterms:W3CDTF">2020-02-14T00:00:00Z</dcterms:created>
  <dcterms:modified xsi:type="dcterms:W3CDTF">2020-04-20T08:54:00Z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0x01010048D38B781211A141B111BF0EAC8BBEF1</vt:lpwstr>
  </property>
</Properties>
</file>