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2"/>
        </w:rPr>
        <w:t>Security Requirements and How to Check Them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Requirement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What a passing check looks like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Priority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SEC-01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Authenticate every protected operation.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An unauthenticated request receives no account, transaction, or loan data.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SEC-02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Check role permissions and record ownership on the server.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Changing another customer’s identifier results in denial for both read and write requests.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SEC-03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Use least privilege and deny access by default.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Automated tests confirm each role can do only the actions explicitly assigned to it.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SEC-04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Validate input and use safe database access.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Zero, negative, malformed, or unsupported transaction values are rejected; invalid input cannot change data.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SEC-05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Keep financial operations atomic and consistent.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A forced failure during a transfer leaves neither a partial debit nor a partial credit.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SEC-06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Prevent duplicate transaction processing.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Submitting the same transaction request twice creates no duplicate posting.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SEC-07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Protect data in transit and at rest.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TLS configuration, storage settings, backup protection, and key access are reviewed and recorded.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SEC-08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Record meaningful security and financial events.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Test events appear in a protected log without passwords, session tokens, or excessive personal data.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SEC-09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Use safe defaults and limit abusive traffic.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Debug mode and sample credentials are disabled; repeated login attempts trigger the defined control.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SEC-10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Prepare for recovery and maintenance.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000000"/>
                <w:sz w:val="16"/>
              </w:rPr>
              <w:t>A backup can be restored in a recorded test; dependencies and security settings have an owner and review process.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Medium</w:t>
            </w:r>
          </w:p>
        </w:tc>
      </w:tr>
    </w:tbl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