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Microsoft YaHei" w:hAnsi="Microsoft YaHei" w:eastAsia="Microsoft YaHei"/>
          <w:b/>
          <w:color w:val="146EF5"/>
          <w:sz w:val="22"/>
        </w:rPr>
        <w:t>FINAL ACCEPTANCE REPORT</w:t>
      </w:r>
    </w:p>
    <w:p>
      <w:r>
        <w:rPr>
          <w:rFonts w:ascii="Microsoft YaHei" w:hAnsi="Microsoft YaHei" w:eastAsia="Microsoft YaHei"/>
          <w:b/>
          <w:color w:val="172033"/>
          <w:sz w:val="56"/>
        </w:rPr>
        <w:t>海智产品中心</w:t>
      </w:r>
    </w:p>
    <w:p>
      <w:pPr>
        <w:spacing w:after="360"/>
      </w:pPr>
      <w:r>
        <w:rPr>
          <w:rFonts w:ascii="Microsoft YaHei" w:hAnsi="Microsoft YaHei" w:eastAsia="Microsoft YaHei"/>
          <w:b/>
          <w:color w:val="146EF5"/>
          <w:sz w:val="34"/>
        </w:rPr>
        <w:t>六大知识中心 UI 产品化最终整改验收报告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880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基线项</w:t>
            </w:r>
          </w:p>
        </w:tc>
        <w:tc>
          <w:tcPr>
            <w:tcW w:type="dxa" w:w="6480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正式值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最终状态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SIX CENTERS FINAL ACCEPTED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Production URL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http://10.1.2.1:443/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Application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haizhi-hub-api:5.5.1-ui-final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Git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feature/knowledge-centers-v3 / a2e54fc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Database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PostgreSQL 16 / Alembic 4f6d8a2c1b90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日期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2026-08-23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1. 最终结论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六大中心 R3 产品化 UI、真实数据映射、关系、CRUD、PRICE_VIEW、安全响应、响应式、正式部署与回滚证据全部闭环。正式版本继续在线，后端和数据库未被重构或破坏。本轮最终判定为 SIX CENTERS FINAL ACCEPTED。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1440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Gate</w:t>
            </w:r>
          </w:p>
        </w:tc>
        <w:tc>
          <w:tcPr>
            <w:tcW w:type="dxa" w:w="6768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验收项</w:t>
            </w:r>
          </w:p>
        </w:tc>
        <w:tc>
          <w:tcPr>
            <w:tcW w:type="dxa" w:w="1152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A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后端未破坏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B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产品中心 R3 UI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C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软件中心 R3 UI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D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算法中心 R3 UI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E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模型能力中心 R3 UI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F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场景中心 R3 UI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G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方案中心 R3 UI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H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六中心 CRUD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I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关系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J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COMMERCIALIZATION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K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PRICE_VIEW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L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统计口径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M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响应式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N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备份回滚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Gate O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正式入口 Smoke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2. 六中心 UI 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3168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中心</w:t>
            </w:r>
          </w:p>
        </w:tc>
        <w:tc>
          <w:tcPr>
            <w:tcW w:type="dxa" w:w="1584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得分</w:t>
            </w:r>
          </w:p>
        </w:tc>
        <w:tc>
          <w:tcPr>
            <w:tcW w:type="dxa" w:w="1584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阈值</w:t>
            </w:r>
          </w:p>
        </w:tc>
        <w:tc>
          <w:tcPr>
            <w:tcW w:type="dxa" w:w="1584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产品中心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92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90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软件中心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89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88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算法中心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89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88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模型能力中心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89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88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场景中心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92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90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方案中心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91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90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扣分依据已写入 R3_UI_COMPARISON.md：现有正式媒体和部分测试依据的数据完整度仍有提升空间，但所有缺失均以待补充语义展示，未伪造业务数据，也不影响冻结范围验收。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3. 正式数据与安全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3024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对象</w:t>
            </w:r>
          </w:p>
        </w:tc>
        <w:tc>
          <w:tcPr>
            <w:tcW w:type="dxa" w:w="2016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正式数量</w:t>
            </w:r>
          </w:p>
        </w:tc>
        <w:tc>
          <w:tcPr>
            <w:tcW w:type="dxa" w:w="2016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最低要求</w:t>
            </w:r>
          </w:p>
        </w:tc>
        <w:tc>
          <w:tcPr>
            <w:tcW w:type="dxa" w:w="1440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产品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17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15+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软件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3+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算法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10+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模型能力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15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15+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场景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5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5+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方案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6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6+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15 是冻结 Seed 最低要求；17 是当前正式 PostgreSQL、API 与 UI 的一致产品总数。无 PRICE_VIEW 时，产品价格和方案 BOM 单价、小计、总价均由后端省略。普通用户写操作被后端拒绝，产品经理可在同一产品化页面维护知识。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4. 浏览器 E2E 与响应式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六中心列表与详情在 1920x1080、1600x900、1440x900、1366x768 四个视口配置完成 48 项路由检查；标题、H1、Sidebar 高亮、Tabs、Back、编辑/取消、关系与 BOM 交互通过，document 水平溢出为 0，Console error/warn 为 0。模型能力证据已确认来自 /model-capabilities/15，而非工作台。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051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-detail-1920x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51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  <w:sz w:val="16"/>
        </w:rPr>
        <w:t>图 1 产品详情：大图 Hero、Quick Metrics、Tabs 与业务操作区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0519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-detail-1920x10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51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  <w:sz w:val="16"/>
        </w:rPr>
        <w:t>图 2 软件详情：软件资产 Hero、模块矩阵与部署/关系信息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051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s-detail-1920x10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51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  <w:sz w:val="16"/>
        </w:rPr>
        <w:t>图 3 算法详情：输入到处理到输出的可视流程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0519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capabilities-detail-1920x10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51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  <w:sz w:val="16"/>
        </w:rPr>
        <w:t>图 4 模型能力详情：性能 Hero、测试依据和结构化 I/O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0519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s-detail-1920x108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51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  <w:sz w:val="16"/>
        </w:rPr>
        <w:t>图 5 场景详情：真实桥梁/船舶/水域语义 Hero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0519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s-detail-1920x108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51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  <w:sz w:val="16"/>
        </w:rPr>
        <w:t>图 6 方案详情：分层架构、能力覆盖与标准 BOM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5. 部署、备份与回滚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2880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项目</w:t>
            </w:r>
          </w:p>
        </w:tc>
        <w:tc>
          <w:tcPr>
            <w:tcW w:type="dxa" w:w="6480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正式结果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镜像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haizhi-hub-api:5.5.1-ui-final / sha256:605485e91ca2...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静态包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assets/index-DlJGqRh-.js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安全运行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UID/GID 10001、read-only、cap-drop ALL、no-new-privileges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备份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/opt/haizhi-product-hub/backups/ui-final-predeploy-20260823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回滚容器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haizhi-hub-api-v55-uirollback-20260823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遗留服务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80 端口 HTTP 200，未改动</w:t>
            </w:r>
          </w:p>
        </w:tc>
      </w:tr>
    </w:tbl>
    <w:p/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5.5.1 未执行数据库 Migration，仅替换经校验的前端静态包。正式切换后健康检查、静态包、Alembic、完整六中心 API 验收及端口 80 保护均通过。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6. 已知次要事项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0"/>
        </w:rPr>
        <w:t>当前 443 端口承载 HTTP；正式可信 HTTPS 仍需外部提供域名和证书。部分产品正式主图来自既有复合产品资料，后续可由产品经理替换为更高质量的单品素材。这两项均不阻塞本轮 R3 六中心业务验收。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46EF5"/>
          <w:sz w:val="32"/>
        </w:rPr>
        <w:t>7. 验收签署状态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608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结论</w:t>
            </w:r>
          </w:p>
        </w:tc>
        <w:tc>
          <w:tcPr>
            <w:tcW w:type="dxa" w:w="4752"/>
            <w:shd w:fill="EAF2FF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6EF5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R3 UI Gates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ALL PASS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Functional Gates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ALL PASS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Security / Backup / Rollback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794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Final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SIX CENTERS FINAL ACCEPTED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085"/>
        <w:sz w:val="16"/>
      </w:rPr>
      <w:t>SIX CENTERS FINAL ACCEPTED | 2026-08-23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7085"/>
        <w:sz w:val="16"/>
      </w:rPr>
      <w:t>海智产品中心 | R3 最终正式验收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