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Stakeholder Report</w:t>
      </w:r>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90"/>
        <w:tblGridChange w:id="0">
          <w:tblGrid>
            <w:gridCol w:w="2065"/>
            <w:gridCol w:w="729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Type</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i w:val="1"/>
                <w:rtl w:val="0"/>
              </w:rPr>
              <w:t xml:space="preserve">BOLD the meeting phrase</w:t>
            </w:r>
            <w:r w:rsidDel="00000000" w:rsidR="00000000" w:rsidRPr="00000000">
              <w:rPr>
                <w:rtl w:val="0"/>
              </w:rPr>
              <w:t xml:space="preserve">)</w:t>
            </w:r>
          </w:p>
        </w:tc>
        <w:tc>
          <w:tcPr/>
          <w:p w:rsidR="00000000" w:rsidDel="00000000" w:rsidP="00000000" w:rsidRDefault="00000000" w:rsidRPr="00000000" w14:paraId="00000004">
            <w:pPr>
              <w:rPr/>
            </w:pPr>
            <w:r w:rsidDel="00000000" w:rsidR="00000000" w:rsidRPr="00000000">
              <w:rPr>
                <w:b w:val="1"/>
                <w:rtl w:val="0"/>
              </w:rPr>
              <w:t xml:space="preserve">Interviews</w:t>
            </w:r>
            <w:r w:rsidDel="00000000" w:rsidR="00000000" w:rsidRPr="00000000">
              <w:rPr>
                <w:rtl w:val="0"/>
              </w:rPr>
              <w:t xml:space="preserve"> / Surveys </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Interaction Date(s)</w:t>
            </w:r>
          </w:p>
        </w:tc>
        <w:tc>
          <w:tcPr/>
          <w:p w:rsidR="00000000" w:rsidDel="00000000" w:rsidP="00000000" w:rsidRDefault="00000000" w:rsidRPr="00000000" w14:paraId="00000006">
            <w:pPr>
              <w:rPr/>
            </w:pPr>
            <w:r w:rsidDel="00000000" w:rsidR="00000000" w:rsidRPr="00000000">
              <w:rPr>
                <w:rtl w:val="0"/>
              </w:rPr>
              <w:t xml:space="preserve">05/22/24 &amp; 05/23/24</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Attendees</w:t>
            </w:r>
          </w:p>
        </w:tc>
        <w:tc>
          <w:tcPr/>
          <w:p w:rsidR="00000000" w:rsidDel="00000000" w:rsidP="00000000" w:rsidRDefault="00000000" w:rsidRPr="00000000" w14:paraId="00000008">
            <w:pPr>
              <w:rPr/>
            </w:pPr>
            <w:r w:rsidDel="00000000" w:rsidR="00000000" w:rsidRPr="00000000">
              <w:rPr>
                <w:rtl w:val="0"/>
              </w:rPr>
              <w:t xml:space="preserve">Kristina Chen, Rina H, Diana C</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Title</w:t>
            </w:r>
          </w:p>
        </w:tc>
        <w:tc>
          <w:tcPr/>
          <w:p w:rsidR="00000000" w:rsidDel="00000000" w:rsidP="00000000" w:rsidRDefault="00000000" w:rsidRPr="00000000" w14:paraId="0000000A">
            <w:pPr>
              <w:rPr/>
            </w:pPr>
            <w:r w:rsidDel="00000000" w:rsidR="00000000" w:rsidRPr="00000000">
              <w:rPr>
                <w:rtl w:val="0"/>
              </w:rPr>
              <w:t xml:space="preserve">CyberQuest</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Purpose</w:t>
            </w:r>
          </w:p>
        </w:tc>
        <w:tc>
          <w:tcPr/>
          <w:p w:rsidR="00000000" w:rsidDel="00000000" w:rsidP="00000000" w:rsidRDefault="00000000" w:rsidRPr="00000000" w14:paraId="0000000C">
            <w:pPr>
              <w:rPr/>
            </w:pPr>
            <w:r w:rsidDel="00000000" w:rsidR="00000000" w:rsidRPr="00000000">
              <w:rPr>
                <w:rtl w:val="0"/>
              </w:rPr>
              <w:t xml:space="preserve">Getting a small sample of student / new parent’s perspective on digital security education</w:t>
            </w:r>
          </w:p>
        </w:tc>
      </w:tr>
    </w:tbl>
    <w:p w:rsidR="00000000" w:rsidDel="00000000" w:rsidP="00000000" w:rsidRDefault="00000000" w:rsidRPr="00000000" w14:paraId="0000000D">
      <w:pPr>
        <w:pStyle w:val="Heading2"/>
        <w:spacing w:before="240" w:lineRule="auto"/>
        <w:rPr/>
      </w:pPr>
      <w:r w:rsidDel="00000000" w:rsidR="00000000" w:rsidRPr="00000000">
        <w:rPr>
          <w:rtl w:val="0"/>
        </w:rPr>
        <w:t xml:space="preserve">Summary of Interaction</w:t>
      </w:r>
    </w:p>
    <w:p w:rsidR="00000000" w:rsidDel="00000000" w:rsidP="00000000" w:rsidRDefault="00000000" w:rsidRPr="00000000" w14:paraId="0000000E">
      <w:pPr>
        <w:spacing w:after="0" w:line="240" w:lineRule="auto"/>
        <w:rPr/>
      </w:pPr>
      <w:r w:rsidDel="00000000" w:rsidR="00000000" w:rsidRPr="00000000">
        <w:rPr>
          <w:rtl w:val="0"/>
        </w:rPr>
        <w:t xml:space="preserve">To get an understanding of how students/parents view information security, we did a series of questions back and forth to see their perspectives. In addition I adjusted my own answers to match their audience case. </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Action Items</w:t>
      </w:r>
    </w:p>
    <w:p w:rsidR="00000000" w:rsidDel="00000000" w:rsidP="00000000" w:rsidRDefault="00000000" w:rsidRPr="00000000" w14:paraId="00000011">
      <w:pPr>
        <w:rPr/>
      </w:pPr>
      <w:r w:rsidDel="00000000" w:rsidR="00000000" w:rsidRPr="00000000">
        <w:rPr>
          <w:rtl w:val="0"/>
        </w:rPr>
        <w:t xml:space="preserve">List specific action items that you need to take because of the interaction: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In reflection of my capstone project, I will be including needs, requirements, and perspective points for the various stakeholders of CyberQuest.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w:t>
      </w:r>
      <w:r w:rsidDel="00000000" w:rsidR="00000000" w:rsidRPr="00000000">
        <w:rPr>
          <w:rtl w:val="0"/>
        </w:rPr>
        <w:t xml:space="preserve">justing educator notes for inclusivity and educator input.</w:t>
      </w:r>
      <w:r w:rsidDel="00000000" w:rsidR="00000000" w:rsidRPr="00000000">
        <w:rPr>
          <w:rtl w:val="0"/>
        </w:rPr>
      </w:r>
    </w:p>
    <w:p w:rsidR="00000000" w:rsidDel="00000000" w:rsidP="00000000" w:rsidRDefault="00000000" w:rsidRPr="00000000" w14:paraId="00000014">
      <w:pPr>
        <w:pStyle w:val="Heading2"/>
        <w:spacing w:before="240" w:lineRule="auto"/>
        <w:rPr/>
      </w:pPr>
      <w:r w:rsidDel="00000000" w:rsidR="00000000" w:rsidRPr="00000000">
        <w:rPr>
          <w:rtl w:val="0"/>
        </w:rPr>
        <w:t xml:space="preserve">Reflection</w:t>
      </w:r>
    </w:p>
    <w:p w:rsidR="00000000" w:rsidDel="00000000" w:rsidP="00000000" w:rsidRDefault="00000000" w:rsidRPr="00000000" w14:paraId="00000015">
      <w:pPr>
        <w:rPr/>
      </w:pPr>
      <w:r w:rsidDel="00000000" w:rsidR="00000000" w:rsidRPr="00000000">
        <w:rPr>
          <w:rtl w:val="0"/>
        </w:rPr>
        <w:t xml:space="preserve">As I’ve started running low on time to adjust for this upcoming capstone presentation, I’ve decided to include reflection pieces to adjust curriculum for future updates after this quarter. </w:t>
      </w:r>
    </w:p>
    <w:p w:rsidR="00000000" w:rsidDel="00000000" w:rsidP="00000000" w:rsidRDefault="00000000" w:rsidRPr="00000000" w14:paraId="00000016">
      <w:pPr>
        <w:rPr/>
      </w:pPr>
      <w:r w:rsidDel="00000000" w:rsidR="00000000" w:rsidRPr="00000000">
        <w:rPr>
          <w:rtl w:val="0"/>
        </w:rPr>
        <w:t xml:space="preserve">Thankfully from doing real conversations with real stakeholders I am going to be able to better account for the reality of educational camps for teens as educational spaces need to be flexible in accordance to the fact that the environment will always be different for each classroom.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Comments / Issues / Notes / Other</w:t>
      </w:r>
    </w:p>
    <w:p w:rsidR="00000000" w:rsidDel="00000000" w:rsidP="00000000" w:rsidRDefault="00000000" w:rsidRPr="00000000" w14:paraId="00000019">
      <w:pPr>
        <w:rPr/>
      </w:pPr>
      <w:r w:rsidDel="00000000" w:rsidR="00000000" w:rsidRPr="00000000">
        <w:rPr>
          <w:rtl w:val="0"/>
        </w:rPr>
        <w:t xml:space="preserve">I wish stakeholder meetings were highlighted more as I felt stakeholders interaction/meetings would have benefited and alternated the way I viewed my curriculum development process throughout the quarter. </w:t>
      </w:r>
    </w:p>
    <w:p w:rsidR="00000000" w:rsidDel="00000000" w:rsidP="00000000" w:rsidRDefault="00000000" w:rsidRPr="00000000" w14:paraId="0000001A">
      <w:pPr>
        <w:rPr/>
      </w:pPr>
      <w:r w:rsidDel="00000000" w:rsidR="00000000" w:rsidRPr="00000000">
        <w:rPr>
          <w:rtl w:val="0"/>
        </w:rPr>
        <w:t xml:space="preserve">I also wish I had accounted for all the different types of stakeholders I could have met with as education is such a big field and the complexity of it lies in the fact so many parties need to be involved for it to be successful.</w:t>
      </w:r>
    </w:p>
    <w:p w:rsidR="00000000" w:rsidDel="00000000" w:rsidP="00000000" w:rsidRDefault="00000000" w:rsidRPr="00000000" w14:paraId="0000001B">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Attachments</w:t>
      </w:r>
    </w:p>
    <w:p w:rsidR="00000000" w:rsidDel="00000000" w:rsidP="00000000" w:rsidRDefault="00000000" w:rsidRPr="00000000" w14:paraId="0000001D">
      <w:pPr>
        <w:numPr>
          <w:ilvl w:val="0"/>
          <w:numId w:val="1"/>
        </w:numPr>
        <w:spacing w:after="0" w:afterAutospacing="0"/>
        <w:ind w:left="720" w:hanging="360"/>
        <w:rPr>
          <w:u w:val="none"/>
        </w:rPr>
      </w:pPr>
      <w:bookmarkStart w:colFirst="0" w:colLast="0" w:name="_heading=h.gjdgxs" w:id="0"/>
      <w:bookmarkEnd w:id="0"/>
      <w:r w:rsidDel="00000000" w:rsidR="00000000" w:rsidRPr="00000000">
        <w:rPr>
          <w:rtl w:val="0"/>
        </w:rPr>
        <w:t xml:space="preserve">“How do you think traditional education has helped you navigate technology in your later years / the present?”</w:t>
      </w:r>
    </w:p>
    <w:p w:rsidR="00000000" w:rsidDel="00000000" w:rsidP="00000000" w:rsidRDefault="00000000" w:rsidRPr="00000000" w14:paraId="0000001E">
      <w:pPr>
        <w:numPr>
          <w:ilvl w:val="0"/>
          <w:numId w:val="1"/>
        </w:numPr>
        <w:spacing w:after="0" w:afterAutospacing="0"/>
        <w:ind w:left="720" w:hanging="360"/>
        <w:rPr>
          <w:u w:val="none"/>
        </w:rPr>
      </w:pPr>
      <w:bookmarkStart w:colFirst="0" w:colLast="0" w:name="_heading=h.p6408hwszhtx" w:id="1"/>
      <w:bookmarkEnd w:id="1"/>
      <w:r w:rsidDel="00000000" w:rsidR="00000000" w:rsidRPr="00000000">
        <w:rPr>
          <w:rtl w:val="0"/>
        </w:rPr>
        <w:t xml:space="preserve">“What do you wish you knew about keeping yourself safe online, that you don’t / still don't know now?”</w:t>
      </w:r>
    </w:p>
    <w:p w:rsidR="00000000" w:rsidDel="00000000" w:rsidP="00000000" w:rsidRDefault="00000000" w:rsidRPr="00000000" w14:paraId="0000001F">
      <w:pPr>
        <w:numPr>
          <w:ilvl w:val="0"/>
          <w:numId w:val="1"/>
        </w:numPr>
        <w:spacing w:after="0" w:afterAutospacing="0"/>
        <w:ind w:left="720" w:hanging="360"/>
        <w:rPr>
          <w:u w:val="none"/>
        </w:rPr>
      </w:pPr>
      <w:bookmarkStart w:colFirst="0" w:colLast="0" w:name="_heading=h.ce65qvh2q2px" w:id="2"/>
      <w:bookmarkEnd w:id="2"/>
      <w:r w:rsidDel="00000000" w:rsidR="00000000" w:rsidRPr="00000000">
        <w:rPr>
          <w:rtl w:val="0"/>
        </w:rPr>
        <w:t xml:space="preserve">“What types of lessons were your favorite / “you think” worked best in your teenage years?”</w:t>
      </w:r>
    </w:p>
    <w:p w:rsidR="00000000" w:rsidDel="00000000" w:rsidP="00000000" w:rsidRDefault="00000000" w:rsidRPr="00000000" w14:paraId="00000020">
      <w:pPr>
        <w:numPr>
          <w:ilvl w:val="0"/>
          <w:numId w:val="1"/>
        </w:numPr>
        <w:spacing w:after="0" w:afterAutospacing="0"/>
        <w:ind w:left="720" w:hanging="360"/>
        <w:rPr>
          <w:u w:val="none"/>
        </w:rPr>
      </w:pPr>
      <w:bookmarkStart w:colFirst="0" w:colLast="0" w:name="_heading=h.idygt745pweo" w:id="3"/>
      <w:bookmarkEnd w:id="3"/>
      <w:r w:rsidDel="00000000" w:rsidR="00000000" w:rsidRPr="00000000">
        <w:rPr>
          <w:rtl w:val="0"/>
        </w:rPr>
        <w:t xml:space="preserve">“What resources have you used to learn about keeping yourself safe now?”</w:t>
      </w:r>
    </w:p>
    <w:p w:rsidR="00000000" w:rsidDel="00000000" w:rsidP="00000000" w:rsidRDefault="00000000" w:rsidRPr="00000000" w14:paraId="00000021">
      <w:pPr>
        <w:numPr>
          <w:ilvl w:val="0"/>
          <w:numId w:val="1"/>
        </w:numPr>
        <w:ind w:left="720" w:hanging="360"/>
        <w:rPr>
          <w:u w:val="none"/>
        </w:rPr>
      </w:pPr>
      <w:bookmarkStart w:colFirst="0" w:colLast="0" w:name="_heading=h.iqkj7l29tb9o" w:id="4"/>
      <w:bookmarkEnd w:id="4"/>
      <w:r w:rsidDel="00000000" w:rsidR="00000000" w:rsidRPr="00000000">
        <w:rPr>
          <w:rtl w:val="0"/>
        </w:rPr>
        <w:t xml:space="preserve">“Do you know what security professionals do to keep yourself safe?”</w:t>
      </w:r>
    </w:p>
    <w:p w:rsidR="00000000" w:rsidDel="00000000" w:rsidP="00000000" w:rsidRDefault="00000000" w:rsidRPr="00000000" w14:paraId="00000022">
      <w:pPr>
        <w:rPr/>
      </w:pPr>
      <w:bookmarkStart w:colFirst="0" w:colLast="0" w:name="_heading=h.4zviioxqe6g" w:id="5"/>
      <w:bookmarkEnd w:id="5"/>
      <w:r w:rsidDel="00000000" w:rsidR="00000000" w:rsidRPr="00000000">
        <w:rPr>
          <w:rtl w:val="0"/>
        </w:rPr>
      </w:r>
    </w:p>
    <w:p w:rsidR="00000000" w:rsidDel="00000000" w:rsidP="00000000" w:rsidRDefault="00000000" w:rsidRPr="00000000" w14:paraId="00000023">
      <w:pPr>
        <w:rPr/>
      </w:pPr>
      <w:bookmarkStart w:colFirst="0" w:colLast="0" w:name="_heading=h.r0eqhmsed94b" w:id="6"/>
      <w:bookmarkEnd w:id="6"/>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Black" w:cs="Arial Black" w:eastAsia="Arial Black" w:hAnsi="Arial Black"/>
      <w:sz w:val="32"/>
      <w:szCs w:val="32"/>
    </w:rPr>
  </w:style>
  <w:style w:type="paragraph" w:styleId="Heading2">
    <w:name w:val="heading 2"/>
    <w:basedOn w:val="Normal"/>
    <w:next w:val="Normal"/>
    <w:pPr>
      <w:keepNext w:val="1"/>
      <w:keepLines w:val="1"/>
      <w:spacing w:after="0" w:before="40" w:lineRule="auto"/>
    </w:pPr>
    <w:rPr>
      <w:rFonts w:ascii="Arial Black" w:cs="Arial Black" w:eastAsia="Arial Black" w:hAnsi="Arial Black"/>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2585"/>
    <w:rPr>
      <w:rFonts w:ascii="Times New Roman" w:hAnsi="Times New Roman"/>
      <w:sz w:val="24"/>
    </w:rPr>
  </w:style>
  <w:style w:type="paragraph" w:styleId="Heading1">
    <w:name w:val="heading 1"/>
    <w:basedOn w:val="Normal"/>
    <w:next w:val="Normal"/>
    <w:link w:val="Heading1Char"/>
    <w:uiPriority w:val="9"/>
    <w:qFormat w:val="1"/>
    <w:rsid w:val="00FF2585"/>
    <w:pPr>
      <w:keepNext w:val="1"/>
      <w:keepLines w:val="1"/>
      <w:spacing w:after="0" w:before="240"/>
      <w:outlineLvl w:val="0"/>
    </w:pPr>
    <w:rPr>
      <w:rFonts w:ascii="Arial Black" w:hAnsi="Arial Black" w:cstheme="majorBidi" w:eastAsiaTheme="majorEastAsia"/>
      <w:sz w:val="32"/>
      <w:szCs w:val="32"/>
    </w:rPr>
  </w:style>
  <w:style w:type="paragraph" w:styleId="Heading2">
    <w:name w:val="heading 2"/>
    <w:basedOn w:val="Normal"/>
    <w:next w:val="Normal"/>
    <w:link w:val="Heading2Char"/>
    <w:uiPriority w:val="9"/>
    <w:unhideWhenUsed w:val="1"/>
    <w:qFormat w:val="1"/>
    <w:rsid w:val="00FF2585"/>
    <w:pPr>
      <w:keepNext w:val="1"/>
      <w:keepLines w:val="1"/>
      <w:spacing w:after="0" w:before="40"/>
      <w:outlineLvl w:val="1"/>
    </w:pPr>
    <w:rPr>
      <w:rFonts w:ascii="Arial Black" w:hAnsi="Arial Black" w:cstheme="majorBidi" w:eastAsiaTheme="majorEastAsia"/>
      <w:sz w:val="26"/>
      <w:szCs w:val="26"/>
    </w:rPr>
  </w:style>
  <w:style w:type="paragraph" w:styleId="Heading3">
    <w:name w:val="heading 3"/>
    <w:basedOn w:val="Normal"/>
    <w:next w:val="Normal"/>
    <w:link w:val="Heading3Char"/>
    <w:uiPriority w:val="9"/>
    <w:unhideWhenUsed w:val="1"/>
    <w:qFormat w:val="1"/>
    <w:rsid w:val="003E3FA6"/>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F2585"/>
    <w:rPr>
      <w:rFonts w:ascii="Arial Black" w:hAnsi="Arial Black" w:cstheme="majorBidi" w:eastAsiaTheme="majorEastAsia"/>
      <w:sz w:val="32"/>
      <w:szCs w:val="32"/>
    </w:rPr>
  </w:style>
  <w:style w:type="paragraph" w:styleId="ListParagraph">
    <w:name w:val="List Paragraph"/>
    <w:basedOn w:val="Normal"/>
    <w:uiPriority w:val="34"/>
    <w:qFormat w:val="1"/>
    <w:rsid w:val="00AD2BCD"/>
    <w:pPr>
      <w:ind w:left="720"/>
      <w:contextualSpacing w:val="1"/>
    </w:pPr>
  </w:style>
  <w:style w:type="table" w:styleId="TableGrid">
    <w:name w:val="Table Grid"/>
    <w:basedOn w:val="TableNormal"/>
    <w:uiPriority w:val="39"/>
    <w:rsid w:val="00AD2B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FF2585"/>
    <w:rPr>
      <w:rFonts w:ascii="Arial Black" w:hAnsi="Arial Black" w:cstheme="majorBidi" w:eastAsiaTheme="majorEastAsia"/>
      <w:sz w:val="26"/>
      <w:szCs w:val="26"/>
    </w:rPr>
  </w:style>
  <w:style w:type="character" w:styleId="PlaceholderText">
    <w:name w:val="Placeholder Text"/>
    <w:basedOn w:val="DefaultParagraphFont"/>
    <w:uiPriority w:val="99"/>
    <w:semiHidden w:val="1"/>
    <w:rsid w:val="00C302D8"/>
    <w:rPr>
      <w:color w:val="808080"/>
    </w:rPr>
  </w:style>
  <w:style w:type="character" w:styleId="Heading3Char" w:customStyle="1">
    <w:name w:val="Heading 3 Char"/>
    <w:basedOn w:val="DefaultParagraphFont"/>
    <w:link w:val="Heading3"/>
    <w:uiPriority w:val="9"/>
    <w:rsid w:val="003E3FA6"/>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bArzyPUI/D3iFU3M1QmZCHc2+g==">CgMxLjAyCGguZ2pkZ3hzMg5oLnA2NDA4aHdzemh0eDIOaC5jZTY1cXZoMnEycHgyDmguaWR5Z3Q3NDVwd2VvMg5oLmlxa2o3bDI5dGI5bzINaC40enZpaW94cWU2ZzIOaC5yMGVxaG1zZWQ5NGI4AHIhMXZtQlpXQnBfc2FQQmZfcTJoV2xydnZ3MUZsOUpRdVBj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2021-12-29T22:49:00Z</dcterms:created>
  <dc:creator>Mark Kochanski</dc:creator>
</cp:coreProperties>
</file>