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0624F" w14:textId="78A03859" w:rsidR="00F2322E" w:rsidRPr="00137C5D" w:rsidRDefault="00F2322E" w:rsidP="00F2322E">
      <w:pPr>
        <w:spacing w:line="276" w:lineRule="auto"/>
        <w:jc w:val="center"/>
        <w:rPr>
          <w:rFonts w:ascii="Times New Roman" w:eastAsia="Arial" w:hAnsi="Times New Roman" w:cs="Times New Roman"/>
          <w:b/>
          <w:sz w:val="28"/>
          <w:szCs w:val="28"/>
          <w:u w:val="single"/>
        </w:rPr>
      </w:pPr>
      <w:r w:rsidRPr="00137C5D">
        <w:rPr>
          <w:rFonts w:ascii="Times New Roman" w:eastAsia="Arial" w:hAnsi="Times New Roman" w:cs="Times New Roman"/>
          <w:b/>
          <w:sz w:val="28"/>
          <w:szCs w:val="28"/>
          <w:u w:val="single"/>
        </w:rPr>
        <w:t>SÔNG HỒNG – HÀ NỘI (THEO BÁO HÀ NỘI MỚI) (252 CHỮ)</w:t>
      </w:r>
    </w:p>
    <w:p w14:paraId="48CCEA99" w14:textId="1F57135E" w:rsidR="00F2322E" w:rsidRPr="00137C5D" w:rsidRDefault="00F2322E" w:rsidP="00F2322E">
      <w:pPr>
        <w:spacing w:line="276" w:lineRule="auto"/>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ab/>
        <w:t>Nước sông Hồng khi đỏ rực như pha son về mùa lũ, khi phớt hồng như hoa đào về mùa thu, khi pha chút hồng nhẹ như má người con gái vào đầu xuân. Màu nước sông Hồng đặc biệt, không giống bất kì một dòng sông nào.</w:t>
      </w:r>
    </w:p>
    <w:p w14:paraId="7850D4A8" w14:textId="77777777" w:rsidR="00F2322E" w:rsidRPr="00137C5D" w:rsidRDefault="00F2322E" w:rsidP="00F2322E">
      <w:pPr>
        <w:spacing w:line="276" w:lineRule="auto"/>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ab/>
        <w:t>Ban đêm, từ bờ phía Bắc sông Hồng nhìn về Hà Nội, ánh điện lung linh. Những ngọn đèn cao áp từ cảng Vĩnh Tuy đến cầu Thăng Long như những vì sao xanh. Những ngọn đèn màu từ cửa sổ nhà cao tầng, ngọn cao, ngọn thấp nhấp nhô như con rồng vàng uốn khúc đang bay lên. Sao trời và đèn thành phố chen nhau soi bóng như những bông hoa nhài bập bềnh trên sông, vầng trăng là bông hồng vàng đang mở cánh. Dòng sông như đang sóng sánh, ánh trăng sao luôn biến đổi khi tỏ, khi mờ.</w:t>
      </w:r>
    </w:p>
    <w:p w14:paraId="4FFB3282" w14:textId="77777777" w:rsidR="00F2322E" w:rsidRPr="00137C5D" w:rsidRDefault="00F2322E" w:rsidP="00F2322E">
      <w:pPr>
        <w:spacing w:line="276" w:lineRule="auto"/>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ab/>
        <w:t>Thỉnh thoảng trên mặt sông lại xuất hiện một vài cánh buồm ngược xuôi theo dòng nước lấp lóa trăng sao và ánh điện. Những vì sao và ánh đèn rẽ ra cho thuyền đi, rồi lại lấp lánh cuộn lên sau bánh lái. Mấy con thuyền chài, ngọn đèn dầu le lói trong khoang, nằm im lìm, trầm ngâm trên cồn cát giữa sông.</w:t>
      </w:r>
      <w:r w:rsidRPr="00137C5D">
        <w:rPr>
          <w:rFonts w:ascii="Times New Roman" w:eastAsia="Arial" w:hAnsi="Times New Roman" w:cs="Times New Roman"/>
          <w:sz w:val="28"/>
          <w:szCs w:val="28"/>
        </w:rPr>
        <w:tab/>
      </w:r>
    </w:p>
    <w:p w14:paraId="72CD7A44" w14:textId="77777777" w:rsidR="00F2322E" w:rsidRPr="00137C5D" w:rsidRDefault="00F2322E" w:rsidP="00F2322E">
      <w:pPr>
        <w:spacing w:line="276" w:lineRule="auto"/>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tab/>
        <w:t xml:space="preserve">Đại lễ 1000 năm Thăng Long – Hà Nội đánh dấu một giai đoạn phát triển mới của thủ đô ngàn năm văn hiến. Hà Nội tương lai chắc chắn sẽ cành thêm rực rỡ, đẹp tươi. </w:t>
      </w:r>
    </w:p>
    <w:p w14:paraId="5F36F1C9" w14:textId="77777777" w:rsidR="00E57CD9" w:rsidRDefault="00E57CD9"/>
    <w:sectPr w:rsidR="00E5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D9"/>
    <w:rsid w:val="00E57CD9"/>
    <w:rsid w:val="00F2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2389"/>
  <w15:chartTrackingRefBased/>
  <w15:docId w15:val="{B159D493-6CC4-4E1C-A5F8-13F63F4F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2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2022-08-02T15:01:00Z</dcterms:created>
  <dcterms:modified xsi:type="dcterms:W3CDTF">2022-08-02T15:08:00Z</dcterms:modified>
</cp:coreProperties>
</file>