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4B59" w:rsidRPr="004F4D34" w:rsidRDefault="00000000">
      <w:pPr>
        <w:pStyle w:val="PlanTitle"/>
        <w:rPr>
          <w:sz w:val="40"/>
          <w:szCs w:val="28"/>
        </w:rPr>
      </w:pPr>
      <w:r>
        <w:t>Result Report for the 2026 ICIS International Symposium</w:t>
      </w:r>
    </w:p>
    <w:p w:rsidR="00134B59" w:rsidRPr="004F4D34" w:rsidRDefault="00000000">
      <w:pPr>
        <w:pStyle w:val="1"/>
        <w:rPr>
          <w:sz w:val="32"/>
          <w:szCs w:val="36"/>
        </w:rPr>
      </w:pPr>
      <w:r>
        <w:t>1. Overview of the International Symposium</w:t>
      </w:r>
    </w:p>
    <w:p w:rsidR="00134B59" w:rsidRPr="004F4D34" w:rsidRDefault="00000000">
      <w:pPr>
        <w:pStyle w:val="21"/>
        <w:rPr>
          <w:sz w:val="28"/>
          <w:szCs w:val="32"/>
        </w:rPr>
      </w:pPr>
      <w:r>
        <w:t>1.1 Symposium Title</w:t>
      </w:r>
    </w:p>
    <w:p w:rsidR="00134B59" w:rsidRPr="004F4D34" w:rsidRDefault="00000000">
      <w:pPr>
        <w:spacing w:after="60"/>
        <w:rPr>
          <w:sz w:val="24"/>
          <w:szCs w:val="28"/>
        </w:rPr>
      </w:pPr>
      <w:r>
        <w:t>Title: 2026 ICIS International Symposium: Digital Innovation and Critical Thinking in the AI Era</w:t>
      </w:r>
    </w:p>
    <w:p w:rsidR="00134B59" w:rsidRPr="004F4D34" w:rsidRDefault="00000000">
      <w:pPr>
        <w:pStyle w:val="21"/>
        <w:rPr>
          <w:sz w:val="28"/>
          <w:szCs w:val="32"/>
        </w:rPr>
      </w:pPr>
      <w:r>
        <w:t>1.2 Objectives and Scope</w:t>
      </w:r>
    </w:p>
    <w:p w:rsidR="00134B59" w:rsidRPr="004F4D34" w:rsidRDefault="00000000">
      <w:pPr>
        <w:spacing w:after="100"/>
        <w:jc w:val="both"/>
        <w:rPr>
          <w:sz w:val="24"/>
          <w:szCs w:val="28"/>
        </w:rPr>
      </w:pPr>
      <w:r>
        <w:t xml:space="preserve">The 2026 ICIS International Symposium was held to examine, from an international perspective, the significance of digital innovation and critical thinking amid educational change in the AI era. The </w:t>
      </w:r>
      <w:proofErr w:type="spellStart"/>
      <w:r>
        <w:t>programme</w:t>
      </w:r>
      <w:proofErr w:type="spellEnd"/>
      <w:r>
        <w:t xml:space="preserve"> shared research on AI-supported education, online learning environments, the measurement of digital use, and the analysis of science classroom discourse, thereby clarifying the roles of critical thinking and digital competence in future education. The symposium also expanded scholarly exchange among domestic and international researchers and created concrete opportunities for international collaborative research and the development of joint research proposals.</w:t>
      </w:r>
    </w:p>
    <w:p w:rsidR="00134B59" w:rsidRPr="004F4D34" w:rsidRDefault="00000000">
      <w:pPr>
        <w:pStyle w:val="21"/>
        <w:rPr>
          <w:sz w:val="28"/>
          <w:szCs w:val="32"/>
        </w:rPr>
      </w:pPr>
      <w:r>
        <w:t xml:space="preserve">1.3 </w:t>
      </w:r>
      <w:proofErr w:type="spellStart"/>
      <w:r>
        <w:t>Organiser</w:t>
      </w:r>
      <w:proofErr w:type="spellEnd"/>
    </w:p>
    <w:p w:rsidR="00134B59" w:rsidRPr="004F4D34" w:rsidRDefault="00000000">
      <w:pPr>
        <w:spacing w:after="60"/>
        <w:rPr>
          <w:sz w:val="24"/>
          <w:szCs w:val="28"/>
        </w:rPr>
      </w:pPr>
      <w:proofErr w:type="spellStart"/>
      <w:r>
        <w:t>Organiser</w:t>
      </w:r>
      <w:proofErr w:type="spellEnd"/>
      <w:r>
        <w:t>: Institute for Curriculum and Instruction Studies (ICIS)</w:t>
      </w:r>
    </w:p>
    <w:p w:rsidR="00134B59" w:rsidRPr="004F4D34" w:rsidRDefault="00000000">
      <w:pPr>
        <w:pStyle w:val="21"/>
        <w:rPr>
          <w:sz w:val="28"/>
          <w:szCs w:val="32"/>
        </w:rPr>
      </w:pPr>
      <w:r>
        <w:t>1.4 Participants</w:t>
      </w:r>
    </w:p>
    <w:p w:rsidR="00134B59" w:rsidRPr="004F4D34" w:rsidRDefault="00000000">
      <w:pPr>
        <w:spacing w:after="100"/>
        <w:jc w:val="both"/>
        <w:rPr>
          <w:sz w:val="24"/>
          <w:szCs w:val="28"/>
        </w:rPr>
      </w:pPr>
      <w:r>
        <w:t>Participants included curriculum and instruction researchers, university faculty members, graduate students, teachers, educational professionals, and domestic and international researchers interested in AI and digital education, critical thinking, and related fields.</w:t>
      </w:r>
    </w:p>
    <w:p w:rsidR="00134B59" w:rsidRPr="004F4D34" w:rsidRDefault="00000000">
      <w:pPr>
        <w:pStyle w:val="1"/>
        <w:rPr>
          <w:sz w:val="32"/>
          <w:szCs w:val="36"/>
        </w:rPr>
      </w:pPr>
      <w:r>
        <w:t>2. Background and Rationale</w:t>
      </w:r>
    </w:p>
    <w:p w:rsidR="00134B59" w:rsidRPr="004F4D34" w:rsidRDefault="00000000">
      <w:pPr>
        <w:spacing w:after="100"/>
        <w:jc w:val="both"/>
        <w:rPr>
          <w:sz w:val="24"/>
          <w:szCs w:val="28"/>
        </w:rPr>
      </w:pPr>
      <w:r>
        <w:t>The rapid development of AI technologies has brought major changes to the content, methods, assessment, and learning environments of education. In particular, the spread of generative AI and digital learning environments has presented both new possibilities and new challenges for learners' thinking processes, teachers' instructional design, and the development and use of educational materials.</w:t>
      </w:r>
    </w:p>
    <w:p w:rsidR="00134B59" w:rsidRPr="004F4D34" w:rsidRDefault="00000000">
      <w:pPr>
        <w:spacing w:after="100"/>
        <w:jc w:val="both"/>
        <w:rPr>
          <w:sz w:val="24"/>
          <w:szCs w:val="28"/>
        </w:rPr>
      </w:pPr>
      <w:r>
        <w:t>In response to these changes, education must move beyond the simple adoption of new technologies. It should support learners in interpreting information critically, using digital tools responsibly, and investigating complex problems. Educational innovation in the AI era therefore requires an integrated discussion of the potential of digital technologies together with critical thinking, learner agency, ethical judgement, and the quality of classroom discourse.</w:t>
      </w:r>
    </w:p>
    <w:p w:rsidR="00134B59" w:rsidRPr="004F4D34" w:rsidRDefault="00000000">
      <w:pPr>
        <w:spacing w:after="100"/>
        <w:jc w:val="both"/>
        <w:rPr>
          <w:sz w:val="24"/>
          <w:szCs w:val="28"/>
        </w:rPr>
      </w:pPr>
      <w:r>
        <w:t>The symposium brought together researchers from Croatia, Germany, and the Republic of Korea to discuss educational change, digital innovation, and the role of critical thinking in the AI era from multiple perspectives. Through this exchange, ICIS strengthened its international research network and established a practical foundation for international collaborative research and joint research proposal development.</w:t>
      </w:r>
    </w:p>
    <w:p w:rsidR="00134B59" w:rsidRPr="004F4D34" w:rsidRDefault="00000000">
      <w:pPr>
        <w:rPr>
          <w:sz w:val="24"/>
          <w:szCs w:val="28"/>
        </w:rPr>
      </w:pPr>
      <w:r w:rsidRPr="004F4D34">
        <w:rPr>
          <w:sz w:val="24"/>
          <w:szCs w:val="28"/>
        </w:rPr>
        <w:br w:type="page"/>
      </w:r>
    </w:p>
    <w:p w:rsidR="00134B59" w:rsidRPr="004F4D34" w:rsidRDefault="00000000">
      <w:pPr>
        <w:pStyle w:val="1"/>
        <w:rPr>
          <w:sz w:val="32"/>
          <w:szCs w:val="36"/>
        </w:rPr>
      </w:pPr>
      <w:r>
        <w:lastRenderedPageBreak/>
        <w:t xml:space="preserve">3. </w:t>
      </w:r>
      <w:proofErr w:type="spellStart"/>
      <w:r>
        <w:t>Programme</w:t>
      </w:r>
      <w:proofErr w:type="spellEnd"/>
      <w:r>
        <w:t xml:space="preserve"> Implemented</w:t>
      </w:r>
    </w:p>
    <w:p w:rsidR="00134B59" w:rsidRPr="004F4D34" w:rsidRDefault="00000000">
      <w:pPr>
        <w:pStyle w:val="21"/>
        <w:rPr>
          <w:sz w:val="28"/>
          <w:szCs w:val="32"/>
        </w:rPr>
      </w:pPr>
      <w:r>
        <w:t>3.1 Presentations Delivered</w:t>
      </w:r>
    </w:p>
    <w:p w:rsidR="00134B59" w:rsidRPr="004F4D34" w:rsidRDefault="00000000">
      <w:pPr>
        <w:spacing w:after="40"/>
        <w:rPr>
          <w:sz w:val="24"/>
          <w:szCs w:val="28"/>
        </w:rPr>
      </w:pPr>
      <w:r>
        <w:rPr>
          <w:b/>
          <w:color w:val="365F91"/>
          <w:sz w:val="21"/>
        </w:rPr>
        <w:t>Presentation 1</w:t>
      </w:r>
    </w:p>
    <w:tbl>
      <w:tblPr>
        <w:tblW w:w="0" w:type="auto"/>
        <w:jc w:val="center"/>
        <w:tblLayout w:type="fixed"/>
        <w:tblLook w:val="04A0" w:firstRow="1" w:lastRow="0" w:firstColumn="1" w:lastColumn="0" w:noHBand="0" w:noVBand="1"/>
      </w:tblPr>
      <w:tblGrid>
        <w:gridCol w:w="1555"/>
        <w:gridCol w:w="8525"/>
      </w:tblGrid>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Topic</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Lessons Learned from the Horizon Project</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Presenter(s)</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 xml:space="preserve">Prof. Nina </w:t>
            </w:r>
            <w:proofErr w:type="spellStart"/>
            <w:r w:rsidRPr="004F4D34">
              <w:rPr>
                <w:sz w:val="22"/>
                <w:szCs w:val="28"/>
              </w:rPr>
              <w:t>Begičević</w:t>
            </w:r>
            <w:proofErr w:type="spellEnd"/>
            <w:r w:rsidRPr="004F4D34">
              <w:rPr>
                <w:sz w:val="22"/>
                <w:szCs w:val="28"/>
              </w:rPr>
              <w:t xml:space="preserve"> </w:t>
            </w:r>
            <w:proofErr w:type="spellStart"/>
            <w:r w:rsidRPr="004F4D34">
              <w:rPr>
                <w:sz w:val="22"/>
                <w:szCs w:val="28"/>
              </w:rPr>
              <w:t>Ređep</w:t>
            </w:r>
            <w:proofErr w:type="spellEnd"/>
            <w:r w:rsidRPr="004F4D34">
              <w:rPr>
                <w:sz w:val="22"/>
                <w:szCs w:val="28"/>
              </w:rPr>
              <w:t xml:space="preserve"> and Prof. Goran </w:t>
            </w:r>
            <w:proofErr w:type="spellStart"/>
            <w:r w:rsidRPr="004F4D34">
              <w:rPr>
                <w:sz w:val="22"/>
                <w:szCs w:val="28"/>
              </w:rPr>
              <w:t>Hajdin</w:t>
            </w:r>
            <w:proofErr w:type="spellEnd"/>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Affiliation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University of Zagreb, Croatia</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Duration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15 minutes</w:t>
            </w:r>
          </w:p>
        </w:tc>
      </w:tr>
    </w:tbl>
    <w:p w:rsidR="00134B59" w:rsidRDefault="00000000">
      <w:pPr>
        <w:spacing w:after="100"/>
        <w:jc w:val="both"/>
        <w:rPr>
          <w:sz w:val="24"/>
          <w:szCs w:val="28"/>
        </w:rPr>
      </w:pPr>
      <w:r>
        <w:t>Drawing on the principal experiences and outcomes of the Horizon Project, the presenters shared lessons learned from conducting international collaborative research. They highlighted key considerations for international research planning, particularly in relation to digital innovation, research collaboration, and educational applications.</w:t>
      </w:r>
    </w:p>
    <w:p w:rsidR="004F4D34" w:rsidRPr="004F4D34" w:rsidRDefault="004F4D34">
      <w:pPr>
        <w:spacing w:after="100"/>
        <w:rPr>
          <w:sz w:val="24"/>
          <w:szCs w:val="28"/>
        </w:rPr>
      </w:pPr>
    </w:p>
    <w:p w:rsidR="00134B59" w:rsidRPr="004F4D34" w:rsidRDefault="00000000">
      <w:pPr>
        <w:spacing w:before="80" w:after="40"/>
        <w:rPr>
          <w:sz w:val="24"/>
          <w:szCs w:val="28"/>
        </w:rPr>
      </w:pPr>
      <w:r>
        <w:rPr>
          <w:b/>
          <w:color w:val="365F91"/>
          <w:sz w:val="21"/>
        </w:rPr>
        <w:t>Presentation 2</w:t>
      </w:r>
    </w:p>
    <w:tbl>
      <w:tblPr>
        <w:tblW w:w="0" w:type="auto"/>
        <w:jc w:val="center"/>
        <w:tblLayout w:type="fixed"/>
        <w:tblLook w:val="04A0" w:firstRow="1" w:lastRow="0" w:firstColumn="1" w:lastColumn="0" w:noHBand="0" w:noVBand="1"/>
      </w:tblPr>
      <w:tblGrid>
        <w:gridCol w:w="1555"/>
        <w:gridCol w:w="8525"/>
      </w:tblGrid>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Topic</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Development and Evaluation of a Dual-Expertise, Utterance-Level Framework for LLM-based Science Classroom Discourse Analysis</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Presenter(s)</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 xml:space="preserve">Prof. </w:t>
            </w:r>
            <w:proofErr w:type="spellStart"/>
            <w:r w:rsidRPr="004F4D34">
              <w:rPr>
                <w:sz w:val="22"/>
                <w:szCs w:val="28"/>
              </w:rPr>
              <w:t>Jin</w:t>
            </w:r>
            <w:proofErr w:type="spellEnd"/>
            <w:r w:rsidRPr="004F4D34">
              <w:rPr>
                <w:sz w:val="22"/>
                <w:szCs w:val="28"/>
              </w:rPr>
              <w:t xml:space="preserve"> </w:t>
            </w:r>
            <w:proofErr w:type="spellStart"/>
            <w:r w:rsidRPr="004F4D34">
              <w:rPr>
                <w:sz w:val="22"/>
                <w:szCs w:val="28"/>
              </w:rPr>
              <w:t>Eun</w:t>
            </w:r>
            <w:proofErr w:type="spellEnd"/>
            <w:r w:rsidRPr="004F4D34">
              <w:rPr>
                <w:sz w:val="22"/>
                <w:szCs w:val="28"/>
              </w:rPr>
              <w:t xml:space="preserve"> </w:t>
            </w:r>
            <w:proofErr w:type="spellStart"/>
            <w:r w:rsidRPr="004F4D34">
              <w:rPr>
                <w:sz w:val="22"/>
                <w:szCs w:val="28"/>
              </w:rPr>
              <w:t>Yoo</w:t>
            </w:r>
            <w:proofErr w:type="spellEnd"/>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Affiliation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Korea National University of Education, Republic of Korea</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Duration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15 minutes</w:t>
            </w:r>
          </w:p>
        </w:tc>
      </w:tr>
    </w:tbl>
    <w:p w:rsidR="00134B59" w:rsidRDefault="00000000">
      <w:pPr>
        <w:spacing w:after="100"/>
        <w:jc w:val="both"/>
        <w:rPr>
          <w:sz w:val="24"/>
          <w:szCs w:val="28"/>
        </w:rPr>
      </w:pPr>
      <w:r>
        <w:t xml:space="preserve">This presentation introduced a study that developed and evaluated a dual-expertise, utterance-level framework for </w:t>
      </w:r>
      <w:proofErr w:type="spellStart"/>
      <w:r>
        <w:t>analysing</w:t>
      </w:r>
      <w:proofErr w:type="spellEnd"/>
      <w:r>
        <w:t xml:space="preserve"> science classroom discourse using large language models. It examined the possibilities and limitations of AI-supported classroom analysis and offered methodological implications for evaluating the quality of discourse in science classrooms.</w:t>
      </w:r>
    </w:p>
    <w:p w:rsidR="004F4D34" w:rsidRPr="004F4D34" w:rsidRDefault="004F4D34">
      <w:pPr>
        <w:spacing w:after="100"/>
        <w:rPr>
          <w:sz w:val="24"/>
          <w:szCs w:val="28"/>
        </w:rPr>
      </w:pPr>
    </w:p>
    <w:p w:rsidR="00134B59" w:rsidRPr="004F4D34" w:rsidRDefault="00000000">
      <w:pPr>
        <w:spacing w:before="80" w:after="40"/>
        <w:rPr>
          <w:sz w:val="24"/>
          <w:szCs w:val="28"/>
        </w:rPr>
      </w:pPr>
      <w:r>
        <w:rPr>
          <w:b/>
          <w:color w:val="365F91"/>
          <w:sz w:val="21"/>
        </w:rPr>
        <w:t>Presentation 3</w:t>
      </w:r>
    </w:p>
    <w:tbl>
      <w:tblPr>
        <w:tblW w:w="0" w:type="auto"/>
        <w:jc w:val="center"/>
        <w:tblLayout w:type="fixed"/>
        <w:tblLook w:val="04A0" w:firstRow="1" w:lastRow="0" w:firstColumn="1" w:lastColumn="0" w:noHBand="0" w:noVBand="1"/>
      </w:tblPr>
      <w:tblGrid>
        <w:gridCol w:w="1555"/>
        <w:gridCol w:w="8525"/>
      </w:tblGrid>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Topic</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Critical Thinking in Online Learning Environments in Higher Education</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Presenter(s)</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Sebastian Gombert</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Affiliation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DIPF, Germany</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Duration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15 minutes</w:t>
            </w:r>
          </w:p>
        </w:tc>
      </w:tr>
    </w:tbl>
    <w:p w:rsidR="00134B59" w:rsidRDefault="00000000">
      <w:pPr>
        <w:spacing w:after="100"/>
        <w:jc w:val="both"/>
        <w:rPr>
          <w:sz w:val="24"/>
          <w:szCs w:val="28"/>
        </w:rPr>
      </w:pPr>
      <w:r>
        <w:t>This presentation examined how critical thinking can be developed and promoted in online learning environments in higher education. By focusing on the relationship between the characteristics of digital learning environments and learners' thinking processes, it clarified the significance of critical thinking education in online learning.</w:t>
      </w:r>
    </w:p>
    <w:p w:rsidR="004F4D34" w:rsidRPr="004F4D34" w:rsidRDefault="004F4D34">
      <w:pPr>
        <w:spacing w:after="100"/>
        <w:rPr>
          <w:sz w:val="24"/>
          <w:szCs w:val="28"/>
        </w:rPr>
      </w:pPr>
    </w:p>
    <w:p w:rsidR="00134B59" w:rsidRPr="004F4D34" w:rsidRDefault="00000000">
      <w:pPr>
        <w:spacing w:before="80" w:after="40"/>
        <w:rPr>
          <w:sz w:val="24"/>
          <w:szCs w:val="28"/>
        </w:rPr>
      </w:pPr>
      <w:r>
        <w:rPr>
          <w:b/>
          <w:color w:val="365F91"/>
          <w:sz w:val="21"/>
        </w:rPr>
        <w:t>Presentation 4</w:t>
      </w:r>
    </w:p>
    <w:tbl>
      <w:tblPr>
        <w:tblW w:w="0" w:type="auto"/>
        <w:jc w:val="center"/>
        <w:tblLayout w:type="fixed"/>
        <w:tblLook w:val="04A0" w:firstRow="1" w:lastRow="0" w:firstColumn="1" w:lastColumn="0" w:noHBand="0" w:noVBand="1"/>
      </w:tblPr>
      <w:tblGrid>
        <w:gridCol w:w="1555"/>
        <w:gridCol w:w="8525"/>
      </w:tblGrid>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Topic</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Development of a Tool to Measure K-12 Digital Use</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Presenter(s)</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Eui-</w:t>
            </w:r>
            <w:proofErr w:type="spellStart"/>
            <w:r w:rsidRPr="004F4D34">
              <w:rPr>
                <w:sz w:val="22"/>
                <w:szCs w:val="28"/>
              </w:rPr>
              <w:t>gyeom</w:t>
            </w:r>
            <w:proofErr w:type="spellEnd"/>
            <w:r w:rsidRPr="004F4D34">
              <w:rPr>
                <w:sz w:val="22"/>
                <w:szCs w:val="28"/>
              </w:rPr>
              <w:t xml:space="preserve"> Kim</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Affiliation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proofErr w:type="spellStart"/>
            <w:r w:rsidRPr="004F4D34">
              <w:rPr>
                <w:sz w:val="22"/>
                <w:szCs w:val="28"/>
              </w:rPr>
              <w:t>Sogang</w:t>
            </w:r>
            <w:proofErr w:type="spellEnd"/>
            <w:r w:rsidRPr="004F4D34">
              <w:rPr>
                <w:sz w:val="22"/>
                <w:szCs w:val="28"/>
              </w:rPr>
              <w:t xml:space="preserve"> University, Republic of Korea</w:t>
            </w:r>
          </w:p>
        </w:tc>
      </w:tr>
      <w:tr w:rsidR="00134B59" w:rsidRPr="004F4D34">
        <w:trPr>
          <w:jc w:val="center"/>
        </w:trPr>
        <w:tc>
          <w:tcPr>
            <w:tcW w:w="1555" w:type="dxa"/>
            <w:shd w:val="clear" w:color="auto" w:fill="D9EAF7"/>
            <w:tcMar>
              <w:top w:w="45" w:type="dxa"/>
              <w:left w:w="70" w:type="dxa"/>
              <w:bottom w:w="45" w:type="dxa"/>
              <w:right w:w="70" w:type="dxa"/>
            </w:tcMar>
            <w:vAlign w:val="center"/>
          </w:tcPr>
          <w:p w:rsidR="00134B59" w:rsidRPr="004F4D34" w:rsidRDefault="00000000">
            <w:pPr>
              <w:spacing w:after="0"/>
              <w:rPr>
                <w:sz w:val="24"/>
                <w:szCs w:val="28"/>
              </w:rPr>
            </w:pPr>
            <w:r w:rsidRPr="004F4D34">
              <w:rPr>
                <w:b/>
                <w:sz w:val="22"/>
                <w:szCs w:val="28"/>
              </w:rPr>
              <w:t>Duration</w:t>
            </w:r>
          </w:p>
        </w:tc>
        <w:tc>
          <w:tcPr>
            <w:tcW w:w="8525" w:type="dxa"/>
            <w:tcMar>
              <w:top w:w="45" w:type="dxa"/>
              <w:left w:w="70" w:type="dxa"/>
              <w:bottom w:w="45" w:type="dxa"/>
              <w:right w:w="70" w:type="dxa"/>
            </w:tcMar>
            <w:vAlign w:val="center"/>
          </w:tcPr>
          <w:p w:rsidR="00134B59" w:rsidRPr="004F4D34" w:rsidRDefault="00000000">
            <w:pPr>
              <w:spacing w:after="0"/>
              <w:rPr>
                <w:sz w:val="24"/>
                <w:szCs w:val="28"/>
              </w:rPr>
            </w:pPr>
            <w:r w:rsidRPr="004F4D34">
              <w:rPr>
                <w:sz w:val="22"/>
                <w:szCs w:val="28"/>
              </w:rPr>
              <w:t>15 minutes</w:t>
            </w:r>
          </w:p>
        </w:tc>
      </w:tr>
    </w:tbl>
    <w:p w:rsidR="00134B59" w:rsidRPr="004F4D34" w:rsidRDefault="00000000">
      <w:pPr>
        <w:spacing w:after="100"/>
        <w:jc w:val="both"/>
        <w:rPr>
          <w:sz w:val="24"/>
          <w:szCs w:val="28"/>
        </w:rPr>
      </w:pPr>
      <w:r>
        <w:t>This presentation introduced the development of an instrument to measure students' digital use in K-12 education. It explained the structure and potential applications of the instrument for systematically identifying patterns of digital use among K-12 learners.</w:t>
      </w:r>
    </w:p>
    <w:p w:rsidR="00134B59" w:rsidRPr="004F4D34" w:rsidRDefault="00000000" w:rsidP="004F4D34">
      <w:pPr>
        <w:pStyle w:val="21"/>
        <w:pageBreakBefore/>
        <w:rPr>
          <w:sz w:val="28"/>
          <w:szCs w:val="32"/>
        </w:rPr>
      </w:pPr>
      <w:r>
        <w:lastRenderedPageBreak/>
        <w:t>3.2 Open Discussion</w:t>
      </w:r>
    </w:p>
    <w:tbl>
      <w:tblPr>
        <w:tblW w:w="0" w:type="auto"/>
        <w:jc w:val="center"/>
        <w:tblLayout w:type="fixed"/>
        <w:tblLook w:val="04A0" w:firstRow="1" w:lastRow="0" w:firstColumn="1" w:lastColumn="0" w:noHBand="0" w:noVBand="1"/>
      </w:tblPr>
      <w:tblGrid>
        <w:gridCol w:w="5083"/>
        <w:gridCol w:w="5083"/>
      </w:tblGrid>
      <w:tr w:rsidR="00134B59" w:rsidRPr="004F4D34">
        <w:trPr>
          <w:jc w:val="center"/>
        </w:trPr>
        <w:tc>
          <w:tcPr>
            <w:tcW w:w="5083" w:type="dxa"/>
            <w:shd w:val="clear" w:color="auto" w:fill="D9EAF7"/>
            <w:tcMar>
              <w:top w:w="55" w:type="dxa"/>
              <w:left w:w="75" w:type="dxa"/>
              <w:bottom w:w="55" w:type="dxa"/>
              <w:right w:w="75" w:type="dxa"/>
            </w:tcMar>
            <w:vAlign w:val="center"/>
          </w:tcPr>
          <w:p w:rsidR="00134B59" w:rsidRPr="004F4D34" w:rsidRDefault="00000000">
            <w:pPr>
              <w:spacing w:after="0"/>
              <w:rPr>
                <w:sz w:val="24"/>
                <w:szCs w:val="28"/>
              </w:rPr>
            </w:pPr>
            <w:r w:rsidRPr="004F4D34">
              <w:rPr>
                <w:b/>
                <w:sz w:val="22"/>
                <w:szCs w:val="28"/>
              </w:rPr>
              <w:t>Topic</w:t>
            </w:r>
          </w:p>
        </w:tc>
        <w:tc>
          <w:tcPr>
            <w:tcW w:w="5083" w:type="dxa"/>
            <w:tcMar>
              <w:top w:w="55" w:type="dxa"/>
              <w:left w:w="75" w:type="dxa"/>
              <w:bottom w:w="55" w:type="dxa"/>
              <w:right w:w="75" w:type="dxa"/>
            </w:tcMar>
            <w:vAlign w:val="center"/>
          </w:tcPr>
          <w:p w:rsidR="00134B59" w:rsidRPr="004F4D34" w:rsidRDefault="00000000">
            <w:pPr>
              <w:spacing w:after="0"/>
              <w:rPr>
                <w:sz w:val="24"/>
                <w:szCs w:val="28"/>
              </w:rPr>
            </w:pPr>
            <w:r w:rsidRPr="004F4D34">
              <w:rPr>
                <w:sz w:val="22"/>
                <w:szCs w:val="28"/>
              </w:rPr>
              <w:t>Open Discussion</w:t>
            </w:r>
          </w:p>
        </w:tc>
      </w:tr>
      <w:tr w:rsidR="00134B59" w:rsidRPr="004F4D34">
        <w:trPr>
          <w:jc w:val="center"/>
        </w:trPr>
        <w:tc>
          <w:tcPr>
            <w:tcW w:w="5083" w:type="dxa"/>
            <w:shd w:val="clear" w:color="auto" w:fill="D9EAF7"/>
            <w:tcMar>
              <w:top w:w="55" w:type="dxa"/>
              <w:left w:w="75" w:type="dxa"/>
              <w:bottom w:w="55" w:type="dxa"/>
              <w:right w:w="75" w:type="dxa"/>
            </w:tcMar>
            <w:vAlign w:val="center"/>
          </w:tcPr>
          <w:p w:rsidR="00134B59" w:rsidRPr="004F4D34" w:rsidRDefault="00000000">
            <w:pPr>
              <w:spacing w:after="0"/>
              <w:rPr>
                <w:sz w:val="24"/>
                <w:szCs w:val="28"/>
              </w:rPr>
            </w:pPr>
            <w:r w:rsidRPr="004F4D34">
              <w:rPr>
                <w:b/>
                <w:sz w:val="22"/>
                <w:szCs w:val="28"/>
              </w:rPr>
              <w:t>Moderator</w:t>
            </w:r>
          </w:p>
        </w:tc>
        <w:tc>
          <w:tcPr>
            <w:tcW w:w="5083" w:type="dxa"/>
            <w:tcMar>
              <w:top w:w="55" w:type="dxa"/>
              <w:left w:w="75" w:type="dxa"/>
              <w:bottom w:w="55" w:type="dxa"/>
              <w:right w:w="75" w:type="dxa"/>
            </w:tcMar>
            <w:vAlign w:val="center"/>
          </w:tcPr>
          <w:p w:rsidR="00134B59" w:rsidRPr="004F4D34" w:rsidRDefault="00000000">
            <w:pPr>
              <w:spacing w:after="0"/>
              <w:rPr>
                <w:sz w:val="24"/>
                <w:szCs w:val="28"/>
              </w:rPr>
            </w:pPr>
            <w:r w:rsidRPr="004F4D34">
              <w:rPr>
                <w:sz w:val="22"/>
                <w:szCs w:val="28"/>
              </w:rPr>
              <w:t>Prof. Hyo Jeong Shin</w:t>
            </w:r>
          </w:p>
        </w:tc>
      </w:tr>
      <w:tr w:rsidR="00134B59" w:rsidRPr="004F4D34">
        <w:trPr>
          <w:jc w:val="center"/>
        </w:trPr>
        <w:tc>
          <w:tcPr>
            <w:tcW w:w="5083" w:type="dxa"/>
            <w:shd w:val="clear" w:color="auto" w:fill="D9EAF7"/>
            <w:tcMar>
              <w:top w:w="55" w:type="dxa"/>
              <w:left w:w="75" w:type="dxa"/>
              <w:bottom w:w="55" w:type="dxa"/>
              <w:right w:w="75" w:type="dxa"/>
            </w:tcMar>
            <w:vAlign w:val="center"/>
          </w:tcPr>
          <w:p w:rsidR="00134B59" w:rsidRPr="004F4D34" w:rsidRDefault="00000000">
            <w:pPr>
              <w:spacing w:after="0"/>
              <w:rPr>
                <w:sz w:val="24"/>
                <w:szCs w:val="28"/>
              </w:rPr>
            </w:pPr>
            <w:r w:rsidRPr="004F4D34">
              <w:rPr>
                <w:b/>
                <w:sz w:val="22"/>
                <w:szCs w:val="28"/>
              </w:rPr>
              <w:t>Affiliation</w:t>
            </w:r>
          </w:p>
        </w:tc>
        <w:tc>
          <w:tcPr>
            <w:tcW w:w="5083" w:type="dxa"/>
            <w:tcMar>
              <w:top w:w="55" w:type="dxa"/>
              <w:left w:w="75" w:type="dxa"/>
              <w:bottom w:w="55" w:type="dxa"/>
              <w:right w:w="75" w:type="dxa"/>
            </w:tcMar>
            <w:vAlign w:val="center"/>
          </w:tcPr>
          <w:p w:rsidR="00134B59" w:rsidRPr="004F4D34" w:rsidRDefault="00000000">
            <w:pPr>
              <w:spacing w:after="0"/>
              <w:rPr>
                <w:sz w:val="24"/>
                <w:szCs w:val="28"/>
              </w:rPr>
            </w:pPr>
            <w:proofErr w:type="spellStart"/>
            <w:r w:rsidRPr="004F4D34">
              <w:rPr>
                <w:sz w:val="22"/>
                <w:szCs w:val="28"/>
              </w:rPr>
              <w:t>Sogang</w:t>
            </w:r>
            <w:proofErr w:type="spellEnd"/>
            <w:r w:rsidRPr="004F4D34">
              <w:rPr>
                <w:sz w:val="22"/>
                <w:szCs w:val="28"/>
              </w:rPr>
              <w:t xml:space="preserve"> University, Republic of Korea</w:t>
            </w:r>
          </w:p>
        </w:tc>
      </w:tr>
      <w:tr w:rsidR="00134B59" w:rsidRPr="004F4D34">
        <w:trPr>
          <w:jc w:val="center"/>
        </w:trPr>
        <w:tc>
          <w:tcPr>
            <w:tcW w:w="5083" w:type="dxa"/>
            <w:shd w:val="clear" w:color="auto" w:fill="D9EAF7"/>
            <w:tcMar>
              <w:top w:w="55" w:type="dxa"/>
              <w:left w:w="75" w:type="dxa"/>
              <w:bottom w:w="55" w:type="dxa"/>
              <w:right w:w="75" w:type="dxa"/>
            </w:tcMar>
            <w:vAlign w:val="center"/>
          </w:tcPr>
          <w:p w:rsidR="00134B59" w:rsidRPr="004F4D34" w:rsidRDefault="00000000">
            <w:pPr>
              <w:spacing w:after="0"/>
              <w:rPr>
                <w:sz w:val="24"/>
                <w:szCs w:val="28"/>
              </w:rPr>
            </w:pPr>
            <w:r w:rsidRPr="004F4D34">
              <w:rPr>
                <w:b/>
                <w:sz w:val="22"/>
                <w:szCs w:val="28"/>
              </w:rPr>
              <w:t>Duration</w:t>
            </w:r>
          </w:p>
        </w:tc>
        <w:tc>
          <w:tcPr>
            <w:tcW w:w="5083" w:type="dxa"/>
            <w:tcMar>
              <w:top w:w="55" w:type="dxa"/>
              <w:left w:w="75" w:type="dxa"/>
              <w:bottom w:w="55" w:type="dxa"/>
              <w:right w:w="75" w:type="dxa"/>
            </w:tcMar>
            <w:vAlign w:val="center"/>
          </w:tcPr>
          <w:p w:rsidR="00134B59" w:rsidRPr="004F4D34" w:rsidRDefault="00000000">
            <w:pPr>
              <w:spacing w:after="0"/>
              <w:rPr>
                <w:sz w:val="24"/>
                <w:szCs w:val="28"/>
              </w:rPr>
            </w:pPr>
            <w:r w:rsidRPr="004F4D34">
              <w:rPr>
                <w:sz w:val="22"/>
                <w:szCs w:val="28"/>
              </w:rPr>
              <w:t>55 minutes</w:t>
            </w:r>
          </w:p>
        </w:tc>
      </w:tr>
    </w:tbl>
    <w:p w:rsidR="00134B59" w:rsidRPr="004F4D34" w:rsidRDefault="00000000">
      <w:pPr>
        <w:spacing w:after="100"/>
        <w:jc w:val="both"/>
        <w:rPr>
          <w:sz w:val="24"/>
          <w:szCs w:val="28"/>
        </w:rPr>
      </w:pPr>
      <w:r>
        <w:t>The open discussion drew on the four presentations to examine the significance of digital innovation and critical thinking in education in the AI era. Participants identified opportunities for international collaborative research, refined topics for follow-up studies, and agreed on directions for developing future research proposals.</w:t>
      </w:r>
    </w:p>
    <w:p w:rsidR="00134B59" w:rsidRPr="004F4D34" w:rsidRDefault="00000000">
      <w:pPr>
        <w:pStyle w:val="1"/>
        <w:rPr>
          <w:sz w:val="32"/>
          <w:szCs w:val="36"/>
        </w:rPr>
      </w:pPr>
      <w:r>
        <w:t>4. Outcomes and Achievements</w:t>
      </w:r>
    </w:p>
    <w:p w:rsidR="00134B59" w:rsidRPr="004F4D34" w:rsidRDefault="00000000">
      <w:pPr>
        <w:pStyle w:val="a0"/>
        <w:spacing w:after="40" w:line="245" w:lineRule="auto"/>
        <w:ind w:left="317" w:hanging="202"/>
        <w:rPr>
          <w:sz w:val="24"/>
          <w:szCs w:val="28"/>
        </w:rPr>
      </w:pPr>
      <w:r>
        <w:t>Scholarly discussion among domestic and international researchers on educational change in the AI era was substantially expanded through the presentations and open discussion.</w:t>
      </w:r>
    </w:p>
    <w:p w:rsidR="00134B59" w:rsidRPr="004F4D34" w:rsidRDefault="00000000">
      <w:pPr>
        <w:pStyle w:val="a0"/>
        <w:spacing w:after="40" w:line="245" w:lineRule="auto"/>
        <w:ind w:left="317" w:hanging="202"/>
        <w:rPr>
          <w:sz w:val="24"/>
          <w:szCs w:val="28"/>
        </w:rPr>
      </w:pPr>
      <w:r>
        <w:t>Current research trends in digital innovation, critical thinking, online learning, and AI-supported classroom analysis were shared and critically examined.</w:t>
      </w:r>
    </w:p>
    <w:p w:rsidR="00134B59" w:rsidRPr="004F4D34" w:rsidRDefault="00000000">
      <w:pPr>
        <w:pStyle w:val="a0"/>
        <w:spacing w:after="40" w:line="245" w:lineRule="auto"/>
        <w:ind w:left="317" w:hanging="202"/>
        <w:rPr>
          <w:sz w:val="24"/>
          <w:szCs w:val="28"/>
        </w:rPr>
      </w:pPr>
      <w:r>
        <w:t>The international academic network of the Institute for Curriculum and Instruction Studies was strengthened through active exchange among researchers from Croatia, Germany, and the Republic of Korea.</w:t>
      </w:r>
    </w:p>
    <w:p w:rsidR="00134B59" w:rsidRPr="004F4D34" w:rsidRDefault="00000000">
      <w:pPr>
        <w:pStyle w:val="a0"/>
        <w:spacing w:after="40" w:line="245" w:lineRule="auto"/>
        <w:ind w:left="317" w:hanging="202"/>
        <w:rPr>
          <w:sz w:val="24"/>
          <w:szCs w:val="28"/>
        </w:rPr>
      </w:pPr>
      <w:r>
        <w:t>A concrete collaborative foundation was established for international research and the development of joint research proposals.</w:t>
      </w:r>
    </w:p>
    <w:p w:rsidR="00134B59" w:rsidRPr="004F4D34" w:rsidRDefault="00000000">
      <w:pPr>
        <w:pStyle w:val="a0"/>
        <w:spacing w:after="40" w:line="245" w:lineRule="auto"/>
        <w:ind w:left="317" w:hanging="202"/>
        <w:rPr>
          <w:sz w:val="24"/>
          <w:szCs w:val="28"/>
        </w:rPr>
      </w:pPr>
      <w:r>
        <w:t>Opportunities for domestic researchers and graduate students to participate in international research activities were expanded through new scholarly connections and follow-up collaboration.</w:t>
      </w:r>
    </w:p>
    <w:p w:rsidR="00134B59" w:rsidRPr="004F4D34" w:rsidRDefault="00000000">
      <w:pPr>
        <w:pStyle w:val="a0"/>
        <w:spacing w:after="40" w:line="245" w:lineRule="auto"/>
        <w:ind w:left="317" w:hanging="202"/>
        <w:rPr>
          <w:sz w:val="24"/>
          <w:szCs w:val="28"/>
        </w:rPr>
      </w:pPr>
      <w:r>
        <w:t>Clear directions were identified for follow-up research, seminars, publications, presentations, and other academic activities related to AI and digital education.</w:t>
      </w:r>
    </w:p>
    <w:p w:rsidR="00134B59" w:rsidRPr="004F4D34" w:rsidRDefault="00134B59">
      <w:pPr>
        <w:rPr>
          <w:sz w:val="24"/>
          <w:szCs w:val="28"/>
        </w:rPr>
      </w:pPr>
    </w:p>
    <w:p w:rsidR="00134B59" w:rsidRPr="004F4D34" w:rsidRDefault="00000000">
      <w:pPr>
        <w:pStyle w:val="1"/>
        <w:rPr>
          <w:sz w:val="32"/>
          <w:szCs w:val="36"/>
        </w:rPr>
      </w:pPr>
      <w:r>
        <w:t>5. Event Implementation</w:t>
      </w:r>
    </w:p>
    <w:p w:rsidR="00134B59" w:rsidRPr="004F4D34" w:rsidRDefault="00000000">
      <w:pPr>
        <w:spacing w:after="60"/>
        <w:rPr>
          <w:sz w:val="24"/>
          <w:szCs w:val="28"/>
        </w:rPr>
      </w:pPr>
      <w:r>
        <w:t>Date and Time: Tuesday, 26 May 2026, 8:00-10:00 p.m. (KST)</w:t>
      </w:r>
    </w:p>
    <w:p w:rsidR="00134B59" w:rsidRPr="004F4D34" w:rsidRDefault="00000000">
      <w:pPr>
        <w:spacing w:after="60"/>
        <w:rPr>
          <w:sz w:val="24"/>
          <w:szCs w:val="28"/>
        </w:rPr>
      </w:pPr>
      <w:r>
        <w:t>Venue: Online</w:t>
      </w:r>
    </w:p>
    <w:p w:rsidR="00134B59" w:rsidRPr="004F4D34" w:rsidRDefault="00000000">
      <w:pPr>
        <w:spacing w:after="60"/>
        <w:rPr>
          <w:sz w:val="24"/>
          <w:szCs w:val="28"/>
        </w:rPr>
      </w:pPr>
      <w:r>
        <w:t>Format: The symposium was conducted online, and access links were sent separately to registered participants.</w:t>
      </w:r>
    </w:p>
    <w:p w:rsidR="00134B59" w:rsidRPr="004F4D34" w:rsidRDefault="00000000">
      <w:pPr>
        <w:spacing w:after="60"/>
        <w:rPr>
          <w:sz w:val="24"/>
          <w:szCs w:val="28"/>
        </w:rPr>
      </w:pPr>
      <w:r>
        <w:t>Host: Institute for Curriculum and Instruction Studies, Korea National University of Education</w:t>
      </w:r>
    </w:p>
    <w:p w:rsidR="00134B59" w:rsidRPr="004F4D34" w:rsidRDefault="00000000">
      <w:pPr>
        <w:spacing w:after="60"/>
        <w:rPr>
          <w:sz w:val="24"/>
          <w:szCs w:val="28"/>
        </w:rPr>
      </w:pPr>
      <w:r>
        <w:t>Supported by: National Research Foundation of Korea</w:t>
      </w:r>
    </w:p>
    <w:p w:rsidR="00134B59" w:rsidRPr="004F4D34" w:rsidRDefault="00000000">
      <w:pPr>
        <w:spacing w:after="60"/>
        <w:rPr>
          <w:sz w:val="24"/>
          <w:szCs w:val="28"/>
        </w:rPr>
      </w:pPr>
      <w:r>
        <w:t xml:space="preserve">Moderator: Prof. Hyo Jeong Shin, </w:t>
      </w:r>
      <w:proofErr w:type="spellStart"/>
      <w:r>
        <w:t>Sogang</w:t>
      </w:r>
      <w:proofErr w:type="spellEnd"/>
      <w:r>
        <w:t xml:space="preserve"> University</w:t>
      </w:r>
    </w:p>
    <w:p w:rsidR="00134B59" w:rsidRPr="004F4D34" w:rsidRDefault="00000000">
      <w:pPr>
        <w:pStyle w:val="21"/>
        <w:pageBreakBefore/>
        <w:rPr>
          <w:sz w:val="28"/>
          <w:szCs w:val="32"/>
        </w:rPr>
      </w:pPr>
      <w:proofErr w:type="spellStart"/>
      <w:r>
        <w:lastRenderedPageBreak/>
        <w:t>Programme</w:t>
      </w:r>
      <w:proofErr w:type="spellEnd"/>
      <w:r>
        <w:t xml:space="preserve"> as Implemented</w:t>
      </w:r>
    </w:p>
    <w:tbl>
      <w:tblPr>
        <w:tblStyle w:val="af9"/>
        <w:tblW w:w="10313" w:type="dxa"/>
        <w:jc w:val="center"/>
        <w:tblLayout w:type="fixed"/>
        <w:tblLook w:val="04A0" w:firstRow="1" w:lastRow="0" w:firstColumn="1" w:lastColumn="0" w:noHBand="0" w:noVBand="1"/>
      </w:tblPr>
      <w:tblGrid>
        <w:gridCol w:w="1812"/>
        <w:gridCol w:w="4641"/>
        <w:gridCol w:w="3860"/>
      </w:tblGrid>
      <w:tr w:rsidR="00134B59" w:rsidRPr="004F4D34" w:rsidTr="00DA46E1">
        <w:trPr>
          <w:tblHeader/>
          <w:jc w:val="center"/>
        </w:trPr>
        <w:tc>
          <w:tcPr>
            <w:tcW w:w="1812" w:type="dxa"/>
            <w:shd w:val="clear" w:color="auto" w:fill="B4C6E7"/>
            <w:tcMar>
              <w:top w:w="65" w:type="dxa"/>
              <w:left w:w="60" w:type="dxa"/>
              <w:bottom w:w="65" w:type="dxa"/>
              <w:right w:w="60" w:type="dxa"/>
            </w:tcMar>
            <w:vAlign w:val="center"/>
          </w:tcPr>
          <w:p w:rsidR="00134B59" w:rsidRPr="004F4D34" w:rsidRDefault="00000000">
            <w:pPr>
              <w:spacing w:after="0"/>
              <w:jc w:val="center"/>
              <w:rPr>
                <w:sz w:val="24"/>
                <w:szCs w:val="28"/>
              </w:rPr>
            </w:pPr>
            <w:r w:rsidRPr="004F4D34">
              <w:rPr>
                <w:b/>
                <w:sz w:val="22"/>
                <w:szCs w:val="28"/>
              </w:rPr>
              <w:t>Time</w:t>
            </w:r>
          </w:p>
        </w:tc>
        <w:tc>
          <w:tcPr>
            <w:tcW w:w="4641" w:type="dxa"/>
            <w:shd w:val="clear" w:color="auto" w:fill="B4C6E7"/>
            <w:tcMar>
              <w:top w:w="65" w:type="dxa"/>
              <w:left w:w="60" w:type="dxa"/>
              <w:bottom w:w="65" w:type="dxa"/>
              <w:right w:w="60" w:type="dxa"/>
            </w:tcMar>
            <w:vAlign w:val="center"/>
          </w:tcPr>
          <w:p w:rsidR="00134B59" w:rsidRPr="004F4D34" w:rsidRDefault="00000000">
            <w:pPr>
              <w:spacing w:after="0"/>
              <w:jc w:val="center"/>
              <w:rPr>
                <w:sz w:val="24"/>
                <w:szCs w:val="28"/>
              </w:rPr>
            </w:pPr>
            <w:proofErr w:type="spellStart"/>
            <w:r w:rsidRPr="004F4D34">
              <w:rPr>
                <w:b/>
                <w:sz w:val="22"/>
                <w:szCs w:val="28"/>
              </w:rPr>
              <w:t>Programme</w:t>
            </w:r>
            <w:proofErr w:type="spellEnd"/>
          </w:p>
        </w:tc>
        <w:tc>
          <w:tcPr>
            <w:tcW w:w="3860" w:type="dxa"/>
            <w:shd w:val="clear" w:color="auto" w:fill="B4C6E7"/>
            <w:tcMar>
              <w:top w:w="65" w:type="dxa"/>
              <w:left w:w="60" w:type="dxa"/>
              <w:bottom w:w="65" w:type="dxa"/>
              <w:right w:w="60" w:type="dxa"/>
            </w:tcMar>
            <w:vAlign w:val="center"/>
          </w:tcPr>
          <w:p w:rsidR="00134B59" w:rsidRPr="004F4D34" w:rsidRDefault="00000000">
            <w:pPr>
              <w:spacing w:after="0"/>
              <w:jc w:val="center"/>
              <w:rPr>
                <w:sz w:val="24"/>
                <w:szCs w:val="28"/>
              </w:rPr>
            </w:pPr>
            <w:r w:rsidRPr="004F4D34">
              <w:rPr>
                <w:b/>
                <w:sz w:val="22"/>
                <w:szCs w:val="28"/>
              </w:rPr>
              <w:t>Responsible Person(s)</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20:00-20:05</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Opening and Welcome Remarks</w:t>
            </w:r>
          </w:p>
        </w:tc>
        <w:tc>
          <w:tcPr>
            <w:tcW w:w="3860"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Director, Institute for Curriculum and Instruction Studies</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20:05-20:20</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Presentation 1. Lessons Learned from the Horizon Project</w:t>
            </w:r>
          </w:p>
        </w:tc>
        <w:tc>
          <w:tcPr>
            <w:tcW w:w="3860" w:type="dxa"/>
            <w:tcMar>
              <w:top w:w="50" w:type="dxa"/>
              <w:left w:w="60" w:type="dxa"/>
              <w:bottom w:w="50" w:type="dxa"/>
              <w:right w:w="60" w:type="dxa"/>
            </w:tcMar>
            <w:vAlign w:val="center"/>
          </w:tcPr>
          <w:p w:rsidR="00DA46E1" w:rsidRDefault="00000000">
            <w:pPr>
              <w:spacing w:after="0"/>
              <w:jc w:val="center"/>
              <w:rPr>
                <w:szCs w:val="28"/>
              </w:rPr>
            </w:pPr>
            <w:r w:rsidRPr="004F4D34">
              <w:rPr>
                <w:szCs w:val="28"/>
              </w:rPr>
              <w:t xml:space="preserve">Prof. Goran </w:t>
            </w:r>
            <w:proofErr w:type="spellStart"/>
            <w:r w:rsidRPr="004F4D34">
              <w:rPr>
                <w:szCs w:val="28"/>
              </w:rPr>
              <w:t>Hajdin</w:t>
            </w:r>
            <w:proofErr w:type="spellEnd"/>
            <w:r w:rsidRPr="004F4D34">
              <w:rPr>
                <w:szCs w:val="28"/>
              </w:rPr>
              <w:t xml:space="preserve"> and </w:t>
            </w:r>
          </w:p>
          <w:p w:rsidR="00134B59" w:rsidRPr="004F4D34" w:rsidRDefault="00000000">
            <w:pPr>
              <w:spacing w:after="0"/>
              <w:jc w:val="center"/>
              <w:rPr>
                <w:sz w:val="24"/>
                <w:szCs w:val="28"/>
              </w:rPr>
            </w:pPr>
            <w:r w:rsidRPr="004F4D34">
              <w:rPr>
                <w:szCs w:val="28"/>
              </w:rPr>
              <w:t xml:space="preserve">Prof. Nina </w:t>
            </w:r>
            <w:proofErr w:type="spellStart"/>
            <w:r w:rsidRPr="004F4D34">
              <w:rPr>
                <w:szCs w:val="28"/>
              </w:rPr>
              <w:t>Begičević</w:t>
            </w:r>
            <w:proofErr w:type="spellEnd"/>
            <w:r w:rsidRPr="004F4D34">
              <w:rPr>
                <w:szCs w:val="28"/>
              </w:rPr>
              <w:t xml:space="preserve"> </w:t>
            </w:r>
            <w:proofErr w:type="spellStart"/>
            <w:r w:rsidRPr="004F4D34">
              <w:rPr>
                <w:szCs w:val="28"/>
              </w:rPr>
              <w:t>Ređep</w:t>
            </w:r>
            <w:proofErr w:type="spellEnd"/>
            <w:r w:rsidRPr="004F4D34">
              <w:rPr>
                <w:sz w:val="24"/>
                <w:szCs w:val="28"/>
              </w:rPr>
              <w:br/>
            </w:r>
            <w:r w:rsidRPr="004F4D34">
              <w:rPr>
                <w:szCs w:val="28"/>
              </w:rPr>
              <w:t>University of Zagreb</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20:20-20:35</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Presentation 2. LLM-based Science Classroom Discourse Analysis</w:t>
            </w:r>
          </w:p>
        </w:tc>
        <w:tc>
          <w:tcPr>
            <w:tcW w:w="3860"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 xml:space="preserve">Prof. </w:t>
            </w:r>
            <w:proofErr w:type="spellStart"/>
            <w:r w:rsidRPr="004F4D34">
              <w:rPr>
                <w:szCs w:val="28"/>
              </w:rPr>
              <w:t>Jin</w:t>
            </w:r>
            <w:proofErr w:type="spellEnd"/>
            <w:r w:rsidRPr="004F4D34">
              <w:rPr>
                <w:szCs w:val="28"/>
              </w:rPr>
              <w:t xml:space="preserve"> </w:t>
            </w:r>
            <w:proofErr w:type="spellStart"/>
            <w:r w:rsidRPr="004F4D34">
              <w:rPr>
                <w:szCs w:val="28"/>
              </w:rPr>
              <w:t>Eun</w:t>
            </w:r>
            <w:proofErr w:type="spellEnd"/>
            <w:r w:rsidRPr="004F4D34">
              <w:rPr>
                <w:szCs w:val="28"/>
              </w:rPr>
              <w:t xml:space="preserve"> </w:t>
            </w:r>
            <w:proofErr w:type="spellStart"/>
            <w:r w:rsidRPr="004F4D34">
              <w:rPr>
                <w:szCs w:val="28"/>
              </w:rPr>
              <w:t>Yoo</w:t>
            </w:r>
            <w:proofErr w:type="spellEnd"/>
            <w:r w:rsidRPr="004F4D34">
              <w:rPr>
                <w:sz w:val="24"/>
                <w:szCs w:val="28"/>
              </w:rPr>
              <w:br/>
            </w:r>
            <w:r w:rsidRPr="004F4D34">
              <w:rPr>
                <w:szCs w:val="28"/>
              </w:rPr>
              <w:t>Korea National University of Education</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20:35-20:50</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Presentation 3. Critical Thinking in Online Learning Environments in Higher Education</w:t>
            </w:r>
          </w:p>
        </w:tc>
        <w:tc>
          <w:tcPr>
            <w:tcW w:w="3860"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Sebastian Gombert</w:t>
            </w:r>
            <w:r w:rsidRPr="004F4D34">
              <w:rPr>
                <w:sz w:val="24"/>
                <w:szCs w:val="28"/>
              </w:rPr>
              <w:br/>
            </w:r>
            <w:r w:rsidRPr="004F4D34">
              <w:rPr>
                <w:szCs w:val="28"/>
              </w:rPr>
              <w:t>DIPF</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20:50-21:05</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Presentation 4. Development of a Tool to Measure K-12 Digital Use</w:t>
            </w:r>
          </w:p>
        </w:tc>
        <w:tc>
          <w:tcPr>
            <w:tcW w:w="3860"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Eui-</w:t>
            </w:r>
            <w:proofErr w:type="spellStart"/>
            <w:r w:rsidRPr="004F4D34">
              <w:rPr>
                <w:szCs w:val="28"/>
              </w:rPr>
              <w:t>gyeom</w:t>
            </w:r>
            <w:proofErr w:type="spellEnd"/>
            <w:r w:rsidRPr="004F4D34">
              <w:rPr>
                <w:szCs w:val="28"/>
              </w:rPr>
              <w:t xml:space="preserve"> Kim</w:t>
            </w:r>
            <w:r w:rsidRPr="004F4D34">
              <w:rPr>
                <w:sz w:val="24"/>
                <w:szCs w:val="28"/>
              </w:rPr>
              <w:br/>
            </w:r>
            <w:proofErr w:type="spellStart"/>
            <w:r w:rsidRPr="004F4D34">
              <w:rPr>
                <w:szCs w:val="28"/>
              </w:rPr>
              <w:t>Sogang</w:t>
            </w:r>
            <w:proofErr w:type="spellEnd"/>
            <w:r w:rsidRPr="004F4D34">
              <w:rPr>
                <w:szCs w:val="28"/>
              </w:rPr>
              <w:t xml:space="preserve"> University</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21:05-22:00</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Open Discussion</w:t>
            </w:r>
          </w:p>
        </w:tc>
        <w:tc>
          <w:tcPr>
            <w:tcW w:w="3860"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Prof. Hyo Jeong Shin</w:t>
            </w:r>
            <w:r w:rsidRPr="004F4D34">
              <w:rPr>
                <w:sz w:val="24"/>
                <w:szCs w:val="28"/>
              </w:rPr>
              <w:br/>
            </w:r>
            <w:proofErr w:type="spellStart"/>
            <w:r w:rsidRPr="004F4D34">
              <w:rPr>
                <w:szCs w:val="28"/>
              </w:rPr>
              <w:t>Sogang</w:t>
            </w:r>
            <w:proofErr w:type="spellEnd"/>
            <w:r w:rsidRPr="004F4D34">
              <w:rPr>
                <w:szCs w:val="28"/>
              </w:rPr>
              <w:t xml:space="preserve"> University</w:t>
            </w:r>
          </w:p>
        </w:tc>
      </w:tr>
      <w:tr w:rsidR="00134B59" w:rsidRPr="004F4D34" w:rsidTr="00DA46E1">
        <w:trPr>
          <w:jc w:val="center"/>
        </w:trPr>
        <w:tc>
          <w:tcPr>
            <w:tcW w:w="1812" w:type="dxa"/>
            <w:tcMar>
              <w:top w:w="50" w:type="dxa"/>
              <w:left w:w="60" w:type="dxa"/>
              <w:bottom w:w="50" w:type="dxa"/>
              <w:right w:w="60" w:type="dxa"/>
            </w:tcMar>
            <w:vAlign w:val="center"/>
          </w:tcPr>
          <w:p w:rsidR="00134B59" w:rsidRPr="004F4D34" w:rsidRDefault="00000000">
            <w:pPr>
              <w:spacing w:after="0"/>
              <w:jc w:val="center"/>
              <w:rPr>
                <w:sz w:val="24"/>
                <w:szCs w:val="28"/>
              </w:rPr>
            </w:pPr>
            <w:r w:rsidRPr="004F4D34">
              <w:rPr>
                <w:szCs w:val="28"/>
              </w:rPr>
              <w:t>22:00</w:t>
            </w:r>
          </w:p>
        </w:tc>
        <w:tc>
          <w:tcPr>
            <w:tcW w:w="4641" w:type="dxa"/>
            <w:tcMar>
              <w:top w:w="50" w:type="dxa"/>
              <w:left w:w="60" w:type="dxa"/>
              <w:bottom w:w="50" w:type="dxa"/>
              <w:right w:w="60" w:type="dxa"/>
            </w:tcMar>
            <w:vAlign w:val="center"/>
          </w:tcPr>
          <w:p w:rsidR="00134B59" w:rsidRPr="004F4D34" w:rsidRDefault="00000000">
            <w:pPr>
              <w:spacing w:after="0"/>
              <w:rPr>
                <w:sz w:val="24"/>
                <w:szCs w:val="28"/>
              </w:rPr>
            </w:pPr>
            <w:r w:rsidRPr="004F4D34">
              <w:rPr>
                <w:szCs w:val="28"/>
              </w:rPr>
              <w:t>Closing</w:t>
            </w:r>
          </w:p>
        </w:tc>
        <w:tc>
          <w:tcPr>
            <w:tcW w:w="3860" w:type="dxa"/>
            <w:tcMar>
              <w:top w:w="50" w:type="dxa"/>
              <w:left w:w="60" w:type="dxa"/>
              <w:bottom w:w="50" w:type="dxa"/>
              <w:right w:w="60" w:type="dxa"/>
            </w:tcMar>
            <w:vAlign w:val="center"/>
          </w:tcPr>
          <w:p w:rsidR="00134B59" w:rsidRPr="004F4D34" w:rsidRDefault="00134B59">
            <w:pPr>
              <w:spacing w:after="0"/>
              <w:jc w:val="center"/>
              <w:rPr>
                <w:sz w:val="24"/>
                <w:szCs w:val="28"/>
              </w:rPr>
            </w:pPr>
          </w:p>
        </w:tc>
      </w:tr>
    </w:tbl>
    <w:p w:rsidR="00134B59" w:rsidRPr="004F4D34" w:rsidRDefault="00000000">
      <w:pPr>
        <w:pStyle w:val="1"/>
        <w:rPr>
          <w:sz w:val="32"/>
          <w:szCs w:val="36"/>
        </w:rPr>
      </w:pPr>
      <w:r>
        <w:t xml:space="preserve">6. Follow-up Activities and </w:t>
      </w:r>
      <w:proofErr w:type="spellStart"/>
      <w:r>
        <w:t>Utilisation</w:t>
      </w:r>
      <w:proofErr w:type="spellEnd"/>
      <w:r>
        <w:t xml:space="preserve"> Results</w:t>
      </w:r>
    </w:p>
    <w:p w:rsidR="00134B59" w:rsidRPr="004F4D34" w:rsidRDefault="00000000">
      <w:pPr>
        <w:pStyle w:val="a0"/>
        <w:spacing w:after="40" w:line="245" w:lineRule="auto"/>
        <w:ind w:left="317" w:hanging="202"/>
        <w:rPr>
          <w:sz w:val="24"/>
          <w:szCs w:val="28"/>
        </w:rPr>
      </w:pPr>
      <w:r>
        <w:t>Topics for international collaborative research were refined on the basis of the symposium presentations and discussions.</w:t>
      </w:r>
    </w:p>
    <w:p w:rsidR="00134B59" w:rsidRPr="004F4D34" w:rsidRDefault="00000000">
      <w:pPr>
        <w:pStyle w:val="a0"/>
        <w:spacing w:after="40" w:line="245" w:lineRule="auto"/>
        <w:ind w:left="317" w:hanging="202"/>
        <w:rPr>
          <w:sz w:val="24"/>
          <w:szCs w:val="28"/>
        </w:rPr>
      </w:pPr>
      <w:r>
        <w:t>The symposium outcomes were used as foundational material for developing international research proposals, including proposals related to Horizon Europe.</w:t>
      </w:r>
    </w:p>
    <w:p w:rsidR="00134B59" w:rsidRPr="004F4D34" w:rsidRDefault="00000000">
      <w:pPr>
        <w:pStyle w:val="a0"/>
        <w:spacing w:after="40" w:line="245" w:lineRule="auto"/>
        <w:ind w:left="317" w:hanging="202"/>
        <w:rPr>
          <w:sz w:val="24"/>
          <w:szCs w:val="28"/>
        </w:rPr>
      </w:pPr>
      <w:r>
        <w:t xml:space="preserve">The international academic network of ICIS was further developed, and follow-up seminars were </w:t>
      </w:r>
      <w:proofErr w:type="spellStart"/>
      <w:r>
        <w:t>organised</w:t>
      </w:r>
      <w:proofErr w:type="spellEnd"/>
      <w:r>
        <w:t xml:space="preserve"> to sustain scholarly exchange.</w:t>
      </w:r>
    </w:p>
    <w:p w:rsidR="00134B59" w:rsidRPr="004F4D34" w:rsidRDefault="00000000">
      <w:pPr>
        <w:pStyle w:val="a0"/>
        <w:spacing w:after="40" w:line="245" w:lineRule="auto"/>
        <w:ind w:left="317" w:hanging="202"/>
        <w:rPr>
          <w:sz w:val="24"/>
          <w:szCs w:val="28"/>
        </w:rPr>
      </w:pPr>
      <w:r>
        <w:t>The presentation and discussion materials were used in subsequent research on digital innovation and critical thinking education in the AI era.</w:t>
      </w:r>
    </w:p>
    <w:p w:rsidR="00134B59" w:rsidRPr="004F4D34" w:rsidRDefault="00000000">
      <w:pPr>
        <w:pStyle w:val="a0"/>
        <w:spacing w:after="40" w:line="245" w:lineRule="auto"/>
        <w:ind w:left="317" w:hanging="202"/>
        <w:rPr>
          <w:sz w:val="24"/>
          <w:szCs w:val="28"/>
        </w:rPr>
      </w:pPr>
      <w:r>
        <w:t>Joint publication and presentation activities were undertaken, and follow-up projects involving domestic and international researchers were developed.</w:t>
      </w:r>
    </w:p>
    <w:p w:rsidR="00134B59" w:rsidRPr="004F4D34" w:rsidRDefault="00000000">
      <w:pPr>
        <w:spacing w:before="100" w:after="100"/>
        <w:jc w:val="both"/>
        <w:rPr>
          <w:sz w:val="24"/>
          <w:szCs w:val="28"/>
        </w:rPr>
      </w:pPr>
      <w:r>
        <w:rPr>
          <w:color w:val="373737"/>
        </w:rPr>
        <w:t>Overall Assessment: The symposium was implemented as scheduled and achieved all of its intended academic, networking, and collaborative objectives. It provided a substantive platform for international dialogue and generated tangible follow-up activities in research, proposal development, scholarly dissemination, and network building.</w:t>
      </w:r>
    </w:p>
    <w:sectPr w:rsidR="00134B59" w:rsidRPr="004F4D34" w:rsidSect="00034616">
      <w:footerReference w:type="default" r:id="rId8"/>
      <w:pgSz w:w="12240" w:h="15840"/>
      <w:pgMar w:top="893" w:right="1037" w:bottom="835"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657A" w:rsidRDefault="009B657A">
      <w:pPr>
        <w:spacing w:after="0" w:line="240" w:lineRule="auto"/>
      </w:pPr>
      <w:r>
        <w:separator/>
      </w:r>
    </w:p>
  </w:endnote>
  <w:endnote w:type="continuationSeparator" w:id="0">
    <w:p w:rsidR="009B657A" w:rsidRDefault="009B6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B59" w:rsidRDefault="00000000">
    <w:pPr>
      <w:pStyle w:val="a6"/>
      <w:jc w:val="center"/>
    </w:pPr>
    <w:r>
      <w:rPr>
        <w:sz w:val="18"/>
      </w:rPr>
      <w:fldChar w:fldCharType="begin"/>
    </w:r>
    <w:r>
      <w:rPr>
        <w:sz w:val="18"/>
      </w:rPr>
      <w:instrText xml:space="preserve"> PAGE </w:instrText>
    </w:r>
    <w:r>
      <w:rPr>
        <w:sz w:val="18"/>
      </w:rPr>
      <w:fldChar w:fldCharType="separate"/>
    </w:r>
    <w:r w:rsidR="004F4D3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657A" w:rsidRDefault="009B657A">
      <w:pPr>
        <w:spacing w:after="0" w:line="240" w:lineRule="auto"/>
      </w:pPr>
      <w:r>
        <w:separator/>
      </w:r>
    </w:p>
  </w:footnote>
  <w:footnote w:type="continuationSeparator" w:id="0">
    <w:p w:rsidR="009B657A" w:rsidRDefault="009B6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1555365">
    <w:abstractNumId w:val="8"/>
  </w:num>
  <w:num w:numId="2" w16cid:durableId="509219266">
    <w:abstractNumId w:val="6"/>
  </w:num>
  <w:num w:numId="3" w16cid:durableId="1285887461">
    <w:abstractNumId w:val="5"/>
  </w:num>
  <w:num w:numId="4" w16cid:durableId="1510220647">
    <w:abstractNumId w:val="4"/>
  </w:num>
  <w:num w:numId="5" w16cid:durableId="189224365">
    <w:abstractNumId w:val="7"/>
  </w:num>
  <w:num w:numId="6" w16cid:durableId="637614908">
    <w:abstractNumId w:val="3"/>
  </w:num>
  <w:num w:numId="7" w16cid:durableId="1936357101">
    <w:abstractNumId w:val="2"/>
  </w:num>
  <w:num w:numId="8" w16cid:durableId="362023190">
    <w:abstractNumId w:val="1"/>
  </w:num>
  <w:num w:numId="9" w16cid:durableId="121531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B59"/>
    <w:rsid w:val="0015074B"/>
    <w:rsid w:val="0029639D"/>
    <w:rsid w:val="00326F90"/>
    <w:rsid w:val="004F4D34"/>
    <w:rsid w:val="009B657A"/>
    <w:rsid w:val="00AA1D8D"/>
    <w:rsid w:val="00B47730"/>
    <w:rsid w:val="00C3481C"/>
    <w:rsid w:val="00CB0664"/>
    <w:rsid w:val="00DA4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E1DFC"/>
  <w14:defaultImageDpi w14:val="300"/>
  <w15:docId w15:val="{18491BD3-46B0-4A4D-B3E8-4D001250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Arial" w:hAnsi="Arial"/>
      <w:sz w:val="20"/>
    </w:rPr>
  </w:style>
  <w:style w:type="paragraph" w:styleId="1">
    <w:name w:val="heading 1"/>
    <w:basedOn w:val="a1"/>
    <w:next w:val="a1"/>
    <w:link w:val="1Char"/>
    <w:uiPriority w:val="9"/>
    <w:qFormat/>
    <w:rsid w:val="00FC693F"/>
    <w:pPr>
      <w:keepNext/>
      <w:keepLines/>
      <w:spacing w:before="160" w:after="100"/>
      <w:outlineLvl w:val="0"/>
    </w:pPr>
    <w:rPr>
      <w:rFonts w:asciiTheme="majorHAnsi" w:eastAsiaTheme="majorEastAsia" w:hAnsiTheme="majorHAnsi" w:cstheme="majorBidi"/>
      <w:b/>
      <w:bCs/>
      <w:color w:val="1F4E79"/>
      <w:sz w:val="27"/>
      <w:szCs w:val="28"/>
    </w:rPr>
  </w:style>
  <w:style w:type="paragraph" w:styleId="21">
    <w:name w:val="heading 2"/>
    <w:basedOn w:val="a1"/>
    <w:next w:val="a1"/>
    <w:link w:val="2Char"/>
    <w:uiPriority w:val="9"/>
    <w:unhideWhenUsed/>
    <w:qFormat/>
    <w:rsid w:val="00FC693F"/>
    <w:pPr>
      <w:keepNext/>
      <w:keepLines/>
      <w:spacing w:before="120" w:after="60"/>
      <w:outlineLvl w:val="1"/>
    </w:pPr>
    <w:rPr>
      <w:rFonts w:asciiTheme="majorHAnsi" w:eastAsiaTheme="majorEastAsia" w:hAnsiTheme="majorHAnsi" w:cstheme="majorBidi"/>
      <w:b/>
      <w:bCs/>
      <w:color w:val="365F91"/>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 Title"/>
    <w:pPr>
      <w:spacing w:after="280"/>
      <w:jc w:val="center"/>
    </w:pPr>
    <w:rPr>
      <w:rFonts w:ascii="Arial" w:eastAsia="Arial" w:hAnsi="Arial"/>
      <w:b/>
      <w:color w:val="1F4E79"/>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 Report for the 2026 ICIS International Symposium</dc:title>
  <dc:subject>Post-event result report</dc:subject>
  <dc:creator>OpenAI</dc:creator>
  <cp:keywords>ICIS, international symposium, result report, digital innovation, critical thinking, AI era</cp:keywords>
  <dc:description>generated by python-docx</dc:description>
  <cp:lastModifiedBy>user</cp:lastModifiedBy>
  <cp:revision>2</cp:revision>
  <dcterms:created xsi:type="dcterms:W3CDTF">2026-07-16T09:25:00Z</dcterms:created>
  <dcterms:modified xsi:type="dcterms:W3CDTF">2026-07-16T09:25:00Z</dcterms:modified>
  <cp:category/>
</cp:coreProperties>
</file>