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</w:pPr>
      <w:r>
        <w:rPr>
          <w:rFonts w:ascii="맑은 고딕" w:hAnsi="맑은 고딕" w:eastAsia="맑은 고딕"/>
          <w:b/>
          <w:color w:val="0F172A"/>
          <w:sz w:val="36"/>
        </w:rPr>
        <w:t>📑 [보건약학프로젝트] 학술적 배경 및 이론적 기획 근거</w:t>
      </w:r>
    </w:p>
    <w:p>
      <w:pPr>
        <w:spacing w:before="50" w:after="70" w:line="300" w:lineRule="auto"/>
      </w:pPr>
      <w:r>
        <w:rPr>
          <w:rFonts w:ascii="맑은 고딕" w:hAnsi="맑은 고딕" w:eastAsia="맑은 고딕"/>
          <w:color w:val="334155"/>
          <w:sz w:val="21"/>
        </w:rPr>
        <w:t>본 문서는 보건약학 과제 제출, 최종 보고서 작성, 교수님 발표 및 조원 간 역할 분담을 위한 이론적·학술적 배경 문서이다. 실제 앱 개발에 필요한 기능 명세와 구분하여 학술적 당위성과 기획 근거를 체계적으로 정리함.</w:t>
      </w:r>
    </w:p>
    <w:p>
      <w:pPr>
        <w:spacing w:before="160" w:after="160"/>
        <w:pBdr>
          <w:bottom w:val="single" w:sz="6" w:space="1" w:color="E2E8F0"/>
        </w:pBdr>
      </w:pPr>
    </w:p>
    <w:p>
      <w:pPr>
        <w:keepNext/>
        <w:spacing w:before="280" w:after="120"/>
      </w:pPr>
      <w:r>
        <w:rPr>
          <w:rFonts w:ascii="맑은 고딕" w:hAnsi="맑은 고딕" w:eastAsia="맑은 고딕"/>
          <w:b/>
          <w:color w:val="1E3A8A"/>
          <w:sz w:val="28"/>
        </w:rPr>
        <w:t>1. 프로젝트 개요 및 대상자 정의</w:t>
      </w:r>
    </w:p>
    <w:p>
      <w:pPr>
        <w:keepNext/>
        <w:spacing w:before="220" w:after="80"/>
      </w:pPr>
      <w:r>
        <w:rPr>
          <w:rFonts w:ascii="맑은 고딕" w:hAnsi="맑은 고딕" w:eastAsia="맑은 고딕"/>
          <w:b/>
          <w:color w:val="2563EB"/>
          <w:sz w:val="24"/>
        </w:rPr>
        <w:t>① 프로젝트 개요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프로젝트명</w:t>
      </w:r>
      <w:r>
        <w:rPr>
          <w:rFonts w:ascii="맑은 고딕" w:hAnsi="맑은 고딕" w:eastAsia="맑은 고딕"/>
          <w:color w:val="334155"/>
          <w:sz w:val="20"/>
        </w:rPr>
        <w:t>: 보건약학프로젝트 (복약 순응도 및 멘탈 웰니스 케어 앱)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목표</w:t>
      </w:r>
      <w:r>
        <w:rPr>
          <w:rFonts w:ascii="맑은 고딕" w:hAnsi="맑은 고딕" w:eastAsia="맑은 고딕"/>
          <w:color w:val="334155"/>
          <w:sz w:val="20"/>
        </w:rPr>
        <w:t>: 복약 순응도 유지와 생활습관(수면, 식사, 가벼운 활동) 관리가 필수적인 환자군을 위해, 인지적 과부하와 죄책감을 걷어낸 미니멀 웰니스 앱을 기획함.</w:t>
      </w:r>
    </w:p>
    <w:p>
      <w:pPr>
        <w:keepNext/>
        <w:spacing w:before="220" w:after="80"/>
      </w:pPr>
      <w:r>
        <w:rPr>
          <w:rFonts w:ascii="맑은 고딕" w:hAnsi="맑은 고딕" w:eastAsia="맑은 고딕"/>
          <w:b/>
          <w:color w:val="2563EB"/>
          <w:sz w:val="24"/>
        </w:rPr>
        <w:t>② 대상자 정의 (Target Audience)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핵심 타깃 (Primary Target)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b/>
          <w:color w:val="334155"/>
          <w:sz w:val="20"/>
        </w:rPr>
        <w:t>정신건강의학과 환자군 (우울증, ADHD, 양극성 장애, 불안장애 등)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약 복용뿐만 아니라 수면, 기상, 식사 등 일상 루틴을 복합적으로 함께 관리해야 하는 집단임.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인지적 피로도가 높아 복잡한 입력이나 임상적 데이터 나열에 거부감을 느끼기 쉬움.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확장 타깃 (Secondary Target)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만성질환자 (고혈압, 당뇨 등) 및 영양제/건강기능식품(비타민, 유산균 등)을 규칙적으로 복용하고자 하는 일반인.</w:t>
      </w:r>
    </w:p>
    <w:p>
      <w:pPr>
        <w:spacing w:before="160" w:after="160"/>
        <w:pBdr>
          <w:bottom w:val="single" w:sz="6" w:space="1" w:color="E2E8F0"/>
        </w:pBdr>
      </w:pPr>
    </w:p>
    <w:p>
      <w:pPr>
        <w:keepNext/>
        <w:spacing w:before="280" w:after="120"/>
      </w:pPr>
      <w:r>
        <w:rPr>
          <w:rFonts w:ascii="맑은 고딕" w:hAnsi="맑은 고딕" w:eastAsia="맑은 고딕"/>
          <w:b/>
          <w:color w:val="1E3A8A"/>
          <w:sz w:val="28"/>
        </w:rPr>
        <w:t>2. 기존 복약 앱의 치명적 한계 vs 본 프로젝트의 해결책</w:t>
      </w:r>
    </w:p>
    <w:p>
      <w:pPr>
        <w:keepNext/>
        <w:spacing w:before="220" w:after="80"/>
      </w:pPr>
      <w:r>
        <w:rPr>
          <w:rFonts w:ascii="맑은 고딕" w:hAnsi="맑은 고딕" w:eastAsia="맑은 고딕"/>
          <w:b/>
          <w:color w:val="2563EB"/>
          <w:sz w:val="24"/>
        </w:rPr>
        <w:t>① 기존 복약 앱의 임상적 문제점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2563EB"/>
          <w:sz w:val="20"/>
        </w:rPr>
        <w:t xml:space="preserve">1. </w:t>
      </w:r>
      <w:r>
        <w:rPr>
          <w:rFonts w:ascii="맑은 고딕" w:hAnsi="맑은 고딕" w:eastAsia="맑은 고딕"/>
          <w:b/>
          <w:color w:val="334155"/>
          <w:sz w:val="20"/>
        </w:rPr>
        <w:t>지나친 복잡성과 인지적 피로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약품 백과사전식 임상 데이터 나열과 다단계 입력 요구로 인해 환자의 인지적 과부하를 초래함.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2563EB"/>
          <w:sz w:val="20"/>
        </w:rPr>
        <w:t xml:space="preserve">2. </w:t>
      </w:r>
      <w:r>
        <w:rPr>
          <w:rFonts w:ascii="맑은 고딕" w:hAnsi="맑은 고딕" w:eastAsia="맑은 고딕"/>
          <w:b/>
          <w:color w:val="334155"/>
          <w:sz w:val="20"/>
        </w:rPr>
        <w:t>처벌적 UX로 인한 죄책감과 탈락(Churn) 악순환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 xml:space="preserve">약을 제때 복용하지 못했을 때 </w:t>
      </w:r>
      <w:r>
        <w:rPr>
          <w:rFonts w:ascii="맑은 고딕" w:hAnsi="맑은 고딕" w:eastAsia="맑은 고딕"/>
          <w:b/>
          <w:color w:val="334155"/>
          <w:sz w:val="20"/>
        </w:rPr>
        <w:t>빨간색 실패 도장, 경고 아이콘, 스트릭(연속 기록) 단절</w:t>
      </w:r>
      <w:r>
        <w:rPr>
          <w:rFonts w:ascii="맑은 고딕" w:hAnsi="맑은 고딕" w:eastAsia="맑은 고딕"/>
          <w:color w:val="334155"/>
          <w:sz w:val="20"/>
        </w:rPr>
        <w:t>을 시각적으로 강조함.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 xml:space="preserve">이는 정신과 및 만성질환 환자에게 </w:t>
      </w:r>
      <w:r>
        <w:rPr>
          <w:rFonts w:ascii="맑은 고딕" w:hAnsi="맑은 고딕" w:eastAsia="맑은 고딕"/>
          <w:b/>
          <w:color w:val="334155"/>
          <w:sz w:val="20"/>
        </w:rPr>
        <w:t>죄책감(Guilt)과 자기비하를 유발</w:t>
      </w:r>
      <w:r>
        <w:rPr>
          <w:rFonts w:ascii="맑은 고딕" w:hAnsi="맑은 고딕" w:eastAsia="맑은 고딕"/>
          <w:color w:val="334155"/>
          <w:sz w:val="20"/>
        </w:rPr>
        <w:t>하여, 결국 앱 접속을 회피하고 앱을 삭제하는 치명적 부작용을 낳음.</w:t>
      </w:r>
    </w:p>
    <w:p>
      <w:pPr>
        <w:keepNext/>
        <w:spacing w:before="220" w:after="80"/>
      </w:pPr>
      <w:r>
        <w:rPr>
          <w:rFonts w:ascii="맑은 고딕" w:hAnsi="맑은 고딕" w:eastAsia="맑은 고딕"/>
          <w:b/>
          <w:color w:val="2563EB"/>
          <w:sz w:val="24"/>
        </w:rPr>
        <w:t>② 본 프로젝트의 해결책 (자책 없는 순응도 케어 · Non-punitive UX)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2563EB"/>
          <w:sz w:val="20"/>
        </w:rPr>
        <w:t xml:space="preserve">1. </w:t>
      </w:r>
      <w:r>
        <w:rPr>
          <w:rFonts w:ascii="맑은 고딕" w:hAnsi="맑은 고딕" w:eastAsia="맑은 고딕"/>
          <w:b/>
          <w:color w:val="334155"/>
          <w:sz w:val="20"/>
        </w:rPr>
        <w:t>극도로 단순화된 미니멀 생산성 인터페이스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3~4개 핵심 탭 구조로 단순화하고, 1초 만에 체크 가능한 원터치 인터랙션을 구축함.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2563EB"/>
          <w:sz w:val="20"/>
        </w:rPr>
        <w:t xml:space="preserve">2. </w:t>
      </w:r>
      <w:r>
        <w:rPr>
          <w:rFonts w:ascii="맑은 고딕" w:hAnsi="맑은 고딕" w:eastAsia="맑은 고딕"/>
          <w:b/>
          <w:color w:val="334155"/>
          <w:sz w:val="20"/>
        </w:rPr>
        <w:t>놓친 복용의 가치 재정의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i/>
          <w:color w:val="334155"/>
          <w:sz w:val="20"/>
        </w:rPr>
        <w:t>"놓친 복용은 실패가 아니라 의사 진료를 위한 소중한 정보이다"</w:t>
      </w:r>
      <w:r>
        <w:rPr>
          <w:rFonts w:ascii="맑은 고딕" w:hAnsi="맑은 고딕" w:eastAsia="맑은 고딕"/>
          <w:color w:val="334155"/>
          <w:sz w:val="20"/>
        </w:rPr>
        <w:t xml:space="preserve">, </w:t>
      </w:r>
      <w:r>
        <w:rPr>
          <w:rFonts w:ascii="맑은 고딕" w:hAnsi="맑은 고딕" w:eastAsia="맑은 고딕"/>
          <w:i/>
          <w:color w:val="334155"/>
          <w:sz w:val="20"/>
        </w:rPr>
        <w:t>"돌아온 것만으로 충분하다"</w:t>
      </w:r>
      <w:r>
        <w:rPr>
          <w:rFonts w:ascii="맑은 고딕" w:hAnsi="맑은 고딕" w:eastAsia="맑은 고딕"/>
          <w:color w:val="334155"/>
          <w:sz w:val="20"/>
        </w:rPr>
        <w:t>는 메시지를 제공함.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연속 기록 실패에 따른 페널티를 없애고, 언제든 다시 돌아와 출석할 수 있도록 심리적 안전망을 형성함.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2563EB"/>
          <w:sz w:val="20"/>
        </w:rPr>
        <w:t xml:space="preserve">3. </w:t>
      </w:r>
      <w:r>
        <w:rPr>
          <w:rFonts w:ascii="맑은 고딕" w:hAnsi="맑은 고딕" w:eastAsia="맑은 고딕"/>
          <w:b/>
          <w:color w:val="334155"/>
          <w:sz w:val="20"/>
        </w:rPr>
        <w:t>유머러스한 밈 마스코트를 통한 자발적 참여 유도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 xml:space="preserve">듀오링고 스타일의 위트 있는 마스코트 캐릭터(공식 명칭: </w:t>
      </w:r>
      <w:r>
        <w:rPr>
          <w:rFonts w:ascii="맑은 고딕" w:hAnsi="맑은 고딕" w:eastAsia="맑은 고딕"/>
          <w:b/>
          <w:color w:val="334155"/>
          <w:sz w:val="20"/>
        </w:rPr>
        <w:t>하곰이</w:t>
      </w:r>
      <w:r>
        <w:rPr>
          <w:rFonts w:ascii="맑은 고딕" w:hAnsi="맑은 고딕" w:eastAsia="맑은 고딕"/>
          <w:color w:val="334155"/>
          <w:sz w:val="20"/>
        </w:rPr>
        <w:t>)를 통해 부담 없는 친밀감을 형성함.</w:t>
      </w:r>
    </w:p>
    <w:p>
      <w:pPr>
        <w:spacing w:before="160" w:after="160"/>
        <w:pBdr>
          <w:bottom w:val="single" w:sz="6" w:space="1" w:color="E2E8F0"/>
        </w:pBdr>
      </w:pPr>
    </w:p>
    <w:p>
      <w:pPr>
        <w:keepNext/>
        <w:spacing w:before="280" w:after="120"/>
      </w:pPr>
      <w:r>
        <w:rPr>
          <w:rFonts w:ascii="맑은 고딕" w:hAnsi="맑은 고딕" w:eastAsia="맑은 고딕"/>
          <w:b/>
          <w:color w:val="1E3A8A"/>
          <w:sz w:val="28"/>
        </w:rPr>
        <w:t>3. 알림이 생명인 약학적 이유 (Pharmacological Rationale)</w:t>
      </w:r>
    </w:p>
    <w:p>
      <w:pPr>
        <w:spacing w:before="50" w:after="70" w:line="300" w:lineRule="auto"/>
      </w:pPr>
      <w:r>
        <w:rPr>
          <w:rFonts w:ascii="맑은 고딕" w:hAnsi="맑은 고딕" w:eastAsia="맑은 고딕"/>
          <w:color w:val="334155"/>
          <w:sz w:val="21"/>
        </w:rPr>
        <w:t xml:space="preserve">교수님 피드백인 </w:t>
      </w:r>
      <w:r>
        <w:rPr>
          <w:rFonts w:ascii="맑은 고딕" w:hAnsi="맑은 고딕" w:eastAsia="맑은 고딕"/>
          <w:b/>
          <w:color w:val="334155"/>
          <w:sz w:val="21"/>
        </w:rPr>
        <w:t>"복약 알림을 강제로 유지해야 하는 약학적 당위성"</w:t>
      </w:r>
      <w:r>
        <w:rPr>
          <w:rFonts w:ascii="맑은 고딕" w:hAnsi="맑은 고딕" w:eastAsia="맑은 고딕"/>
          <w:color w:val="334155"/>
          <w:sz w:val="21"/>
        </w:rPr>
        <w:t>에 대한 이론적 근거임.</w:t>
      </w:r>
    </w:p>
    <w:p>
      <w:pPr>
        <w:keepNext/>
        <w:spacing w:before="220" w:after="80"/>
      </w:pPr>
      <w:r>
        <w:rPr>
          <w:rFonts w:ascii="맑은 고딕" w:hAnsi="맑은 고딕" w:eastAsia="맑은 고딕"/>
          <w:b/>
          <w:color w:val="2563EB"/>
          <w:sz w:val="24"/>
        </w:rPr>
        <w:t>① 정상 상태 혈중 농도(Steady-State Concentration) 유지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color w:val="334155"/>
          <w:sz w:val="20"/>
        </w:rPr>
        <w:t xml:space="preserve">약물은 체내 투여 후 흡수, 분포, 대사, 배설(ADME)을 거치며 고유의 </w:t>
      </w:r>
      <w:r>
        <w:rPr>
          <w:rFonts w:ascii="맑은 고딕" w:hAnsi="맑은 고딕" w:eastAsia="맑은 고딕"/>
          <w:b/>
          <w:color w:val="334155"/>
          <w:sz w:val="20"/>
        </w:rPr>
        <w:t>혈중 반감기(Half-life)</w:t>
      </w:r>
      <w:r>
        <w:rPr>
          <w:rFonts w:ascii="맑은 고딕" w:hAnsi="맑은 고딕" w:eastAsia="맑은 고딕"/>
          <w:color w:val="334155"/>
          <w:sz w:val="20"/>
        </w:rPr>
        <w:t>를 가짐.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color w:val="334155"/>
          <w:sz w:val="20"/>
        </w:rPr>
        <w:t xml:space="preserve">치료 효과를 발휘하기 위해서는 혈중 약물 농도가 </w:t>
      </w:r>
      <w:r>
        <w:rPr>
          <w:rFonts w:ascii="맑은 고딕" w:hAnsi="맑은 고딕" w:eastAsia="맑은 고딕"/>
          <w:b/>
          <w:color w:val="334155"/>
          <w:sz w:val="20"/>
        </w:rPr>
        <w:t>최소 유효 농도(MEC, Minimum Effective Concentration)</w:t>
      </w:r>
      <w:r>
        <w:rPr>
          <w:rFonts w:ascii="맑은 고딕" w:hAnsi="맑은 고딕" w:eastAsia="맑은 고딕"/>
          <w:color w:val="334155"/>
          <w:sz w:val="20"/>
        </w:rPr>
        <w:t xml:space="preserve">와 </w:t>
      </w:r>
      <w:r>
        <w:rPr>
          <w:rFonts w:ascii="맑은 고딕" w:hAnsi="맑은 고딕" w:eastAsia="맑은 고딕"/>
          <w:b/>
          <w:color w:val="334155"/>
          <w:sz w:val="20"/>
        </w:rPr>
        <w:t>최소 중독 농도(MTC, Minimum Toxic Concentration)</w:t>
      </w:r>
      <w:r>
        <w:rPr>
          <w:rFonts w:ascii="맑은 고딕" w:hAnsi="맑은 고딕" w:eastAsia="맑은 고딕"/>
          <w:color w:val="334155"/>
          <w:sz w:val="20"/>
        </w:rPr>
        <w:t xml:space="preserve"> 사이의 </w:t>
      </w:r>
      <w:r>
        <w:rPr>
          <w:rFonts w:ascii="맑은 고딕" w:hAnsi="맑은 고딕" w:eastAsia="맑은 고딕"/>
          <w:b/>
          <w:color w:val="334155"/>
          <w:sz w:val="20"/>
        </w:rPr>
        <w:t>치료 지수(Therapeutic Window)</w:t>
      </w:r>
      <w:r>
        <w:rPr>
          <w:rFonts w:ascii="맑은 고딕" w:hAnsi="맑은 고딕" w:eastAsia="맑은 고딕"/>
          <w:color w:val="334155"/>
          <w:sz w:val="20"/>
        </w:rPr>
        <w:t xml:space="preserve"> 내에 일정하게 유지되어야 함.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color w:val="334155"/>
          <w:sz w:val="20"/>
        </w:rPr>
        <w:t>복약 시간을 임의로 지연시키거나 누락할 경우 혈중 농도가 MEC 밑으로 급락하여 질환 치료가 실패함.</w:t>
      </w:r>
    </w:p>
    <w:p>
      <w:pPr>
        <w:keepNext/>
        <w:spacing w:before="220" w:after="80"/>
      </w:pPr>
      <w:r>
        <w:rPr>
          <w:rFonts w:ascii="맑은 고딕" w:hAnsi="맑은 고딕" w:eastAsia="맑은 고딕"/>
          <w:b/>
          <w:color w:val="2563EB"/>
          <w:sz w:val="24"/>
        </w:rPr>
        <w:t>② 24시간 주기 복용의 중요성 (대표 약제 분석)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2563EB"/>
          <w:sz w:val="20"/>
        </w:rPr>
        <w:t xml:space="preserve">1. </w:t>
      </w:r>
      <w:r>
        <w:rPr>
          <w:rFonts w:ascii="맑은 고딕" w:hAnsi="맑은 고딕" w:eastAsia="맑은 고딕"/>
          <w:b/>
          <w:color w:val="334155"/>
          <w:sz w:val="20"/>
        </w:rPr>
        <w:t>경구피임약 (Oral Contraceptives)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 xml:space="preserve">에스트로겐 및 프로게스틴 성분은 24시간 간격으로 투약되지 않고 </w:t>
      </w:r>
      <w:r>
        <w:rPr>
          <w:rFonts w:ascii="맑은 고딕" w:hAnsi="맑은 고딕" w:eastAsia="맑은 고딕"/>
          <w:b/>
          <w:color w:val="334155"/>
          <w:sz w:val="20"/>
        </w:rPr>
        <w:t>복용 시간이 3~12시간 이상 지연될 경우 시상하부-뇌하수체-난소 축의 배란 억제 기전이 무너져 피임 실패율이 급증</w:t>
      </w:r>
      <w:r>
        <w:rPr>
          <w:rFonts w:ascii="맑은 고딕" w:hAnsi="맑은 고딕" w:eastAsia="맑은 고딕"/>
          <w:color w:val="334155"/>
          <w:sz w:val="20"/>
        </w:rPr>
        <w:t>함.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2563EB"/>
          <w:sz w:val="20"/>
        </w:rPr>
        <w:t xml:space="preserve">2. </w:t>
      </w:r>
      <w:r>
        <w:rPr>
          <w:rFonts w:ascii="맑은 고딕" w:hAnsi="맑은 고딕" w:eastAsia="맑은 고딕"/>
          <w:b/>
          <w:color w:val="334155"/>
          <w:sz w:val="20"/>
        </w:rPr>
        <w:t>정신과 약물 (SSRI 항우울제, ADHD 중추신경흥분제)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세로토닌 및 도파민 수용체 농도를 안정적으로 유지해야 함.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투약 간격이 불규칙하면 기분 장애 변동성 심화, 급성 불안, 금단 유사 증상(Discontinuation syndrome)이 발생함.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2563EB"/>
          <w:sz w:val="20"/>
        </w:rPr>
        <w:t xml:space="preserve">3. </w:t>
      </w:r>
      <w:r>
        <w:rPr>
          <w:rFonts w:ascii="맑은 고딕" w:hAnsi="맑은 고딕" w:eastAsia="맑은 고딕"/>
          <w:b/>
          <w:color w:val="334155"/>
          <w:sz w:val="20"/>
        </w:rPr>
        <w:t>항생제 및 면역억제제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 xml:space="preserve">혈중 농도가 일정 수준 이하로 떨어지는 틈을 타 세균의 </w:t>
      </w:r>
      <w:r>
        <w:rPr>
          <w:rFonts w:ascii="맑은 고딕" w:hAnsi="맑은 고딕" w:eastAsia="맑은 고딕"/>
          <w:b/>
          <w:color w:val="334155"/>
          <w:sz w:val="20"/>
        </w:rPr>
        <w:t>내성균(Antibiotic Resistance)</w:t>
      </w:r>
      <w:r>
        <w:rPr>
          <w:rFonts w:ascii="맑은 고딕" w:hAnsi="맑은 고딕" w:eastAsia="맑은 고딕"/>
          <w:color w:val="334155"/>
          <w:sz w:val="20"/>
        </w:rPr>
        <w:t>이 발현되거나 이식 장기 거부 반응 위험이 초래됨.</w:t>
      </w:r>
    </w:p>
    <w:p>
      <w:pPr>
        <w:keepNext/>
        <w:spacing w:before="220" w:after="80"/>
      </w:pPr>
      <w:r>
        <w:rPr>
          <w:rFonts w:ascii="맑은 고딕" w:hAnsi="맑은 고딕" w:eastAsia="맑은 고딕"/>
          <w:b/>
          <w:color w:val="2563EB"/>
          <w:sz w:val="24"/>
        </w:rPr>
        <w:t>③ 정책적 결론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color w:val="334155"/>
          <w:sz w:val="20"/>
        </w:rPr>
        <w:t>일반적인 할일이나 습관 알림은 사용자 자율로 끌 수 있게 허용함.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color w:val="334155"/>
          <w:sz w:val="20"/>
        </w:rPr>
        <w:t xml:space="preserve">단, </w:t>
      </w:r>
      <w:r>
        <w:rPr>
          <w:rFonts w:ascii="맑은 고딕" w:hAnsi="맑은 고딕" w:eastAsia="맑은 고딕"/>
          <w:b/>
          <w:color w:val="334155"/>
          <w:sz w:val="20"/>
        </w:rPr>
        <w:t>💊 복약 알림만큼은 약물 치료의 안전성과 유효성을 보장하기 위해 '강제 ON(해제 불가 🔒)' 정책을 필수적으로 채택함.</w:t>
      </w:r>
    </w:p>
    <w:p>
      <w:pPr>
        <w:spacing w:before="160" w:after="160"/>
        <w:pBdr>
          <w:bottom w:val="single" w:sz="6" w:space="1" w:color="E2E8F0"/>
        </w:pBdr>
      </w:pPr>
    </w:p>
    <w:p>
      <w:pPr>
        <w:keepNext/>
        <w:spacing w:before="280" w:after="120"/>
      </w:pPr>
      <w:r>
        <w:rPr>
          <w:rFonts w:ascii="맑은 고딕" w:hAnsi="맑은 고딕" w:eastAsia="맑은 고딕"/>
          <w:b/>
          <w:color w:val="1E3A8A"/>
          <w:sz w:val="28"/>
        </w:rPr>
        <w:t>4. 과학적 근거 (Did You Know? 인앱 상식 배너)</w:t>
      </w:r>
    </w:p>
    <w:p>
      <w:pPr>
        <w:spacing w:before="50" w:after="70" w:line="300" w:lineRule="auto"/>
      </w:pPr>
      <w:r>
        <w:rPr>
          <w:rFonts w:ascii="맑은 고딕" w:hAnsi="맑은 고딕" w:eastAsia="맑은 고딕"/>
          <w:color w:val="334155"/>
          <w:sz w:val="21"/>
        </w:rPr>
        <w:t>앱 로딩 화면 및 안내 모달에 적용할 행동의학 기반 과학적 팁임.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single" w:sz="24" w:space="0" w:color="3B82F6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b/>
                <w:i/>
                <w:color w:val="1E3A8A"/>
                <w:sz w:val="20"/>
              </w:rPr>
              <w:t>💡 Did You Know? (알고 계셨나요?)</w:t>
            </w:r>
          </w:p>
        </w:tc>
      </w:tr>
    </w:tbl>
    <w:p>
      <w:pPr>
        <w:spacing w:before="0" w:after="60"/>
      </w:pPr>
    </w:p>
    <w:p>
      <w:pPr>
        <w:spacing w:before="50" w:after="70" w:line="300" w:lineRule="auto"/>
      </w:pPr>
      <w:r>
        <w:rPr>
          <w:rFonts w:ascii="맑은 고딕" w:hAnsi="맑은 고딕" w:eastAsia="맑은 고딕"/>
          <w:color w:val="334155"/>
          <w:sz w:val="21"/>
        </w:rPr>
        <w:t>&gt;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single" w:sz="24" w:space="0" w:color="3B82F6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i/>
                <w:color w:val="1E3A8A"/>
                <w:sz w:val="20"/>
              </w:rPr>
              <w:t>"약을 먹지 못한 날에도 앱에 들어와 출석 체크만 해보세요."</w:t>
            </w:r>
          </w:p>
        </w:tc>
      </w:tr>
    </w:tbl>
    <w:p>
      <w:pPr>
        <w:spacing w:before="0" w:after="60"/>
      </w:pPr>
    </w:p>
    <w:p>
      <w:pPr>
        <w:spacing w:before="50" w:after="70" w:line="300" w:lineRule="auto"/>
      </w:pPr>
      <w:r>
        <w:rPr>
          <w:rFonts w:ascii="맑은 고딕" w:hAnsi="맑은 고딕" w:eastAsia="맑은 고딕"/>
          <w:color w:val="334155"/>
          <w:sz w:val="21"/>
        </w:rPr>
        <w:t>&gt;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single" w:sz="24" w:space="0" w:color="3B82F6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맑은 고딕" w:hAnsi="맑은 고딕" w:eastAsia="맑은 고딕"/>
                <w:i/>
                <w:color w:val="1E3A8A"/>
                <w:sz w:val="20"/>
              </w:rPr>
              <w:t xml:space="preserve">행동의학(Behavioral Medicine) 및 보건의료 디지털 치료제 연구에 따르면, 환자가 건강 관리 앱에 </w:t>
            </w:r>
            <w:r>
              <w:rPr>
                <w:rFonts w:ascii="맑은 고딕" w:hAnsi="맑은 고딕" w:eastAsia="맑은 고딕"/>
                <w:b/>
                <w:i/>
                <w:color w:val="1E3A8A"/>
                <w:sz w:val="20"/>
              </w:rPr>
              <w:t>'접속하는 행위(Self-Monitoring)' 자체만으로도 인지적 자기 인식(Cognitive Self-Awareness)이 활성화</w:t>
            </w:r>
            <w:r>
              <w:rPr>
                <w:rFonts w:ascii="맑은 고딕" w:hAnsi="맑은 고딕" w:eastAsia="맑은 고딕"/>
                <w:i/>
                <w:color w:val="1E3A8A"/>
                <w:sz w:val="20"/>
              </w:rPr>
              <w:t xml:space="preserve">되어, 3개월 내 </w:t>
            </w:r>
            <w:r>
              <w:rPr>
                <w:rFonts w:ascii="맑은 고딕" w:hAnsi="맑은 고딕" w:eastAsia="맑은 고딕"/>
                <w:b/>
                <w:i/>
                <w:color w:val="1E3A8A"/>
                <w:sz w:val="20"/>
              </w:rPr>
              <w:t>복약 순응도가 24~35% 이상 향상</w:t>
            </w:r>
            <w:r>
              <w:rPr>
                <w:rFonts w:ascii="맑은 고딕" w:hAnsi="맑은 고딕" w:eastAsia="맑은 고딕"/>
                <w:i/>
                <w:color w:val="1E3A8A"/>
                <w:sz w:val="20"/>
              </w:rPr>
              <w:t>된다는 연구 결과가 다수 보고되어 있음 (JAMA 등).</w:t>
              <w:br/>
              <w:t xml:space="preserve">완벽하게 모든 약을 먹지 못했더라도, </w:t>
            </w:r>
            <w:r>
              <w:rPr>
                <w:rFonts w:ascii="맑은 고딕" w:hAnsi="맑은 고딕" w:eastAsia="맑은 고딕"/>
                <w:b/>
                <w:i/>
                <w:color w:val="1E3A8A"/>
                <w:sz w:val="20"/>
              </w:rPr>
              <w:t>앱을 켜고 나를 돌아보는 것 자체가 이미 강력한 치료적 개입(Therapeutic Intervention)임.</w:t>
            </w:r>
          </w:p>
        </w:tc>
      </w:tr>
    </w:tbl>
    <w:p>
      <w:pPr>
        <w:spacing w:before="0" w:after="60"/>
      </w:pPr>
    </w:p>
    <w:p>
      <w:pPr>
        <w:spacing w:before="160" w:after="160"/>
        <w:pBdr>
          <w:bottom w:val="single" w:sz="6" w:space="1" w:color="E2E8F0"/>
        </w:pBdr>
      </w:pPr>
    </w:p>
    <w:p>
      <w:pPr>
        <w:keepNext/>
        <w:spacing w:before="280" w:after="120"/>
      </w:pPr>
      <w:r>
        <w:rPr>
          <w:rFonts w:ascii="맑은 고딕" w:hAnsi="맑은 고딕" w:eastAsia="맑은 고딕"/>
          <w:b/>
          <w:color w:val="1E3A8A"/>
          <w:sz w:val="28"/>
        </w:rPr>
        <w:t>5. 캐릭터 시스템의 심리학적 배경 (5대 핵심 접점)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도입 배경</w:t>
      </w:r>
      <w:r>
        <w:rPr>
          <w:rFonts w:ascii="맑은 고딕" w:hAnsi="맑은 고딕" w:eastAsia="맑은 고딕"/>
          <w:color w:val="334155"/>
          <w:sz w:val="20"/>
        </w:rPr>
        <w:t xml:space="preserve">: 과도한 애니메이션은 조원의 제작 부담을 키우므로, </w:t>
      </w:r>
      <w:r>
        <w:rPr>
          <w:rFonts w:ascii="맑은 고딕" w:hAnsi="맑은 고딕" w:eastAsia="맑은 고딕"/>
          <w:b/>
          <w:color w:val="334155"/>
          <w:sz w:val="20"/>
        </w:rPr>
        <w:t>가장 효과적인 5군데 핵심 접점에 13~24컷의 일러스트를 집중 배치</w:t>
      </w:r>
      <w:r>
        <w:rPr>
          <w:rFonts w:ascii="맑은 고딕" w:hAnsi="맑은 고딕" w:eastAsia="맑은 고딕"/>
          <w:color w:val="334155"/>
          <w:sz w:val="20"/>
        </w:rPr>
        <w:t>함.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접점 요약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2563EB"/>
          <w:sz w:val="20"/>
        </w:rPr>
        <w:t xml:space="preserve">1. </w:t>
      </w:r>
      <w:r>
        <w:rPr>
          <w:rFonts w:ascii="맑은 고딕" w:hAnsi="맑은 고딕" w:eastAsia="맑은 고딕"/>
          <w:color w:val="334155"/>
          <w:sz w:val="20"/>
        </w:rPr>
        <w:t>앱 아이콘 &amp; 푸시 알림 (1컷)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2563EB"/>
          <w:sz w:val="20"/>
        </w:rPr>
        <w:t xml:space="preserve">2. </w:t>
      </w:r>
      <w:r>
        <w:rPr>
          <w:rFonts w:ascii="맑은 고딕" w:hAnsi="맑은 고딕" w:eastAsia="맑은 고딕"/>
          <w:color w:val="334155"/>
          <w:sz w:val="20"/>
        </w:rPr>
        <w:t>시작/스플래시 화면 (1~3컷)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2563EB"/>
          <w:sz w:val="20"/>
        </w:rPr>
        <w:t xml:space="preserve">3. </w:t>
      </w:r>
      <w:r>
        <w:rPr>
          <w:rFonts w:ascii="맑은 고딕" w:hAnsi="맑은 고딕" w:eastAsia="맑은 고딕"/>
          <w:color w:val="334155"/>
          <w:sz w:val="20"/>
        </w:rPr>
        <w:t>전체 성공 축하 화면 (3~5컷, 폭죽 및 쌍따봉)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2563EB"/>
          <w:sz w:val="20"/>
        </w:rPr>
        <w:t xml:space="preserve">4. </w:t>
      </w:r>
      <w:r>
        <w:rPr>
          <w:rFonts w:ascii="맑은 고딕" w:hAnsi="맑은 고딕" w:eastAsia="맑은 고딕"/>
          <w:color w:val="334155"/>
          <w:sz w:val="20"/>
        </w:rPr>
        <w:t>성취/출석 창 (3~5컷, 누적 출석 일수 칭찬)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2563EB"/>
          <w:sz w:val="20"/>
        </w:rPr>
        <w:t xml:space="preserve">5. </w:t>
      </w:r>
      <w:r>
        <w:rPr>
          <w:rFonts w:ascii="맑은 고딕" w:hAnsi="맑은 고딕" w:eastAsia="맑은 고딕"/>
          <w:color w:val="334155"/>
          <w:sz w:val="20"/>
        </w:rPr>
        <w:t>홈 화면 2×1 위젯 (5~10컷, 의욕 증진 4종 + 원탭 체크 3종)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hAnsi="맑은 고딕" w:eastAsia="맑은 고딕"/>
          <w:b/>
          <w:color w:val="334155"/>
          <w:sz w:val="20"/>
        </w:rPr>
        <w:t>심리적 효과</w:t>
      </w:r>
      <w:r>
        <w:rPr>
          <w:rFonts w:ascii="맑은 고딕" w:hAnsi="맑은 고딕" w:eastAsia="맑은 고딕"/>
          <w:color w:val="334155"/>
          <w:sz w:val="20"/>
        </w:rPr>
        <w:t>: 엄격한 의료인이 아닌, 유머러스하고 엉뚱한 친구 같은 동반자 역할을 부여하여 복약 저항감을 최소화함.</w:t>
      </w:r>
    </w:p>
    <w:p>
      <w:pPr>
        <w:spacing w:before="160" w:after="160"/>
        <w:pBdr>
          <w:bottom w:val="single" w:sz="6" w:space="1" w:color="E2E8F0"/>
        </w:pBdr>
      </w:pPr>
    </w:p>
    <w:p>
      <w:pPr>
        <w:keepNext/>
        <w:spacing w:before="280" w:after="120"/>
      </w:pPr>
      <w:r>
        <w:rPr>
          <w:rFonts w:ascii="맑은 고딕" w:hAnsi="맑은 고딕" w:eastAsia="맑은 고딕"/>
          <w:b/>
          <w:color w:val="1E3A8A"/>
          <w:sz w:val="28"/>
        </w:rPr>
        <w:t>6. 조원 역할 분담 가이드 (업무 분배용)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2563EB"/>
          <w:sz w:val="20"/>
        </w:rPr>
        <w:t xml:space="preserve">1. </w:t>
      </w:r>
      <w:r>
        <w:rPr>
          <w:rFonts w:ascii="맑은 고딕" w:hAnsi="맑은 고딕" w:eastAsia="맑은 고딕"/>
          <w:b/>
          <w:color w:val="334155"/>
          <w:sz w:val="20"/>
        </w:rPr>
        <w:t>🎨 디자인/일러스트 담당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5대 접점 13~24컷 캐릭터 일러스트 에셋 제작 (얼굴 중심 단순 벡터 권장).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피그마 컴포넌트 라이브러리 정돈 및 앱 아이콘(</w:t>
      </w:r>
      <w:r>
        <w:rPr>
          <w:rFonts w:ascii="Consolas" w:hAnsi="Consolas" w:eastAsia="맑은 고딕"/>
          <w:color w:val="B42846"/>
          <w:sz w:val="19"/>
        </w:rPr>
        <w:t>1024×1024</w:t>
      </w:r>
      <w:r>
        <w:rPr>
          <w:rFonts w:ascii="맑은 고딕" w:hAnsi="맑은 고딕" w:eastAsia="맑은 고딕"/>
          <w:color w:val="334155"/>
          <w:sz w:val="20"/>
        </w:rPr>
        <w:t>), 스플래시 로고 추출.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2563EB"/>
          <w:sz w:val="20"/>
        </w:rPr>
        <w:t xml:space="preserve">2. </w:t>
      </w:r>
      <w:r>
        <w:rPr>
          <w:rFonts w:ascii="맑은 고딕" w:hAnsi="맑은 고딕" w:eastAsia="맑은 고딕"/>
          <w:b/>
          <w:color w:val="334155"/>
          <w:sz w:val="20"/>
        </w:rPr>
        <w:t>🔍 학술 조사/보고서 담당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보건약학적 배경 자료 수집 (SSRI, ADHD 치료제, 피임약 반감기 및 치료역 학술 논문 정리).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최종 과제 제출용 보고서 서론, 본론, 고찰 작성.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2563EB"/>
          <w:sz w:val="20"/>
        </w:rPr>
        <w:t xml:space="preserve">3. </w:t>
      </w:r>
      <w:r>
        <w:rPr>
          <w:rFonts w:ascii="맑은 고딕" w:hAnsi="맑은 고딕" w:eastAsia="맑은 고딕"/>
          <w:b/>
          <w:color w:val="334155"/>
          <w:sz w:val="20"/>
        </w:rPr>
        <w:t>✍️ 문구/카피라이팅 담당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푸시 알림 문구 20종 (천사 응원 모드 10개 + 듀오링고식 집착/유머 모드 10개).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로딩 화면용 "Did You Know?" 건강 상식 문구 작성.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홈 위젯 상태별(기쁨/응원/돌아와/집착) 말풍선 대사 작성.</w:t>
      </w:r>
    </w:p>
    <w:p>
      <w:pPr>
        <w:spacing w:before="30" w:after="30"/>
        <w:ind w:left="360"/>
      </w:pPr>
      <w:r>
        <w:rPr>
          <w:rFonts w:ascii="맑은 고딕" w:hAnsi="맑은 고딕"/>
          <w:b/>
          <w:color w:val="2563EB"/>
          <w:sz w:val="20"/>
        </w:rPr>
        <w:t xml:space="preserve">4. </w:t>
      </w:r>
      <w:r>
        <w:rPr>
          <w:rFonts w:ascii="맑은 고딕" w:hAnsi="맑은 고딕" w:eastAsia="맑은 고딕"/>
          <w:b/>
          <w:color w:val="334155"/>
          <w:sz w:val="20"/>
        </w:rPr>
        <w:t>💻 앱 개발 담당</w:t>
      </w:r>
      <w:r>
        <w:rPr>
          <w:rFonts w:ascii="맑은 고딕" w:hAnsi="맑은 고딕" w:eastAsia="맑은 고딕"/>
          <w:color w:val="334155"/>
          <w:sz w:val="20"/>
        </w:rPr>
        <w:t>:</w:t>
      </w:r>
    </w:p>
    <w:p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hAnsi="맑은 고딕" w:eastAsia="맑은 고딕"/>
          <w:color w:val="334155"/>
          <w:sz w:val="20"/>
        </w:rPr>
        <w:t>Flutter 기반 모바일 앱 개발 (PRD 기준 1단계 MVP 우선 완성).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맑은 고딕" w:hAnsi="맑은 고딕"/>
        <w:color w:val="94A3B8"/>
        <w:sz w:val="17"/>
      </w:rPr>
      <w:t>약품분석학실 | 보건약학적 배경 및 이론적 근거 보고서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