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Aula Prática 2 - SBD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Alunos: Antonio Carlos Neto</w:t>
        <w:tab/>
        <w:t xml:space="preserve">11611BCC054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  Higor Emanuel          11611BCC016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Marcelo Mendonça</w:t>
        <w:tab/>
        <w:t xml:space="preserve">11611BCC020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32525" cy="2487158"/>
            <wp:effectExtent b="0" l="0" r="0" t="0"/>
            <wp:docPr descr="Diagrama1.png" id="3" name="image3.png"/>
            <a:graphic>
              <a:graphicData uri="http://schemas.openxmlformats.org/drawingml/2006/picture">
                <pic:pic>
                  <pic:nvPicPr>
                    <pic:cNvPr descr="Diagrama1.png" id="0" name="image3.pn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248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relação Contrato, consideramos Data como um atributo composto para melhor implementação, e também consideramos Supervisor como um atributo em vez de uma entidade, já que Supervisor não possui nenhuma anotação extra.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diferenciar o Preço do Medicamento em diferentes Farmácias, consideramos Preço como um atributo da relação Venda em vez de ser um atributo do Medicamento.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entidade Paciente, o atributo Telefone foi considerado multivalorado para facilitar implementação.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Sobre Empresa Farmacêutica, consideramos o atributo chave como CNPJ, já que ele é único para cada empresa.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entidade Medicamento foi tratada como fraca, porque necessita obrigatoriamente de uma Empresa Farmacêutica para produzir, assim a chave Nome é Parcial.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b) A alteração necessária no diagrama da resolução a) para adequá-lo a seguinte situação: cada medicamento deve ser vendido por um preço fixo por todas as farmácias, é retirar o atributo Preço da relação Venda e colocá-lo como atributo da Entidade Medicamento da construção MER feita.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descr="Diagrama2.png" id="1" name="image2.png"/>
            <a:graphic>
              <a:graphicData uri="http://schemas.openxmlformats.org/drawingml/2006/picture">
                <pic:pic>
                  <pic:nvPicPr>
                    <pic:cNvPr descr="Diagrama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MER-X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248400"/>
            <wp:effectExtent b="0" l="0" r="0" t="0"/>
            <wp:docPr descr="Diagrama3.png" id="2" name="image1.png"/>
            <a:graphic>
              <a:graphicData uri="http://schemas.openxmlformats.org/drawingml/2006/picture">
                <pic:pic>
                  <pic:nvPicPr>
                    <pic:cNvPr descr="Diagrama3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