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0D2D" w:rsidRDefault="00DC6014">
      <w:pPr>
        <w:pStyle w:val="Title"/>
      </w:pPr>
      <w:r>
        <w:t>Use of forecasting models for improved PID control in wastewater treatment</w:t>
      </w:r>
    </w:p>
    <w:p w:rsidR="00210D2D" w:rsidRDefault="00DC6014">
      <w:pPr>
        <w:pStyle w:val="Author"/>
      </w:pPr>
      <w:r>
        <w:t>Kathryn B. Newhart</w:t>
      </w:r>
    </w:p>
    <w:sdt>
      <w:sdtPr>
        <w:rPr>
          <w:rFonts w:eastAsiaTheme="minorHAnsi"/>
          <w:b w:val="0"/>
        </w:rPr>
        <w:id w:val="-1889491563"/>
        <w:docPartObj>
          <w:docPartGallery w:val="Table of Contents"/>
          <w:docPartUnique/>
        </w:docPartObj>
      </w:sdtPr>
      <w:sdtEndPr/>
      <w:sdtContent>
        <w:p w:rsidR="00210D2D" w:rsidRDefault="00DC6014">
          <w:pPr>
            <w:pStyle w:val="TOCHeading"/>
          </w:pPr>
          <w:r>
            <w:t>Table of Contents</w:t>
          </w:r>
        </w:p>
        <w:p w:rsidR="00BF3034" w:rsidRDefault="00DC6014">
          <w:pPr>
            <w:pStyle w:val="TOC1"/>
            <w:rPr>
              <w:rFonts w:asciiTheme="minorHAnsi" w:eastAsiaTheme="minorEastAsia" w:hAnsiTheme="minorHAnsi" w:cstheme="minorBidi"/>
              <w:sz w:val="22"/>
              <w:szCs w:val="22"/>
            </w:rPr>
          </w:pPr>
          <w:r>
            <w:fldChar w:fldCharType="begin"/>
          </w:r>
          <w:r>
            <w:instrText>TOC \o "1-3" \h \z \u</w:instrText>
          </w:r>
          <w:r w:rsidR="00BF3034">
            <w:fldChar w:fldCharType="separate"/>
          </w:r>
          <w:hyperlink w:anchor="_Toc23963605" w:history="1">
            <w:r w:rsidR="00BF3034" w:rsidRPr="008127AC">
              <w:rPr>
                <w:rStyle w:val="Hyperlink"/>
              </w:rPr>
              <w:t>Introduction</w:t>
            </w:r>
            <w:r w:rsidR="00BF3034">
              <w:rPr>
                <w:webHidden/>
              </w:rPr>
              <w:tab/>
            </w:r>
            <w:r w:rsidR="00BF3034">
              <w:rPr>
                <w:webHidden/>
              </w:rPr>
              <w:fldChar w:fldCharType="begin"/>
            </w:r>
            <w:r w:rsidR="00BF3034">
              <w:rPr>
                <w:webHidden/>
              </w:rPr>
              <w:instrText xml:space="preserve"> PAGEREF _Toc23963605 \h </w:instrText>
            </w:r>
            <w:r w:rsidR="00BF3034">
              <w:rPr>
                <w:webHidden/>
              </w:rPr>
            </w:r>
            <w:r w:rsidR="00BF3034">
              <w:rPr>
                <w:webHidden/>
              </w:rPr>
              <w:fldChar w:fldCharType="separate"/>
            </w:r>
            <w:r w:rsidR="00BF3034">
              <w:rPr>
                <w:webHidden/>
              </w:rPr>
              <w:t>2</w:t>
            </w:r>
            <w:r w:rsidR="00BF3034">
              <w:rPr>
                <w:webHidden/>
              </w:rPr>
              <w:fldChar w:fldCharType="end"/>
            </w:r>
          </w:hyperlink>
        </w:p>
        <w:p w:rsidR="00BF3034" w:rsidRDefault="00BF3034">
          <w:pPr>
            <w:pStyle w:val="TOC2"/>
            <w:rPr>
              <w:rFonts w:asciiTheme="minorHAnsi" w:eastAsiaTheme="minorEastAsia" w:hAnsiTheme="minorHAnsi" w:cstheme="minorBidi"/>
              <w:sz w:val="22"/>
              <w:szCs w:val="22"/>
            </w:rPr>
          </w:pPr>
          <w:hyperlink w:anchor="_Toc23963606" w:history="1">
            <w:r w:rsidRPr="008127AC">
              <w:rPr>
                <w:rStyle w:val="Hyperlink"/>
              </w:rPr>
              <w:t>Control in wastewater treatment</w:t>
            </w:r>
            <w:r>
              <w:rPr>
                <w:webHidden/>
              </w:rPr>
              <w:tab/>
            </w:r>
            <w:r>
              <w:rPr>
                <w:webHidden/>
              </w:rPr>
              <w:fldChar w:fldCharType="begin"/>
            </w:r>
            <w:r>
              <w:rPr>
                <w:webHidden/>
              </w:rPr>
              <w:instrText xml:space="preserve"> PAGEREF _Toc23963606 \h </w:instrText>
            </w:r>
            <w:r>
              <w:rPr>
                <w:webHidden/>
              </w:rPr>
            </w:r>
            <w:r>
              <w:rPr>
                <w:webHidden/>
              </w:rPr>
              <w:fldChar w:fldCharType="separate"/>
            </w:r>
            <w:r>
              <w:rPr>
                <w:webHidden/>
              </w:rPr>
              <w:t>3</w:t>
            </w:r>
            <w:r>
              <w:rPr>
                <w:webHidden/>
              </w:rPr>
              <w:fldChar w:fldCharType="end"/>
            </w:r>
          </w:hyperlink>
        </w:p>
        <w:p w:rsidR="00BF3034" w:rsidRDefault="00BF3034">
          <w:pPr>
            <w:pStyle w:val="TOC1"/>
            <w:rPr>
              <w:rFonts w:asciiTheme="minorHAnsi" w:eastAsiaTheme="minorEastAsia" w:hAnsiTheme="minorHAnsi" w:cstheme="minorBidi"/>
              <w:sz w:val="22"/>
              <w:szCs w:val="22"/>
            </w:rPr>
          </w:pPr>
          <w:hyperlink w:anchor="_Toc23963607" w:history="1">
            <w:r w:rsidRPr="008127AC">
              <w:rPr>
                <w:rStyle w:val="Hyperlink"/>
              </w:rPr>
              <w:t>Methods and Materials</w:t>
            </w:r>
            <w:r>
              <w:rPr>
                <w:webHidden/>
              </w:rPr>
              <w:tab/>
            </w:r>
            <w:r>
              <w:rPr>
                <w:webHidden/>
              </w:rPr>
              <w:fldChar w:fldCharType="begin"/>
            </w:r>
            <w:r>
              <w:rPr>
                <w:webHidden/>
              </w:rPr>
              <w:instrText xml:space="preserve"> PAGEREF _Toc23963607 \h </w:instrText>
            </w:r>
            <w:r>
              <w:rPr>
                <w:webHidden/>
              </w:rPr>
            </w:r>
            <w:r>
              <w:rPr>
                <w:webHidden/>
              </w:rPr>
              <w:fldChar w:fldCharType="separate"/>
            </w:r>
            <w:r>
              <w:rPr>
                <w:webHidden/>
              </w:rPr>
              <w:t>4</w:t>
            </w:r>
            <w:r>
              <w:rPr>
                <w:webHidden/>
              </w:rPr>
              <w:fldChar w:fldCharType="end"/>
            </w:r>
          </w:hyperlink>
        </w:p>
        <w:p w:rsidR="00BF3034" w:rsidRDefault="00BF3034">
          <w:pPr>
            <w:pStyle w:val="TOC2"/>
            <w:rPr>
              <w:rFonts w:asciiTheme="minorHAnsi" w:eastAsiaTheme="minorEastAsia" w:hAnsiTheme="minorHAnsi" w:cstheme="minorBidi"/>
              <w:sz w:val="22"/>
              <w:szCs w:val="22"/>
            </w:rPr>
          </w:pPr>
          <w:hyperlink w:anchor="_Toc23963608" w:history="1">
            <w:r w:rsidRPr="008127AC">
              <w:rPr>
                <w:rStyle w:val="Hyperlink"/>
              </w:rPr>
              <w:t>Boulder Water Resource Recovery Facility</w:t>
            </w:r>
            <w:r>
              <w:rPr>
                <w:webHidden/>
              </w:rPr>
              <w:tab/>
            </w:r>
            <w:r>
              <w:rPr>
                <w:webHidden/>
              </w:rPr>
              <w:fldChar w:fldCharType="begin"/>
            </w:r>
            <w:r>
              <w:rPr>
                <w:webHidden/>
              </w:rPr>
              <w:instrText xml:space="preserve"> PAGEREF _Toc23963608 \h </w:instrText>
            </w:r>
            <w:r>
              <w:rPr>
                <w:webHidden/>
              </w:rPr>
            </w:r>
            <w:r>
              <w:rPr>
                <w:webHidden/>
              </w:rPr>
              <w:fldChar w:fldCharType="separate"/>
            </w:r>
            <w:r>
              <w:rPr>
                <w:webHidden/>
              </w:rPr>
              <w:t>4</w:t>
            </w:r>
            <w:r>
              <w:rPr>
                <w:webHidden/>
              </w:rPr>
              <w:fldChar w:fldCharType="end"/>
            </w:r>
          </w:hyperlink>
        </w:p>
        <w:p w:rsidR="00BF3034" w:rsidRDefault="00BF3034">
          <w:pPr>
            <w:pStyle w:val="TOC2"/>
            <w:rPr>
              <w:rFonts w:asciiTheme="minorHAnsi" w:eastAsiaTheme="minorEastAsia" w:hAnsiTheme="minorHAnsi" w:cstheme="minorBidi"/>
              <w:sz w:val="22"/>
              <w:szCs w:val="22"/>
            </w:rPr>
          </w:pPr>
          <w:hyperlink w:anchor="_Toc23963609" w:history="1">
            <w:r w:rsidRPr="008127AC">
              <w:rPr>
                <w:rStyle w:val="Hyperlink"/>
              </w:rPr>
              <w:t>Stability assessment</w:t>
            </w:r>
            <w:r>
              <w:rPr>
                <w:webHidden/>
              </w:rPr>
              <w:tab/>
            </w:r>
            <w:r>
              <w:rPr>
                <w:webHidden/>
              </w:rPr>
              <w:fldChar w:fldCharType="begin"/>
            </w:r>
            <w:r>
              <w:rPr>
                <w:webHidden/>
              </w:rPr>
              <w:instrText xml:space="preserve"> PAGEREF _Toc23963609 \h </w:instrText>
            </w:r>
            <w:r>
              <w:rPr>
                <w:webHidden/>
              </w:rPr>
            </w:r>
            <w:r>
              <w:rPr>
                <w:webHidden/>
              </w:rPr>
              <w:fldChar w:fldCharType="separate"/>
            </w:r>
            <w:r>
              <w:rPr>
                <w:webHidden/>
              </w:rPr>
              <w:t>5</w:t>
            </w:r>
            <w:r>
              <w:rPr>
                <w:webHidden/>
              </w:rPr>
              <w:fldChar w:fldCharType="end"/>
            </w:r>
          </w:hyperlink>
        </w:p>
        <w:p w:rsidR="00BF3034" w:rsidRDefault="00BF3034">
          <w:pPr>
            <w:pStyle w:val="TOC2"/>
            <w:rPr>
              <w:rFonts w:asciiTheme="minorHAnsi" w:eastAsiaTheme="minorEastAsia" w:hAnsiTheme="minorHAnsi" w:cstheme="minorBidi"/>
              <w:sz w:val="22"/>
              <w:szCs w:val="22"/>
            </w:rPr>
          </w:pPr>
          <w:hyperlink w:anchor="_Toc23963610" w:history="1">
            <w:r w:rsidRPr="008127AC">
              <w:rPr>
                <w:rStyle w:val="Hyperlink"/>
              </w:rPr>
              <w:t>Ammonia forecast</w:t>
            </w:r>
            <w:r>
              <w:rPr>
                <w:webHidden/>
              </w:rPr>
              <w:tab/>
            </w:r>
            <w:r>
              <w:rPr>
                <w:webHidden/>
              </w:rPr>
              <w:fldChar w:fldCharType="begin"/>
            </w:r>
            <w:r>
              <w:rPr>
                <w:webHidden/>
              </w:rPr>
              <w:instrText xml:space="preserve"> PAGEREF _Toc23963610 \h </w:instrText>
            </w:r>
            <w:r>
              <w:rPr>
                <w:webHidden/>
              </w:rPr>
            </w:r>
            <w:r>
              <w:rPr>
                <w:webHidden/>
              </w:rPr>
              <w:fldChar w:fldCharType="separate"/>
            </w:r>
            <w:r>
              <w:rPr>
                <w:webHidden/>
              </w:rPr>
              <w:t>6</w:t>
            </w:r>
            <w:r>
              <w:rPr>
                <w:webHidden/>
              </w:rPr>
              <w:fldChar w:fldCharType="end"/>
            </w:r>
          </w:hyperlink>
        </w:p>
        <w:p w:rsidR="00BF3034" w:rsidRDefault="00BF3034">
          <w:pPr>
            <w:pStyle w:val="TOC3"/>
            <w:rPr>
              <w:rFonts w:asciiTheme="minorHAnsi" w:eastAsiaTheme="minorEastAsia" w:hAnsiTheme="minorHAnsi" w:cstheme="minorBidi"/>
              <w:sz w:val="22"/>
              <w:szCs w:val="22"/>
            </w:rPr>
          </w:pPr>
          <w:hyperlink w:anchor="_Toc23963611" w:history="1">
            <w:r w:rsidRPr="008127AC">
              <w:rPr>
                <w:rStyle w:val="Hyperlink"/>
              </w:rPr>
              <w:t>Diurnal model</w:t>
            </w:r>
            <w:r>
              <w:rPr>
                <w:webHidden/>
              </w:rPr>
              <w:tab/>
            </w:r>
            <w:r>
              <w:rPr>
                <w:webHidden/>
              </w:rPr>
              <w:fldChar w:fldCharType="begin"/>
            </w:r>
            <w:r>
              <w:rPr>
                <w:webHidden/>
              </w:rPr>
              <w:instrText xml:space="preserve"> PAGEREF _Toc23963611 \h </w:instrText>
            </w:r>
            <w:r>
              <w:rPr>
                <w:webHidden/>
              </w:rPr>
            </w:r>
            <w:r>
              <w:rPr>
                <w:webHidden/>
              </w:rPr>
              <w:fldChar w:fldCharType="separate"/>
            </w:r>
            <w:r>
              <w:rPr>
                <w:webHidden/>
              </w:rPr>
              <w:t>6</w:t>
            </w:r>
            <w:r>
              <w:rPr>
                <w:webHidden/>
              </w:rPr>
              <w:fldChar w:fldCharType="end"/>
            </w:r>
          </w:hyperlink>
        </w:p>
        <w:p w:rsidR="00BF3034" w:rsidRDefault="00BF3034">
          <w:pPr>
            <w:pStyle w:val="TOC3"/>
            <w:rPr>
              <w:rFonts w:asciiTheme="minorHAnsi" w:eastAsiaTheme="minorEastAsia" w:hAnsiTheme="minorHAnsi" w:cstheme="minorBidi"/>
              <w:sz w:val="22"/>
              <w:szCs w:val="22"/>
            </w:rPr>
          </w:pPr>
          <w:hyperlink w:anchor="_Toc23963612" w:history="1">
            <w:r w:rsidRPr="008127AC">
              <w:rPr>
                <w:rStyle w:val="Hyperlink"/>
              </w:rPr>
              <w:t>Machine learning</w:t>
            </w:r>
            <w:r>
              <w:rPr>
                <w:webHidden/>
              </w:rPr>
              <w:tab/>
            </w:r>
            <w:r>
              <w:rPr>
                <w:webHidden/>
              </w:rPr>
              <w:fldChar w:fldCharType="begin"/>
            </w:r>
            <w:r>
              <w:rPr>
                <w:webHidden/>
              </w:rPr>
              <w:instrText xml:space="preserve"> PAGEREF _Toc23963612 \h </w:instrText>
            </w:r>
            <w:r>
              <w:rPr>
                <w:webHidden/>
              </w:rPr>
            </w:r>
            <w:r>
              <w:rPr>
                <w:webHidden/>
              </w:rPr>
              <w:fldChar w:fldCharType="separate"/>
            </w:r>
            <w:r>
              <w:rPr>
                <w:webHidden/>
              </w:rPr>
              <w:t>7</w:t>
            </w:r>
            <w:r>
              <w:rPr>
                <w:webHidden/>
              </w:rPr>
              <w:fldChar w:fldCharType="end"/>
            </w:r>
          </w:hyperlink>
        </w:p>
        <w:p w:rsidR="00BF3034" w:rsidRDefault="00BF3034">
          <w:pPr>
            <w:pStyle w:val="TOC1"/>
            <w:rPr>
              <w:rFonts w:asciiTheme="minorHAnsi" w:eastAsiaTheme="minorEastAsia" w:hAnsiTheme="minorHAnsi" w:cstheme="minorBidi"/>
              <w:sz w:val="22"/>
              <w:szCs w:val="22"/>
            </w:rPr>
          </w:pPr>
          <w:hyperlink w:anchor="_Toc23963613" w:history="1">
            <w:r w:rsidRPr="008127AC">
              <w:rPr>
                <w:rStyle w:val="Hyperlink"/>
              </w:rPr>
              <w:t>Results</w:t>
            </w:r>
            <w:r>
              <w:rPr>
                <w:webHidden/>
              </w:rPr>
              <w:tab/>
            </w:r>
            <w:r>
              <w:rPr>
                <w:webHidden/>
              </w:rPr>
              <w:fldChar w:fldCharType="begin"/>
            </w:r>
            <w:r>
              <w:rPr>
                <w:webHidden/>
              </w:rPr>
              <w:instrText xml:space="preserve"> PAGEREF _Toc23963613 \h </w:instrText>
            </w:r>
            <w:r>
              <w:rPr>
                <w:webHidden/>
              </w:rPr>
            </w:r>
            <w:r>
              <w:rPr>
                <w:webHidden/>
              </w:rPr>
              <w:fldChar w:fldCharType="separate"/>
            </w:r>
            <w:r>
              <w:rPr>
                <w:webHidden/>
              </w:rPr>
              <w:t>7</w:t>
            </w:r>
            <w:r>
              <w:rPr>
                <w:webHidden/>
              </w:rPr>
              <w:fldChar w:fldCharType="end"/>
            </w:r>
          </w:hyperlink>
        </w:p>
        <w:p w:rsidR="00BF3034" w:rsidRDefault="00BF3034">
          <w:pPr>
            <w:pStyle w:val="TOC2"/>
            <w:rPr>
              <w:rFonts w:asciiTheme="minorHAnsi" w:eastAsiaTheme="minorEastAsia" w:hAnsiTheme="minorHAnsi" w:cstheme="minorBidi"/>
              <w:sz w:val="22"/>
              <w:szCs w:val="22"/>
            </w:rPr>
          </w:pPr>
          <w:hyperlink w:anchor="_Toc23963614" w:history="1">
            <w:r w:rsidRPr="008127AC">
              <w:rPr>
                <w:rStyle w:val="Hyperlink"/>
              </w:rPr>
              <w:t>Stability assessment</w:t>
            </w:r>
            <w:r>
              <w:rPr>
                <w:webHidden/>
              </w:rPr>
              <w:tab/>
            </w:r>
            <w:r>
              <w:rPr>
                <w:webHidden/>
              </w:rPr>
              <w:fldChar w:fldCharType="begin"/>
            </w:r>
            <w:r>
              <w:rPr>
                <w:webHidden/>
              </w:rPr>
              <w:instrText xml:space="preserve"> PAGEREF _Toc23963614 \h </w:instrText>
            </w:r>
            <w:r>
              <w:rPr>
                <w:webHidden/>
              </w:rPr>
            </w:r>
            <w:r>
              <w:rPr>
                <w:webHidden/>
              </w:rPr>
              <w:fldChar w:fldCharType="separate"/>
            </w:r>
            <w:r>
              <w:rPr>
                <w:webHidden/>
              </w:rPr>
              <w:t>7</w:t>
            </w:r>
            <w:r>
              <w:rPr>
                <w:webHidden/>
              </w:rPr>
              <w:fldChar w:fldCharType="end"/>
            </w:r>
          </w:hyperlink>
        </w:p>
        <w:p w:rsidR="00BF3034" w:rsidRDefault="00BF3034">
          <w:pPr>
            <w:pStyle w:val="TOC2"/>
            <w:rPr>
              <w:rFonts w:asciiTheme="minorHAnsi" w:eastAsiaTheme="minorEastAsia" w:hAnsiTheme="minorHAnsi" w:cstheme="minorBidi"/>
              <w:sz w:val="22"/>
              <w:szCs w:val="22"/>
            </w:rPr>
          </w:pPr>
          <w:hyperlink w:anchor="_Toc23963615" w:history="1">
            <w:r w:rsidRPr="008127AC">
              <w:rPr>
                <w:rStyle w:val="Hyperlink"/>
              </w:rPr>
              <w:t>Ammonia forecast</w:t>
            </w:r>
            <w:r>
              <w:rPr>
                <w:webHidden/>
              </w:rPr>
              <w:tab/>
            </w:r>
            <w:r>
              <w:rPr>
                <w:webHidden/>
              </w:rPr>
              <w:fldChar w:fldCharType="begin"/>
            </w:r>
            <w:r>
              <w:rPr>
                <w:webHidden/>
              </w:rPr>
              <w:instrText xml:space="preserve"> PAGEREF _Toc23963615 \h </w:instrText>
            </w:r>
            <w:r>
              <w:rPr>
                <w:webHidden/>
              </w:rPr>
            </w:r>
            <w:r>
              <w:rPr>
                <w:webHidden/>
              </w:rPr>
              <w:fldChar w:fldCharType="separate"/>
            </w:r>
            <w:r>
              <w:rPr>
                <w:webHidden/>
              </w:rPr>
              <w:t>10</w:t>
            </w:r>
            <w:r>
              <w:rPr>
                <w:webHidden/>
              </w:rPr>
              <w:fldChar w:fldCharType="end"/>
            </w:r>
          </w:hyperlink>
        </w:p>
        <w:p w:rsidR="00BF3034" w:rsidRDefault="00BF3034">
          <w:pPr>
            <w:pStyle w:val="TOC3"/>
            <w:rPr>
              <w:rFonts w:asciiTheme="minorHAnsi" w:eastAsiaTheme="minorEastAsia" w:hAnsiTheme="minorHAnsi" w:cstheme="minorBidi"/>
              <w:sz w:val="22"/>
              <w:szCs w:val="22"/>
            </w:rPr>
          </w:pPr>
          <w:hyperlink w:anchor="_Toc23963616" w:history="1">
            <w:r w:rsidRPr="008127AC">
              <w:rPr>
                <w:rStyle w:val="Hyperlink"/>
              </w:rPr>
              <w:t>Diurnal model</w:t>
            </w:r>
            <w:r>
              <w:rPr>
                <w:webHidden/>
              </w:rPr>
              <w:tab/>
            </w:r>
            <w:r>
              <w:rPr>
                <w:webHidden/>
              </w:rPr>
              <w:fldChar w:fldCharType="begin"/>
            </w:r>
            <w:r>
              <w:rPr>
                <w:webHidden/>
              </w:rPr>
              <w:instrText xml:space="preserve"> PAGEREF _Toc23963616 \h </w:instrText>
            </w:r>
            <w:r>
              <w:rPr>
                <w:webHidden/>
              </w:rPr>
            </w:r>
            <w:r>
              <w:rPr>
                <w:webHidden/>
              </w:rPr>
              <w:fldChar w:fldCharType="separate"/>
            </w:r>
            <w:r>
              <w:rPr>
                <w:webHidden/>
              </w:rPr>
              <w:t>10</w:t>
            </w:r>
            <w:r>
              <w:rPr>
                <w:webHidden/>
              </w:rPr>
              <w:fldChar w:fldCharType="end"/>
            </w:r>
          </w:hyperlink>
        </w:p>
        <w:p w:rsidR="00BF3034" w:rsidRDefault="00BF3034">
          <w:pPr>
            <w:pStyle w:val="TOC3"/>
            <w:rPr>
              <w:rFonts w:asciiTheme="minorHAnsi" w:eastAsiaTheme="minorEastAsia" w:hAnsiTheme="minorHAnsi" w:cstheme="minorBidi"/>
              <w:sz w:val="22"/>
              <w:szCs w:val="22"/>
            </w:rPr>
          </w:pPr>
          <w:hyperlink w:anchor="_Toc23963617" w:history="1">
            <w:r w:rsidRPr="008127AC">
              <w:rPr>
                <w:rStyle w:val="Hyperlink"/>
              </w:rPr>
              <w:t>Linear model</w:t>
            </w:r>
            <w:r>
              <w:rPr>
                <w:webHidden/>
              </w:rPr>
              <w:tab/>
            </w:r>
            <w:r>
              <w:rPr>
                <w:webHidden/>
              </w:rPr>
              <w:fldChar w:fldCharType="begin"/>
            </w:r>
            <w:r>
              <w:rPr>
                <w:webHidden/>
              </w:rPr>
              <w:instrText xml:space="preserve"> PAGEREF _Toc23963617 \h </w:instrText>
            </w:r>
            <w:r>
              <w:rPr>
                <w:webHidden/>
              </w:rPr>
            </w:r>
            <w:r>
              <w:rPr>
                <w:webHidden/>
              </w:rPr>
              <w:fldChar w:fldCharType="separate"/>
            </w:r>
            <w:r>
              <w:rPr>
                <w:webHidden/>
              </w:rPr>
              <w:t>11</w:t>
            </w:r>
            <w:r>
              <w:rPr>
                <w:webHidden/>
              </w:rPr>
              <w:fldChar w:fldCharType="end"/>
            </w:r>
          </w:hyperlink>
        </w:p>
        <w:p w:rsidR="00BF3034" w:rsidRDefault="00BF3034">
          <w:pPr>
            <w:pStyle w:val="TOC2"/>
            <w:rPr>
              <w:rFonts w:asciiTheme="minorHAnsi" w:eastAsiaTheme="minorEastAsia" w:hAnsiTheme="minorHAnsi" w:cstheme="minorBidi"/>
              <w:sz w:val="22"/>
              <w:szCs w:val="22"/>
            </w:rPr>
          </w:pPr>
          <w:hyperlink w:anchor="_Toc23963618" w:history="1">
            <w:r w:rsidRPr="008127AC">
              <w:rPr>
                <w:rStyle w:val="Hyperlink"/>
              </w:rPr>
              <w:t>NEEDS FIXED</w:t>
            </w:r>
            <w:r>
              <w:rPr>
                <w:webHidden/>
              </w:rPr>
              <w:tab/>
            </w:r>
            <w:r>
              <w:rPr>
                <w:webHidden/>
              </w:rPr>
              <w:fldChar w:fldCharType="begin"/>
            </w:r>
            <w:r>
              <w:rPr>
                <w:webHidden/>
              </w:rPr>
              <w:instrText xml:space="preserve"> PAGEREF _Toc23963618 \h </w:instrText>
            </w:r>
            <w:r>
              <w:rPr>
                <w:webHidden/>
              </w:rPr>
            </w:r>
            <w:r>
              <w:rPr>
                <w:webHidden/>
              </w:rPr>
              <w:fldChar w:fldCharType="separate"/>
            </w:r>
            <w:r>
              <w:rPr>
                <w:webHidden/>
              </w:rPr>
              <w:t>11</w:t>
            </w:r>
            <w:r>
              <w:rPr>
                <w:webHidden/>
              </w:rPr>
              <w:fldChar w:fldCharType="end"/>
            </w:r>
          </w:hyperlink>
        </w:p>
        <w:p w:rsidR="00BF3034" w:rsidRDefault="00BF3034">
          <w:pPr>
            <w:pStyle w:val="TOC1"/>
            <w:rPr>
              <w:rFonts w:asciiTheme="minorHAnsi" w:eastAsiaTheme="minorEastAsia" w:hAnsiTheme="minorHAnsi" w:cstheme="minorBidi"/>
              <w:sz w:val="22"/>
              <w:szCs w:val="22"/>
            </w:rPr>
          </w:pPr>
          <w:hyperlink w:anchor="_Toc23963619" w:history="1">
            <w:r w:rsidRPr="008127AC">
              <w:rPr>
                <w:rStyle w:val="Hyperlink"/>
              </w:rPr>
              <w:t>Appendix</w:t>
            </w:r>
            <w:r>
              <w:rPr>
                <w:webHidden/>
              </w:rPr>
              <w:tab/>
            </w:r>
            <w:r>
              <w:rPr>
                <w:webHidden/>
              </w:rPr>
              <w:fldChar w:fldCharType="begin"/>
            </w:r>
            <w:r>
              <w:rPr>
                <w:webHidden/>
              </w:rPr>
              <w:instrText xml:space="preserve"> PAGEREF _Toc23963619 \h </w:instrText>
            </w:r>
            <w:r>
              <w:rPr>
                <w:webHidden/>
              </w:rPr>
            </w:r>
            <w:r>
              <w:rPr>
                <w:webHidden/>
              </w:rPr>
              <w:fldChar w:fldCharType="separate"/>
            </w:r>
            <w:r>
              <w:rPr>
                <w:webHidden/>
              </w:rPr>
              <w:t>18</w:t>
            </w:r>
            <w:r>
              <w:rPr>
                <w:webHidden/>
              </w:rPr>
              <w:fldChar w:fldCharType="end"/>
            </w:r>
          </w:hyperlink>
        </w:p>
        <w:p w:rsidR="00BF3034" w:rsidRDefault="00BF3034">
          <w:pPr>
            <w:pStyle w:val="TOC2"/>
            <w:rPr>
              <w:rFonts w:asciiTheme="minorHAnsi" w:eastAsiaTheme="minorEastAsia" w:hAnsiTheme="minorHAnsi" w:cstheme="minorBidi"/>
              <w:sz w:val="22"/>
              <w:szCs w:val="22"/>
            </w:rPr>
          </w:pPr>
          <w:hyperlink w:anchor="_Toc23963620" w:history="1">
            <w:r w:rsidRPr="008127AC">
              <w:rPr>
                <w:rStyle w:val="Hyperlink"/>
              </w:rPr>
              <w:t>Timeseries</w:t>
            </w:r>
            <w:r>
              <w:rPr>
                <w:webHidden/>
              </w:rPr>
              <w:tab/>
            </w:r>
            <w:r>
              <w:rPr>
                <w:webHidden/>
              </w:rPr>
              <w:fldChar w:fldCharType="begin"/>
            </w:r>
            <w:r>
              <w:rPr>
                <w:webHidden/>
              </w:rPr>
              <w:instrText xml:space="preserve"> PAGEREF _Toc23963620 \h </w:instrText>
            </w:r>
            <w:r>
              <w:rPr>
                <w:webHidden/>
              </w:rPr>
            </w:r>
            <w:r>
              <w:rPr>
                <w:webHidden/>
              </w:rPr>
              <w:fldChar w:fldCharType="separate"/>
            </w:r>
            <w:r>
              <w:rPr>
                <w:webHidden/>
              </w:rPr>
              <w:t>18</w:t>
            </w:r>
            <w:r>
              <w:rPr>
                <w:webHidden/>
              </w:rPr>
              <w:fldChar w:fldCharType="end"/>
            </w:r>
          </w:hyperlink>
        </w:p>
        <w:p w:rsidR="00BF3034" w:rsidRDefault="00BF3034">
          <w:pPr>
            <w:pStyle w:val="TOC2"/>
            <w:rPr>
              <w:rFonts w:asciiTheme="minorHAnsi" w:eastAsiaTheme="minorEastAsia" w:hAnsiTheme="minorHAnsi" w:cstheme="minorBidi"/>
              <w:sz w:val="22"/>
              <w:szCs w:val="22"/>
            </w:rPr>
          </w:pPr>
          <w:hyperlink w:anchor="_Toc23963621" w:history="1">
            <w:r w:rsidRPr="008127AC">
              <w:rPr>
                <w:rStyle w:val="Hyperlink"/>
              </w:rPr>
              <w:t>Model training error</w:t>
            </w:r>
            <w:r>
              <w:rPr>
                <w:webHidden/>
              </w:rPr>
              <w:tab/>
            </w:r>
            <w:r>
              <w:rPr>
                <w:webHidden/>
              </w:rPr>
              <w:fldChar w:fldCharType="begin"/>
            </w:r>
            <w:r>
              <w:rPr>
                <w:webHidden/>
              </w:rPr>
              <w:instrText xml:space="preserve"> PAGEREF _Toc23963621 \h </w:instrText>
            </w:r>
            <w:r>
              <w:rPr>
                <w:webHidden/>
              </w:rPr>
            </w:r>
            <w:r>
              <w:rPr>
                <w:webHidden/>
              </w:rPr>
              <w:fldChar w:fldCharType="separate"/>
            </w:r>
            <w:r>
              <w:rPr>
                <w:webHidden/>
              </w:rPr>
              <w:t>23</w:t>
            </w:r>
            <w:r>
              <w:rPr>
                <w:webHidden/>
              </w:rPr>
              <w:fldChar w:fldCharType="end"/>
            </w:r>
          </w:hyperlink>
        </w:p>
        <w:p w:rsidR="00BF3034" w:rsidRDefault="00BF3034">
          <w:pPr>
            <w:pStyle w:val="TOC2"/>
            <w:rPr>
              <w:rFonts w:asciiTheme="minorHAnsi" w:eastAsiaTheme="minorEastAsia" w:hAnsiTheme="minorHAnsi" w:cstheme="minorBidi"/>
              <w:sz w:val="22"/>
              <w:szCs w:val="22"/>
            </w:rPr>
          </w:pPr>
          <w:hyperlink w:anchor="_Toc23963622" w:history="1">
            <w:r w:rsidRPr="008127AC">
              <w:rPr>
                <w:rStyle w:val="Hyperlink"/>
              </w:rPr>
              <w:t>Model testing error</w:t>
            </w:r>
            <w:r>
              <w:rPr>
                <w:webHidden/>
              </w:rPr>
              <w:tab/>
            </w:r>
            <w:r>
              <w:rPr>
                <w:webHidden/>
              </w:rPr>
              <w:fldChar w:fldCharType="begin"/>
            </w:r>
            <w:r>
              <w:rPr>
                <w:webHidden/>
              </w:rPr>
              <w:instrText xml:space="preserve"> PAGEREF _Toc23963622 \h </w:instrText>
            </w:r>
            <w:r>
              <w:rPr>
                <w:webHidden/>
              </w:rPr>
            </w:r>
            <w:r>
              <w:rPr>
                <w:webHidden/>
              </w:rPr>
              <w:fldChar w:fldCharType="separate"/>
            </w:r>
            <w:r>
              <w:rPr>
                <w:webHidden/>
              </w:rPr>
              <w:t>25</w:t>
            </w:r>
            <w:r>
              <w:rPr>
                <w:webHidden/>
              </w:rPr>
              <w:fldChar w:fldCharType="end"/>
            </w:r>
          </w:hyperlink>
        </w:p>
        <w:p w:rsidR="00210D2D" w:rsidRDefault="00DC6014">
          <w:r>
            <w:fldChar w:fldCharType="end"/>
          </w:r>
        </w:p>
      </w:sdtContent>
    </w:sdt>
    <w:p w:rsidR="00210D2D" w:rsidRDefault="00DC6014">
      <w:pPr>
        <w:pStyle w:val="Heading5"/>
      </w:pPr>
      <w:bookmarkStart w:id="0" w:name="page-break"/>
      <w:r>
        <w:lastRenderedPageBreak/>
        <w:t>Page break</w:t>
      </w:r>
      <w:bookmarkEnd w:id="0"/>
    </w:p>
    <w:p w:rsidR="00210D2D" w:rsidRDefault="00DC6014">
      <w:pPr>
        <w:pStyle w:val="Heading1"/>
      </w:pPr>
      <w:bookmarkStart w:id="1" w:name="introduction"/>
      <w:bookmarkStart w:id="2" w:name="_Toc23963605"/>
      <w:r>
        <w:t>Introduction</w:t>
      </w:r>
      <w:bookmarkEnd w:id="1"/>
      <w:bookmarkEnd w:id="2"/>
    </w:p>
    <w:p w:rsidR="00210D2D" w:rsidRDefault="00DC6014">
      <w:pPr>
        <w:pStyle w:val="FirstParagraph"/>
      </w:pPr>
      <w:r>
        <w:t>One of the greatest and costliest threats to surface waterways in the United States is nutrient pollution (Environmental Protection Agency) 2011). The removal of nitrogen and phosphorus from water at municipal wastewater treatment plants (WWTP) is necessar</w:t>
      </w:r>
      <w:r>
        <w:t>y to address the growing environmental challenge. As states implement increasingly stringint nutrient limits on WWTP, the cost of has wastewater treatment increased substancially. Biological nutrient removal is acheived by introducing dissolved oxygen (DO)</w:t>
      </w:r>
      <w:r>
        <w:t xml:space="preserve"> via industrial air blowers, which is one of the largest operating costs for WWTP. Conventionally, air blower output is increased or decreased relative to the measured concentration of DO in an aeration basin to maintain a DO setpoint where nitrogen remova</w:t>
      </w:r>
      <w:r>
        <w:t>l is effectively guarenteed. While this approach ensures treatment, there are multiple drawback. DO control is energy inefficient as aeration is provided whether ammonia is present or absent; conventional control leads to large fluctuations in air demand t</w:t>
      </w:r>
      <w:r>
        <w:t>o maintain a single DO setpoint, which mechanically stresses the air blowers; and microbial communities responsible for treatment are stressed with large and rapid DO fluctuations. Currently, WWTP operators rely on trial-and-error to identify a DO setpoint</w:t>
      </w:r>
      <w:r>
        <w:t xml:space="preserve"> that treats water to an ammonia concentration well below the permited limit. Such a large factor of safety is required to ensure that under the highest flow and load conditions, water will be fully treated and the WWTP will not exceed their nutrient limit</w:t>
      </w:r>
      <w:r>
        <w:t>s. To save energy and reduce excessive use of air blowers at WWTP, a new aeration paradigm is needed.</w:t>
      </w:r>
    </w:p>
    <w:p w:rsidR="00210D2D" w:rsidRDefault="00DC6014">
      <w:pPr>
        <w:pStyle w:val="BodyText"/>
      </w:pPr>
      <w:r>
        <w:t>Ammonia-based aeration control (ABAC) is an aeration approach which responds to water quality changes in real-time by adjusting air flow to meet an ammoni</w:t>
      </w:r>
      <w:r>
        <w:t>a setpoint instead of a DO setpoint. ABAC can limit excessive aeration promoting full nitrogen removal, potentially improving phosphorus removal, and reducing effluent ammonia peaks (Rieger et al. 2012). The most popular ABAC configuration utilizes a micro</w:t>
      </w:r>
      <w:r>
        <w:t xml:space="preserve">bial kinetics model to calculate the aeration demand given a variety of operating parameters such as solids retention time and influent ammonia concentration (Duffy et al. 2010). This feedforward approach can reduce aeration demand, but requires extensive </w:t>
      </w:r>
      <w:r>
        <w:t xml:space="preserve">sampling and specialized knowledge for accurate model calibration and implementation. A feedback ABAC option would not require a kinetic model and could adjust DO setpoints from an ammonia sensor in the aeration basin where treatment takes place. However, </w:t>
      </w:r>
      <w:r>
        <w:t>WWTP operators are hesitent to adopt ABAC due to the instability of the sensors involved in feedback ABAC (specifically ion-selective electrodes) and the potential for the growth of microorganisms that inhibit settling in subsequent treatment at lower DO c</w:t>
      </w:r>
      <w:r>
        <w:t>oncentrations (i.e., filamentous bacteria). A third ABAC approach could incorporate statistical process models to predict ammonia in a feedback or feedforward configuration. The advantages of forecasting using statistical and machine learning models is (a)</w:t>
      </w:r>
      <w:r>
        <w:t xml:space="preserve"> no additional sampling, microbiological analysis, or proprietary software is required to build the model and (b) the forecast can easily replace the current measured value of ammonia in the supervisory control and data acquisition (SCADA) system of the WW</w:t>
      </w:r>
      <w:r>
        <w:t>TP–which lacks advanced control schema. Existing hurdles to implementation of data-driven systems in WWTP include knowledge and experience. To date, there are only a handful of WWTP in and outside of the U.S. who have implemented model predictive control s</w:t>
      </w:r>
      <w:r>
        <w:t>ystems in their facilities.</w:t>
      </w:r>
    </w:p>
    <w:p w:rsidR="00210D2D" w:rsidRDefault="00DC6014">
      <w:pPr>
        <w:pStyle w:val="BodyText"/>
      </w:pPr>
      <w:r>
        <w:t xml:space="preserve">The goal of this work is (1) to demonstrate the stability of a feedback ABAC configuration for WWTP operators and (2) to explore simple, data-driven methods of forecasting ammonia to </w:t>
      </w:r>
      <w:r>
        <w:lastRenderedPageBreak/>
        <w:t>overcome the lag associated with conventional</w:t>
      </w:r>
      <w:r>
        <w:t xml:space="preserve"> feedback control to improve accuracy and reduce mechanical wear of aeration systems. Four different cascade control aeration configurations are tested and compared from a medium-sized WWTP to identify the most robust aeration control to balance treatment </w:t>
      </w:r>
      <w:r>
        <w:t>of ammonia with energy consumption. The manuscript is organized as follows: (1) an introduction to control systems in WWTP, (2) summary of methods for quantifying variation in multivariate systems, (3) summary of staistical and machine learning methods use</w:t>
      </w:r>
      <w:r>
        <w:t>d to build the ammonia forecasting models, and (4) an assessment of how forecasting models can improve conventional control in WWTP.</w:t>
      </w:r>
    </w:p>
    <w:p w:rsidR="00210D2D" w:rsidRDefault="00DC6014">
      <w:pPr>
        <w:pStyle w:val="Heading2"/>
      </w:pPr>
      <w:bookmarkStart w:id="3" w:name="control-in-wastewater-treatment"/>
      <w:bookmarkStart w:id="4" w:name="_Toc23963606"/>
      <w:r>
        <w:t>Control in wastewater treatment</w:t>
      </w:r>
      <w:bookmarkEnd w:id="3"/>
      <w:bookmarkEnd w:id="4"/>
    </w:p>
    <w:p w:rsidR="00210D2D" w:rsidRDefault="00DC6014">
      <w:pPr>
        <w:pStyle w:val="FirstParagraph"/>
      </w:pPr>
      <w:r>
        <w:t>WWTP are similar to other industrial processes in that select monitored system parameters n</w:t>
      </w:r>
      <w:r>
        <w:t>eed to be within a set range for the system to operate properly. Unlike many industrial processes, municipal WWTP have little control over the quantity and quality of the inputs to their system but are required by law to maintain a certain quality of the o</w:t>
      </w:r>
      <w:r>
        <w:t>utput. Due to the wide variation, manual adjustments of an open-loop control system (i.e., constant control output regardless of system conditions) cannot constantly achieve the level of treatment needed; frequently under-treating during peak flows and pot</w:t>
      </w:r>
      <w:r>
        <w:t>entially exceeding regulated quality limits, and over-treating during low flows which wastes energy and other material inputs. Therefore, a flexible and responsive control system is required to maintain effluent water quality while minimizing energy and ch</w:t>
      </w:r>
      <w:r>
        <w:t>emical input.</w:t>
      </w:r>
    </w:p>
    <w:p w:rsidR="00210D2D" w:rsidRDefault="00DC6014">
      <w:pPr>
        <w:pStyle w:val="BodyText"/>
      </w:pPr>
      <w:r>
        <w:t>The most common control structure is feedback control in industrial automation. Feedback control determines a control action from a process measurement within the system (i.e., closed-loop control), and is able to automatically respond to sys</w:t>
      </w:r>
      <w:r>
        <w:t xml:space="preserve">tem disturbances without specific knowledge of how the control and response parameters are related. The Proprotional-Integral-Derivative (PID) controller is the most common feedback controller due to its simplicity and robustness to respond to a deviation </w:t>
      </w:r>
      <w:r>
        <w:t xml:space="preserve">from desired conditions (i.e., error </w:t>
      </w:r>
      <m:oMath>
        <m:r>
          <w:rPr>
            <w:rFonts w:ascii="Cambria Math" w:hAnsi="Cambria Math"/>
          </w:rPr>
          <m:t>e</m:t>
        </m:r>
        <m:r>
          <w:rPr>
            <w:rFonts w:ascii="Cambria Math" w:hAnsi="Cambria Math"/>
          </w:rPr>
          <m:t>(</m:t>
        </m:r>
        <m:r>
          <w:rPr>
            <w:rFonts w:ascii="Cambria Math" w:hAnsi="Cambria Math"/>
          </w:rPr>
          <m:t>t</m:t>
        </m:r>
        <m:r>
          <w:rPr>
            <w:rFonts w:ascii="Cambria Math" w:hAnsi="Cambria Math"/>
          </w:rPr>
          <m:t>)</m:t>
        </m:r>
      </m:oMath>
      <w:r>
        <w:t>). A PID control action is the sum of: a proportional term (</w:t>
      </w:r>
      <m:oMath>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rPr>
          <m:t>e</m:t>
        </m:r>
        <m:r>
          <w:rPr>
            <w:rFonts w:ascii="Cambria Math" w:hAnsi="Cambria Math"/>
          </w:rPr>
          <m:t>(</m:t>
        </m:r>
        <m:r>
          <w:rPr>
            <w:rFonts w:ascii="Cambria Math" w:hAnsi="Cambria Math"/>
          </w:rPr>
          <m:t>t</m:t>
        </m:r>
        <m:r>
          <w:rPr>
            <w:rFonts w:ascii="Cambria Math" w:hAnsi="Cambria Math"/>
          </w:rPr>
          <m:t>))</m:t>
        </m:r>
      </m:oMath>
      <w:r>
        <w:t xml:space="preserve">) where </w:t>
      </w:r>
      <m:oMath>
        <m:sSub>
          <m:sSubPr>
            <m:ctrlPr>
              <w:rPr>
                <w:rFonts w:ascii="Cambria Math" w:hAnsi="Cambria Math"/>
              </w:rPr>
            </m:ctrlPr>
          </m:sSubPr>
          <m:e>
            <m:r>
              <w:rPr>
                <w:rFonts w:ascii="Cambria Math" w:hAnsi="Cambria Math"/>
              </w:rPr>
              <m:t>K</m:t>
            </m:r>
          </m:e>
          <m:sub>
            <m:r>
              <w:rPr>
                <w:rFonts w:ascii="Cambria Math" w:hAnsi="Cambria Math"/>
              </w:rPr>
              <m:t>p</m:t>
            </m:r>
          </m:sub>
        </m:sSub>
      </m:oMath>
      <w:r>
        <w:t xml:space="preserve"> is a constant value; a integral term (</w:t>
      </w:r>
      <m:oMath>
        <m:sSub>
          <m:sSubPr>
            <m:ctrlPr>
              <w:rPr>
                <w:rFonts w:ascii="Cambria Math" w:hAnsi="Cambria Math"/>
              </w:rPr>
            </m:ctrlPr>
          </m:sSubPr>
          <m:e>
            <m:r>
              <w:rPr>
                <w:rFonts w:ascii="Cambria Math" w:hAnsi="Cambria Math"/>
              </w:rPr>
              <m:t>K</m:t>
            </m:r>
          </m:e>
          <m:sub>
            <m:r>
              <w:rPr>
                <w:rFonts w:ascii="Cambria Math" w:hAnsi="Cambria Math"/>
              </w:rPr>
              <m:t>i</m:t>
            </m:r>
          </m:sub>
        </m:sSub>
        <m:nary>
          <m:naryPr>
            <m:limLoc m:val="subSup"/>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e</m:t>
            </m:r>
          </m:e>
        </m:nary>
        <m:r>
          <w:rPr>
            <w:rFonts w:ascii="Cambria Math" w:hAnsi="Cambria Math"/>
          </w:rPr>
          <m:t>(</m:t>
        </m:r>
        <m:r>
          <w:rPr>
            <w:rFonts w:ascii="Cambria Math" w:hAnsi="Cambria Math"/>
          </w:rPr>
          <m:t>τ</m:t>
        </m:r>
        <m:r>
          <w:rPr>
            <w:rFonts w:ascii="Cambria Math" w:hAnsi="Cambria Math"/>
          </w:rPr>
          <m:t>)</m:t>
        </m:r>
        <m:r>
          <w:rPr>
            <w:rFonts w:ascii="Cambria Math" w:hAnsi="Cambria Math"/>
          </w:rPr>
          <m:t>dτ</m:t>
        </m:r>
      </m:oMath>
      <w:r>
        <w:t>) and incorporates past control error with the integral function; and a d</w:t>
      </w:r>
      <w:r>
        <w:t>erivative term (</w:t>
      </w:r>
      <m:oMath>
        <m:sSub>
          <m:sSubPr>
            <m:ctrlPr>
              <w:rPr>
                <w:rFonts w:ascii="Cambria Math" w:hAnsi="Cambria Math"/>
              </w:rPr>
            </m:ctrlPr>
          </m:sSubPr>
          <m:e>
            <m:r>
              <w:rPr>
                <w:rFonts w:ascii="Cambria Math" w:hAnsi="Cambria Math"/>
              </w:rPr>
              <m:t>K</m:t>
            </m:r>
          </m:e>
          <m:sub>
            <m:r>
              <w:rPr>
                <w:rFonts w:ascii="Cambria Math" w:hAnsi="Cambria Math"/>
              </w:rPr>
              <m:t>d</m:t>
            </m:r>
          </m:sub>
        </m:sSub>
        <m:f>
          <m:fPr>
            <m:ctrlPr>
              <w:rPr>
                <w:rFonts w:ascii="Cambria Math" w:hAnsi="Cambria Math"/>
              </w:rPr>
            </m:ctrlPr>
          </m:fPr>
          <m:num>
            <m:r>
              <w:rPr>
                <w:rFonts w:ascii="Cambria Math" w:hAnsi="Cambria Math"/>
              </w:rPr>
              <m:t>de</m:t>
            </m:r>
            <m:r>
              <w:rPr>
                <w:rFonts w:ascii="Cambria Math" w:hAnsi="Cambria Math"/>
              </w:rPr>
              <m:t>(</m:t>
            </m:r>
            <m:r>
              <w:rPr>
                <w:rFonts w:ascii="Cambria Math" w:hAnsi="Cambria Math"/>
              </w:rPr>
              <m:t>t</m:t>
            </m:r>
            <m:r>
              <w:rPr>
                <w:rFonts w:ascii="Cambria Math" w:hAnsi="Cambria Math"/>
              </w:rPr>
              <m:t>)</m:t>
            </m:r>
          </m:num>
          <m:den>
            <m:r>
              <w:rPr>
                <w:rFonts w:ascii="Cambria Math" w:hAnsi="Cambria Math"/>
              </w:rPr>
              <m:t>dt</m:t>
            </m:r>
          </m:den>
        </m:f>
      </m:oMath>
      <w:r>
        <w:t>) which anticipates future error with the derivative function. In the wastewater treatment industry, the derivative term is frequently set to 0 (i.e., PI control) due to the amplification of noise in the measured variable (V</w:t>
      </w:r>
      <w:r>
        <w:t>isioli 2006).</w:t>
      </w:r>
    </w:p>
    <w:p w:rsidR="00210D2D" w:rsidRDefault="00DC6014">
      <w:pPr>
        <w:pStyle w:val="BodyText"/>
      </w:pPr>
      <w:r>
        <w:t>A single PID control loop can address straightforward problems, such as adjusting the speed of a blower or pump relative to a sensor measurement. To address more complex, nonlinear problems, multiple PID control loops can be combined in serie</w:t>
      </w:r>
      <w:r>
        <w:t>s to form a cascade control structure(Brosilow and Joseph 2002). In the case of ABAC, an ammonia sensor and setpoint define the outer/master control loop while inner/slave control loops define control variables such as DO, air blower flow, air blower speed</w:t>
      </w:r>
      <w:r>
        <w:t xml:space="preserve">, etc. In controller design, actuator and sensor dynamics and wear-and-tear are frequently ignored (Visioli 2006). For aeration at WWTP, this leads to a delay between a change in demand and the aeration provided, and excessive ramping of the air blower as </w:t>
      </w:r>
      <w:r>
        <w:t>a result of the delay.</w:t>
      </w:r>
    </w:p>
    <w:p w:rsidR="00210D2D" w:rsidRDefault="00DC6014">
      <w:pPr>
        <w:pStyle w:val="BodyText"/>
      </w:pPr>
      <w:r>
        <w:rPr>
          <w:rStyle w:val="Notes0"/>
        </w:rPr>
        <w:t>What other topics need to be covered in th</w:t>
      </w:r>
      <w:bookmarkStart w:id="5" w:name="_GoBack"/>
      <w:bookmarkEnd w:id="5"/>
      <w:r>
        <w:rPr>
          <w:rStyle w:val="Notes0"/>
        </w:rPr>
        <w:t>e introduction?</w:t>
      </w:r>
    </w:p>
    <w:p w:rsidR="00210D2D" w:rsidRDefault="00DC6014">
      <w:pPr>
        <w:pStyle w:val="Heading1"/>
      </w:pPr>
      <w:bookmarkStart w:id="6" w:name="methods-and-materials"/>
      <w:bookmarkStart w:id="7" w:name="_Toc23963607"/>
      <w:r>
        <w:lastRenderedPageBreak/>
        <w:t>Methods and Materials</w:t>
      </w:r>
      <w:bookmarkEnd w:id="6"/>
      <w:bookmarkEnd w:id="7"/>
    </w:p>
    <w:p w:rsidR="00210D2D" w:rsidRDefault="00DC6014">
      <w:pPr>
        <w:pStyle w:val="Heading2"/>
      </w:pPr>
      <w:bookmarkStart w:id="8" w:name="boulder-water-resource-recovery-facility"/>
      <w:bookmarkStart w:id="9" w:name="_Toc23963608"/>
      <w:r>
        <w:t>Boulder Water Resource Recovery Facility</w:t>
      </w:r>
      <w:bookmarkEnd w:id="8"/>
      <w:bookmarkEnd w:id="9"/>
    </w:p>
    <w:p w:rsidR="00210D2D" w:rsidRDefault="00DC6014">
      <w:pPr>
        <w:pStyle w:val="FirstParagraph"/>
      </w:pPr>
      <w:r>
        <w:t>The Boulder Water Resource Recovery Facility (BWRRF, Boulder, Colorado, USA) is a 25 million gallon per day (MGD</w:t>
      </w:r>
      <w:r>
        <w:t>) municipal WWTP, currently operating a Four-Stage Bardenpho process at an average of 12 MGD. Given the high altitude of the facility and low daily ammonia limits (&gt;1.9 mg/L NH</w:t>
      </w:r>
      <w:r>
        <w:rPr>
          <w:vertAlign w:val="subscript"/>
        </w:rPr>
        <w:t>4</w:t>
      </w:r>
      <w:r>
        <w:t xml:space="preserve"> as N), oxygen transfer efficiency is relatively low and results in high aerati</w:t>
      </w:r>
      <w:r>
        <w:t xml:space="preserve">on demand (Burger et al. 2019). The current DO control configuration frequently over-aerates causing conditions that inhibit full nitrogen removal (i.e., denitrification in downstream anoxic zones). Consequently, aeration accounts for 35 to 50% of BWRRF’s </w:t>
      </w:r>
      <w:r>
        <w:t>energy consumption. There are multiple aeration control methods programmed into BWRRF’s supervisory control and data aquisition (SCADA) system, all of which rely on cascade control: airflow, DO, and ABAC (Table 1). Airflow produces a constant volume of air</w:t>
      </w:r>
      <w:r>
        <w:t xml:space="preserve"> by adjusting valves at the inlet of the aeration basin, regardless of the air demand; DO adjusts the volume of air to acheive a DO setpoint; and ABAC adjusts DO setpoints to acheive an ammonia setpoint (Figure 1). The process variables included in the con</w:t>
      </w:r>
      <w:r>
        <w:t>trol logic (</w:t>
      </w:r>
      <m:oMath>
        <m:r>
          <w:rPr>
            <w:rFonts w:ascii="Cambria Math" w:hAnsi="Cambria Math"/>
          </w:rPr>
          <m:t>y</m:t>
        </m:r>
      </m:oMath>
      <w:r>
        <w:t>), stability analysis, and forecasting model are located in one of BWRRF’s three aeration basins (Figure 2).</w:t>
      </w:r>
    </w:p>
    <w:p w:rsidR="00210D2D" w:rsidRDefault="00DC6014">
      <w:pPr>
        <w:pStyle w:val="BodyText"/>
      </w:pPr>
      <w:r>
        <w:rPr>
          <w:rStyle w:val="Figure-Label"/>
        </w:rPr>
        <w:t>Table 1. Control configurations tested vary by which is the “control” variable (i.e., outer/master loop in cascade control), the mast</w:t>
      </w:r>
      <w:r>
        <w:rPr>
          <w:rStyle w:val="Figure-Label"/>
        </w:rPr>
        <w:t>er setpoint for the control variable, and the delay term for the master PID loop</w:t>
      </w:r>
    </w:p>
    <w:tbl>
      <w:tblPr>
        <w:tblStyle w:val="Table"/>
        <w:tblW w:w="0" w:type="pct"/>
        <w:tblLook w:val="07E0" w:firstRow="1" w:lastRow="1" w:firstColumn="1" w:lastColumn="1" w:noHBand="1" w:noVBand="1"/>
      </w:tblPr>
      <w:tblGrid>
        <w:gridCol w:w="950"/>
        <w:gridCol w:w="1836"/>
        <w:gridCol w:w="1756"/>
        <w:gridCol w:w="1183"/>
      </w:tblGrid>
      <w:tr w:rsidR="00210D2D">
        <w:tc>
          <w:tcPr>
            <w:tcW w:w="0" w:type="auto"/>
            <w:tcBorders>
              <w:bottom w:val="single" w:sz="0" w:space="0" w:color="auto"/>
            </w:tcBorders>
            <w:vAlign w:val="bottom"/>
          </w:tcPr>
          <w:p w:rsidR="00210D2D" w:rsidRDefault="00210D2D"/>
        </w:tc>
        <w:tc>
          <w:tcPr>
            <w:tcW w:w="0" w:type="auto"/>
            <w:tcBorders>
              <w:bottom w:val="single" w:sz="0" w:space="0" w:color="auto"/>
            </w:tcBorders>
            <w:vAlign w:val="bottom"/>
          </w:tcPr>
          <w:p w:rsidR="00210D2D" w:rsidRDefault="00DC6014">
            <w:pPr>
              <w:pStyle w:val="Compact"/>
              <w:jc w:val="left"/>
            </w:pPr>
            <w:r>
              <w:t>Control Variable</w:t>
            </w:r>
          </w:p>
        </w:tc>
        <w:tc>
          <w:tcPr>
            <w:tcW w:w="0" w:type="auto"/>
            <w:tcBorders>
              <w:bottom w:val="single" w:sz="0" w:space="0" w:color="auto"/>
            </w:tcBorders>
            <w:vAlign w:val="bottom"/>
          </w:tcPr>
          <w:p w:rsidR="00210D2D" w:rsidRDefault="00DC6014">
            <w:pPr>
              <w:pStyle w:val="Compact"/>
              <w:jc w:val="right"/>
            </w:pPr>
            <w:r>
              <w:t>Setpoint (mg/L)</w:t>
            </w:r>
          </w:p>
        </w:tc>
        <w:tc>
          <w:tcPr>
            <w:tcW w:w="0" w:type="auto"/>
            <w:tcBorders>
              <w:bottom w:val="single" w:sz="0" w:space="0" w:color="auto"/>
            </w:tcBorders>
            <w:vAlign w:val="bottom"/>
          </w:tcPr>
          <w:p w:rsidR="00210D2D" w:rsidRDefault="00DC6014">
            <w:pPr>
              <w:pStyle w:val="Compact"/>
              <w:jc w:val="right"/>
            </w:pPr>
            <w:r>
              <w:t>PID delay</w:t>
            </w:r>
          </w:p>
        </w:tc>
      </w:tr>
      <w:tr w:rsidR="00210D2D">
        <w:tc>
          <w:tcPr>
            <w:tcW w:w="0" w:type="auto"/>
          </w:tcPr>
          <w:p w:rsidR="00210D2D" w:rsidRDefault="00DC6014">
            <w:pPr>
              <w:pStyle w:val="Compact"/>
              <w:jc w:val="left"/>
            </w:pPr>
            <w:r>
              <w:t>Control</w:t>
            </w:r>
          </w:p>
        </w:tc>
        <w:tc>
          <w:tcPr>
            <w:tcW w:w="0" w:type="auto"/>
          </w:tcPr>
          <w:p w:rsidR="00210D2D" w:rsidRDefault="00DC6014">
            <w:pPr>
              <w:pStyle w:val="Compact"/>
              <w:jc w:val="left"/>
            </w:pPr>
            <w:r>
              <w:t>DO</w:t>
            </w:r>
          </w:p>
        </w:tc>
        <w:tc>
          <w:tcPr>
            <w:tcW w:w="0" w:type="auto"/>
          </w:tcPr>
          <w:p w:rsidR="00210D2D" w:rsidRDefault="00DC6014">
            <w:pPr>
              <w:pStyle w:val="Compact"/>
              <w:jc w:val="right"/>
            </w:pPr>
            <w:r>
              <w:t>2.5</w:t>
            </w:r>
          </w:p>
        </w:tc>
        <w:tc>
          <w:tcPr>
            <w:tcW w:w="0" w:type="auto"/>
          </w:tcPr>
          <w:p w:rsidR="00210D2D" w:rsidRDefault="00DC6014">
            <w:pPr>
              <w:pStyle w:val="Compact"/>
              <w:jc w:val="right"/>
            </w:pPr>
            <w:r>
              <w:t>90</w:t>
            </w:r>
          </w:p>
        </w:tc>
      </w:tr>
      <w:tr w:rsidR="00210D2D">
        <w:tc>
          <w:tcPr>
            <w:tcW w:w="0" w:type="auto"/>
          </w:tcPr>
          <w:p w:rsidR="00210D2D" w:rsidRDefault="00DC6014">
            <w:pPr>
              <w:pStyle w:val="Compact"/>
              <w:jc w:val="left"/>
            </w:pPr>
            <w:r>
              <w:t>Test 1</w:t>
            </w:r>
          </w:p>
        </w:tc>
        <w:tc>
          <w:tcPr>
            <w:tcW w:w="0" w:type="auto"/>
          </w:tcPr>
          <w:p w:rsidR="00210D2D" w:rsidRDefault="00DC6014">
            <w:pPr>
              <w:pStyle w:val="Compact"/>
              <w:jc w:val="left"/>
            </w:pPr>
            <w:r>
              <w:t>Ammonia</w:t>
            </w:r>
          </w:p>
        </w:tc>
        <w:tc>
          <w:tcPr>
            <w:tcW w:w="0" w:type="auto"/>
          </w:tcPr>
          <w:p w:rsidR="00210D2D" w:rsidRDefault="00DC6014">
            <w:pPr>
              <w:pStyle w:val="Compact"/>
              <w:jc w:val="right"/>
            </w:pPr>
            <w:r>
              <w:t>3.5</w:t>
            </w:r>
          </w:p>
        </w:tc>
        <w:tc>
          <w:tcPr>
            <w:tcW w:w="0" w:type="auto"/>
          </w:tcPr>
          <w:p w:rsidR="00210D2D" w:rsidRDefault="00DC6014">
            <w:pPr>
              <w:pStyle w:val="Compact"/>
              <w:jc w:val="right"/>
            </w:pPr>
            <w:r>
              <w:t>90</w:t>
            </w:r>
          </w:p>
        </w:tc>
      </w:tr>
      <w:tr w:rsidR="00210D2D">
        <w:tc>
          <w:tcPr>
            <w:tcW w:w="0" w:type="auto"/>
          </w:tcPr>
          <w:p w:rsidR="00210D2D" w:rsidRDefault="00DC6014">
            <w:pPr>
              <w:pStyle w:val="Compact"/>
              <w:jc w:val="left"/>
            </w:pPr>
            <w:r>
              <w:t>Test 2</w:t>
            </w:r>
          </w:p>
        </w:tc>
        <w:tc>
          <w:tcPr>
            <w:tcW w:w="0" w:type="auto"/>
          </w:tcPr>
          <w:p w:rsidR="00210D2D" w:rsidRDefault="00DC6014">
            <w:pPr>
              <w:pStyle w:val="Compact"/>
              <w:jc w:val="left"/>
            </w:pPr>
            <w:r>
              <w:t>Ammonia</w:t>
            </w:r>
          </w:p>
        </w:tc>
        <w:tc>
          <w:tcPr>
            <w:tcW w:w="0" w:type="auto"/>
          </w:tcPr>
          <w:p w:rsidR="00210D2D" w:rsidRDefault="00DC6014">
            <w:pPr>
              <w:pStyle w:val="Compact"/>
              <w:jc w:val="right"/>
            </w:pPr>
            <w:r>
              <w:t>4.0</w:t>
            </w:r>
          </w:p>
        </w:tc>
        <w:tc>
          <w:tcPr>
            <w:tcW w:w="0" w:type="auto"/>
          </w:tcPr>
          <w:p w:rsidR="00210D2D" w:rsidRDefault="00DC6014">
            <w:pPr>
              <w:pStyle w:val="Compact"/>
              <w:jc w:val="right"/>
            </w:pPr>
            <w:r>
              <w:t>90</w:t>
            </w:r>
          </w:p>
        </w:tc>
      </w:tr>
      <w:tr w:rsidR="00210D2D">
        <w:tc>
          <w:tcPr>
            <w:tcW w:w="0" w:type="auto"/>
          </w:tcPr>
          <w:p w:rsidR="00210D2D" w:rsidRDefault="00DC6014">
            <w:pPr>
              <w:pStyle w:val="Compact"/>
              <w:jc w:val="left"/>
            </w:pPr>
            <w:r>
              <w:t>Test 3</w:t>
            </w:r>
          </w:p>
        </w:tc>
        <w:tc>
          <w:tcPr>
            <w:tcW w:w="0" w:type="auto"/>
          </w:tcPr>
          <w:p w:rsidR="00210D2D" w:rsidRDefault="00DC6014">
            <w:pPr>
              <w:pStyle w:val="Compact"/>
              <w:jc w:val="left"/>
            </w:pPr>
            <w:r>
              <w:t>Ammonia</w:t>
            </w:r>
          </w:p>
        </w:tc>
        <w:tc>
          <w:tcPr>
            <w:tcW w:w="0" w:type="auto"/>
          </w:tcPr>
          <w:p w:rsidR="00210D2D" w:rsidRDefault="00DC6014">
            <w:pPr>
              <w:pStyle w:val="Compact"/>
              <w:jc w:val="right"/>
            </w:pPr>
            <w:r>
              <w:t>4.0</w:t>
            </w:r>
          </w:p>
        </w:tc>
        <w:tc>
          <w:tcPr>
            <w:tcW w:w="0" w:type="auto"/>
          </w:tcPr>
          <w:p w:rsidR="00210D2D" w:rsidRDefault="00DC6014">
            <w:pPr>
              <w:pStyle w:val="Compact"/>
              <w:jc w:val="right"/>
            </w:pPr>
            <w:r>
              <w:t>300</w:t>
            </w:r>
          </w:p>
        </w:tc>
      </w:tr>
    </w:tbl>
    <w:p w:rsidR="00210D2D" w:rsidRDefault="00DC6014">
      <w:pPr>
        <w:pStyle w:val="Compact"/>
      </w:pPr>
      <w:r>
        <w:drawing>
          <wp:inline distT="0" distB="0" distL="0" distR="0">
            <wp:extent cx="5943600" cy="83487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cascade-control-loop.png"/>
                    <pic:cNvPicPr>
                      <a:picLocks noChangeAspect="1" noChangeArrowheads="1"/>
                    </pic:cNvPicPr>
                  </pic:nvPicPr>
                  <pic:blipFill>
                    <a:blip r:embed="rId7"/>
                    <a:stretch>
                      <a:fillRect/>
                    </a:stretch>
                  </pic:blipFill>
                  <pic:spPr bwMode="auto">
                    <a:xfrm>
                      <a:off x="0" y="0"/>
                      <a:ext cx="5943600" cy="834876"/>
                    </a:xfrm>
                    <a:prstGeom prst="rect">
                      <a:avLst/>
                    </a:prstGeom>
                    <a:noFill/>
                    <a:ln w="9525">
                      <a:noFill/>
                      <a:headEnd/>
                      <a:tailEnd/>
                    </a:ln>
                  </pic:spPr>
                </pic:pic>
              </a:graphicData>
            </a:graphic>
          </wp:inline>
        </w:drawing>
      </w:r>
    </w:p>
    <w:p w:rsidR="00210D2D" w:rsidRDefault="00DC6014">
      <w:pPr>
        <w:pStyle w:val="BodyText"/>
      </w:pPr>
      <w:r>
        <w:rPr>
          <w:rStyle w:val="Figure-Label"/>
        </w:rPr>
        <w:t xml:space="preserve">Figure 1. Cascade control logic for ABAC at BWRRF. The reference signal </w:t>
      </w:r>
      <m:oMath>
        <m:r>
          <w:rPr>
            <w:rFonts w:ascii="Cambria Math" w:hAnsi="Cambria Math"/>
          </w:rPr>
          <m:t>r</m:t>
        </m:r>
      </m:oMath>
      <w:r>
        <w:rPr>
          <w:rStyle w:val="Figure-Label"/>
        </w:rPr>
        <w:t xml:space="preserve"> is the ammonia setpoint. The difference between </w:t>
      </w:r>
      <m:oMath>
        <m:r>
          <w:rPr>
            <w:rFonts w:ascii="Cambria Math" w:hAnsi="Cambria Math"/>
          </w:rPr>
          <m:t>r</m:t>
        </m:r>
      </m:oMath>
      <w:r>
        <w:rPr>
          <w:rStyle w:val="Figure-Label"/>
        </w:rPr>
        <w:t xml:space="preserve"> and the actual ammonia measurement </w:t>
      </w:r>
      <m:oMath>
        <m:sSub>
          <m:sSubPr>
            <m:ctrlPr>
              <w:rPr>
                <w:rFonts w:ascii="Cambria Math" w:hAnsi="Cambria Math"/>
              </w:rPr>
            </m:ctrlPr>
          </m:sSubPr>
          <m:e>
            <m:r>
              <w:rPr>
                <w:rFonts w:ascii="Cambria Math" w:hAnsi="Cambria Math"/>
              </w:rPr>
              <m:t>y</m:t>
            </m:r>
          </m:e>
          <m:sub>
            <m:r>
              <w:rPr>
                <w:rFonts w:ascii="Cambria Math" w:hAnsi="Cambria Math"/>
              </w:rPr>
              <m:t>N</m:t>
            </m:r>
            <m:sSub>
              <m:sSubPr>
                <m:ctrlPr>
                  <w:rPr>
                    <w:rFonts w:ascii="Cambria Math" w:hAnsi="Cambria Math"/>
                  </w:rPr>
                </m:ctrlPr>
              </m:sSubPr>
              <m:e>
                <m:r>
                  <w:rPr>
                    <w:rFonts w:ascii="Cambria Math" w:hAnsi="Cambria Math"/>
                  </w:rPr>
                  <m:t>H</m:t>
                </m:r>
              </m:e>
              <m:sub>
                <m:r>
                  <w:rPr>
                    <w:rFonts w:ascii="Cambria Math" w:hAnsi="Cambria Math"/>
                  </w:rPr>
                  <m:t>4</m:t>
                </m:r>
              </m:sub>
            </m:sSub>
          </m:sub>
        </m:sSub>
      </m:oMath>
      <w:r>
        <w:rPr>
          <w:rStyle w:val="Figure-Label"/>
        </w:rPr>
        <w:t xml:space="preserve"> is input to the ammonia PID controller </w:t>
      </w:r>
      <m:oMath>
        <m:sSub>
          <m:sSubPr>
            <m:ctrlPr>
              <w:rPr>
                <w:rFonts w:ascii="Cambria Math" w:hAnsi="Cambria Math"/>
              </w:rPr>
            </m:ctrlPr>
          </m:sSubPr>
          <m:e>
            <m:r>
              <w:rPr>
                <w:rFonts w:ascii="Cambria Math" w:hAnsi="Cambria Math"/>
              </w:rPr>
              <m:t>C</m:t>
            </m:r>
          </m:e>
          <m:sub>
            <m:r>
              <w:rPr>
                <w:rFonts w:ascii="Cambria Math" w:hAnsi="Cambria Math"/>
              </w:rPr>
              <m:t>N</m:t>
            </m:r>
            <m:sSub>
              <m:sSubPr>
                <m:ctrlPr>
                  <w:rPr>
                    <w:rFonts w:ascii="Cambria Math" w:hAnsi="Cambria Math"/>
                  </w:rPr>
                </m:ctrlPr>
              </m:sSubPr>
              <m:e>
                <m:r>
                  <w:rPr>
                    <w:rFonts w:ascii="Cambria Math" w:hAnsi="Cambria Math"/>
                  </w:rPr>
                  <m:t>H</m:t>
                </m:r>
              </m:e>
              <m:sub>
                <m:r>
                  <w:rPr>
                    <w:rFonts w:ascii="Cambria Math" w:hAnsi="Cambria Math"/>
                  </w:rPr>
                  <m:t>4</m:t>
                </m:r>
              </m:sub>
            </m:sSub>
          </m:sub>
        </m:sSub>
      </m:oMath>
      <w:r>
        <w:rPr>
          <w:rStyle w:val="Figure-Label"/>
        </w:rPr>
        <w:t xml:space="preserve"> which adjusts the DO setpoint. The diffe</w:t>
      </w:r>
      <w:r>
        <w:rPr>
          <w:rStyle w:val="Figure-Label"/>
        </w:rPr>
        <w:t xml:space="preserve">rence between the DO setpoint and the DO measurement </w:t>
      </w:r>
      <m:oMath>
        <m:sSub>
          <m:sSubPr>
            <m:ctrlPr>
              <w:rPr>
                <w:rFonts w:ascii="Cambria Math" w:hAnsi="Cambria Math"/>
              </w:rPr>
            </m:ctrlPr>
          </m:sSubPr>
          <m:e>
            <m:r>
              <w:rPr>
                <w:rFonts w:ascii="Cambria Math" w:hAnsi="Cambria Math"/>
              </w:rPr>
              <m:t>y</m:t>
            </m:r>
          </m:e>
          <m:sub>
            <m:r>
              <w:rPr>
                <w:rFonts w:ascii="Cambria Math" w:hAnsi="Cambria Math"/>
              </w:rPr>
              <m:t>DO</m:t>
            </m:r>
          </m:sub>
        </m:sSub>
      </m:oMath>
      <w:r>
        <w:rPr>
          <w:rStyle w:val="Figure-Label"/>
        </w:rPr>
        <w:t xml:space="preserve"> is input to the DO PID controller </w:t>
      </w:r>
      <m:oMath>
        <m:sSub>
          <m:sSubPr>
            <m:ctrlPr>
              <w:rPr>
                <w:rFonts w:ascii="Cambria Math" w:hAnsi="Cambria Math"/>
              </w:rPr>
            </m:ctrlPr>
          </m:sSubPr>
          <m:e>
            <m:r>
              <w:rPr>
                <w:rFonts w:ascii="Cambria Math" w:hAnsi="Cambria Math"/>
              </w:rPr>
              <m:t>C</m:t>
            </m:r>
          </m:e>
          <m:sub>
            <m:r>
              <w:rPr>
                <w:rFonts w:ascii="Cambria Math" w:hAnsi="Cambria Math"/>
              </w:rPr>
              <m:t>DO</m:t>
            </m:r>
          </m:sub>
        </m:sSub>
      </m:oMath>
      <w:r>
        <w:rPr>
          <w:rStyle w:val="Figure-Label"/>
        </w:rPr>
        <w:t xml:space="preserve"> which adjusts the air flow setpoint. The same logic flows for the air flow controller </w:t>
      </w:r>
      <m:oMath>
        <m:sSub>
          <m:sSubPr>
            <m:ctrlPr>
              <w:rPr>
                <w:rFonts w:ascii="Cambria Math" w:hAnsi="Cambria Math"/>
              </w:rPr>
            </m:ctrlPr>
          </m:sSubPr>
          <m:e>
            <m:r>
              <w:rPr>
                <w:rFonts w:ascii="Cambria Math" w:hAnsi="Cambria Math"/>
              </w:rPr>
              <m:t>C</m:t>
            </m:r>
          </m:e>
          <m:sub>
            <m:r>
              <w:rPr>
                <w:rFonts w:ascii="Cambria Math" w:hAnsi="Cambria Math"/>
              </w:rPr>
              <m:t>flow</m:t>
            </m:r>
          </m:sub>
        </m:sSub>
      </m:oMath>
      <w:r>
        <w:rPr>
          <w:rStyle w:val="Figure-Label"/>
        </w:rPr>
        <w:t xml:space="preserve"> and air valve controller </w:t>
      </w:r>
      <m:oMath>
        <m:sSub>
          <m:sSubPr>
            <m:ctrlPr>
              <w:rPr>
                <w:rFonts w:ascii="Cambria Math" w:hAnsi="Cambria Math"/>
              </w:rPr>
            </m:ctrlPr>
          </m:sSubPr>
          <m:e>
            <m:r>
              <w:rPr>
                <w:rFonts w:ascii="Cambria Math" w:hAnsi="Cambria Math"/>
              </w:rPr>
              <m:t>C</m:t>
            </m:r>
          </m:e>
          <m:sub>
            <m:r>
              <w:rPr>
                <w:rFonts w:ascii="Cambria Math" w:hAnsi="Cambria Math"/>
              </w:rPr>
              <m:t>valve</m:t>
            </m:r>
          </m:sub>
        </m:sSub>
      </m:oMath>
      <w:r>
        <w:rPr>
          <w:rStyle w:val="Figure-Label"/>
        </w:rPr>
        <w:t>, which ultimately pr</w:t>
      </w:r>
      <w:r>
        <w:rPr>
          <w:rStyle w:val="Figure-Label"/>
        </w:rPr>
        <w:t xml:space="preserve">ovides a certain volume of air to the aeration basins. A disturbance </w:t>
      </w:r>
      <m:oMath>
        <m:r>
          <w:rPr>
            <w:rFonts w:ascii="Cambria Math" w:hAnsi="Cambria Math"/>
          </w:rPr>
          <m:t>d</m:t>
        </m:r>
      </m:oMath>
      <w:r>
        <w:rPr>
          <w:rStyle w:val="Figure-Label"/>
        </w:rPr>
        <w:t xml:space="preserve">, such as a change in water quality, will impact the processes </w:t>
      </w:r>
      <m:oMath>
        <m:r>
          <w:rPr>
            <w:rFonts w:ascii="Cambria Math" w:hAnsi="Cambria Math"/>
          </w:rPr>
          <m:t>P</m:t>
        </m:r>
      </m:oMath>
      <w:r>
        <w:rPr>
          <w:rStyle w:val="Figure-Label"/>
        </w:rPr>
        <w:t xml:space="preserve"> within the basin as measured by </w:t>
      </w:r>
      <m:oMath>
        <m:r>
          <w:rPr>
            <w:rFonts w:ascii="Cambria Math" w:hAnsi="Cambria Math"/>
          </w:rPr>
          <m:t>y</m:t>
        </m:r>
      </m:oMath>
      <w:r>
        <w:rPr>
          <w:rStyle w:val="Figure-Label"/>
        </w:rPr>
        <w:t xml:space="preserve">. The difference between the setpoints and </w:t>
      </w:r>
      <m:oMath>
        <m:r>
          <w:rPr>
            <w:rFonts w:ascii="Cambria Math" w:hAnsi="Cambria Math"/>
          </w:rPr>
          <m:t>y</m:t>
        </m:r>
      </m:oMath>
      <w:r>
        <w:rPr>
          <w:rStyle w:val="Figure-Label"/>
        </w:rPr>
        <w:t xml:space="preserve"> values will force the PID controllers t</w:t>
      </w:r>
      <w:r>
        <w:rPr>
          <w:rStyle w:val="Figure-Label"/>
        </w:rPr>
        <w:t>o continuously provide adjustments within their loop until all setpoints are met.</w:t>
      </w:r>
      <w:r>
        <w:t xml:space="preserve">  </w:t>
      </w:r>
    </w:p>
    <w:p w:rsidR="00210D2D" w:rsidRDefault="00DC6014">
      <w:pPr>
        <w:pStyle w:val="Compact"/>
      </w:pPr>
      <w:r>
        <w:lastRenderedPageBreak/>
        <w:drawing>
          <wp:inline distT="0" distB="0" distL="0" distR="0">
            <wp:extent cx="1882588" cy="283540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bwrrf-flow.png"/>
                    <pic:cNvPicPr>
                      <a:picLocks noChangeAspect="1" noChangeArrowheads="1"/>
                    </pic:cNvPicPr>
                  </pic:nvPicPr>
                  <pic:blipFill>
                    <a:blip r:embed="rId8"/>
                    <a:stretch>
                      <a:fillRect/>
                    </a:stretch>
                  </pic:blipFill>
                  <pic:spPr bwMode="auto">
                    <a:xfrm>
                      <a:off x="0" y="0"/>
                      <a:ext cx="1882588" cy="2835408"/>
                    </a:xfrm>
                    <a:prstGeom prst="rect">
                      <a:avLst/>
                    </a:prstGeom>
                    <a:noFill/>
                    <a:ln w="9525">
                      <a:noFill/>
                      <a:headEnd/>
                      <a:tailEnd/>
                    </a:ln>
                  </pic:spPr>
                </pic:pic>
              </a:graphicData>
            </a:graphic>
          </wp:inline>
        </w:drawing>
      </w:r>
    </w:p>
    <w:p w:rsidR="00210D2D" w:rsidRDefault="00DC6014">
      <w:pPr>
        <w:pStyle w:val="BodyText"/>
      </w:pPr>
      <w:r>
        <w:rPr>
          <w:rStyle w:val="Figure-Label"/>
        </w:rPr>
        <w:t>Figure 2. Flow, zone, and sensor diagram of one of the activated sludge aeration basins at the BWRRF. Orange arrows indicate the direction of flow through the basin. Zone</w:t>
      </w:r>
      <w:r>
        <w:rPr>
          <w:rStyle w:val="Figure-Label"/>
        </w:rPr>
        <w:t>s 4-8 are aerated and have individual DO sepoints for each zone. Red boxes indicate nitrate sensors, blue boxes indicate DO sensors used in DO control, and the purple box indicates the ammonia sensor used in ABAC control.</w:t>
      </w:r>
      <w:r>
        <w:t xml:space="preserve">  </w:t>
      </w:r>
    </w:p>
    <w:p w:rsidR="00210D2D" w:rsidRDefault="00DC6014">
      <w:pPr>
        <w:pStyle w:val="BodyText"/>
      </w:pPr>
      <w:r>
        <w:t>The DO concentrations in Zones 6</w:t>
      </w:r>
      <w:r>
        <w:t>, 7, 8, and 9 of the aeration basins were continuously monitored using Endress Hauser (Reinach, Switzerland) COS61D optical DO sensors. In these zones, blower flowrate and valve position are also monitored and recorded in SCADA. AmmoLyt® Plus 700 ion-selec</w:t>
      </w:r>
      <w:r>
        <w:t>tive ammonia sensors from YSI (Yellow Springs, OH) are located in the aeration basin influent channel and in all three aeration basins in Zone 7. Ion-selective nitrate/nitrite sensors from YSI are located in Zones 3 and 9 of each basin; and the effluent ch</w:t>
      </w:r>
      <w:r>
        <w:t>annel after the final polishing aeration basin has an AmTax and NitraTax online analyzer (HACH, Loveland, CO). Aeration basin influent flow rates, wastewater temperature, and pH of the plant influent were also monitored. Online sensors were regularly maint</w:t>
      </w:r>
      <w:r>
        <w:t>ained and calibrated by operations staff and readings periodically compared to laboratory results. Data are collected and managed in the GE Proficy® system. For analysis, data was exported in 5-minute intervals into Microsoft Excel and imported to the stat</w:t>
      </w:r>
      <w:r>
        <w:t xml:space="preserve">istical platform, </w:t>
      </w:r>
      <m:oMath>
        <m:r>
          <w:rPr>
            <w:rFonts w:ascii="Cambria Math" w:hAnsi="Cambria Math"/>
          </w:rPr>
          <m:t>R</m:t>
        </m:r>
      </m:oMath>
      <w:r>
        <w:t>, for analysis. Observations that were identified as “Bad” within the Proficy system (i.e., due to sensor calibration or during power loss) were not used. For QA/QC, all Proficy exports were kept in their native format.</w:t>
      </w:r>
    </w:p>
    <w:p w:rsidR="00210D2D" w:rsidRDefault="00DC6014">
      <w:pPr>
        <w:pStyle w:val="Heading2"/>
      </w:pPr>
      <w:bookmarkStart w:id="10" w:name="stability-assessment"/>
      <w:bookmarkStart w:id="11" w:name="_Toc23963609"/>
      <w:r>
        <w:t>Stability assess</w:t>
      </w:r>
      <w:r>
        <w:t>ment</w:t>
      </w:r>
      <w:bookmarkEnd w:id="10"/>
      <w:bookmarkEnd w:id="11"/>
    </w:p>
    <w:p w:rsidR="00210D2D" w:rsidRDefault="00DC6014">
      <w:pPr>
        <w:pStyle w:val="FirstParagraph"/>
      </w:pPr>
      <w:r>
        <w:t>The goal of the stability assessment is to provide WWTP operators with a quantative metric to decide between two control configurations on the basis of variability. To measure the stability of each operating configuration holistically, we investigated</w:t>
      </w:r>
      <w:r>
        <w:t xml:space="preserve"> two multivariate metrics of variance: Total Sample Variance (TSV) and Generalized Sample Variance (GSV). TSV is the trace of the variance-covariance matrix of </w:t>
      </w:r>
      <m:oMath>
        <m:r>
          <w:rPr>
            <w:rFonts w:ascii="Cambria Math" w:hAnsi="Cambria Math"/>
          </w:rPr>
          <m:t>p</m:t>
        </m:r>
      </m:oMath>
      <w:r>
        <w:t xml:space="preserve"> variables (</w:t>
      </w:r>
      <m:oMath>
        <m:r>
          <m:rPr>
            <m:nor/>
          </m:rPr>
          <m:t>trace</m:t>
        </m:r>
        <m:r>
          <w:rPr>
            <w:rFonts w:ascii="Cambria Math" w:hAnsi="Cambria Math"/>
          </w:rPr>
          <m:t>(</m:t>
        </m:r>
        <m:r>
          <w:rPr>
            <w:rFonts w:ascii="Cambria Math" w:hAnsi="Cambria Math"/>
          </w:rPr>
          <m:t>Σ</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oMath>
      <w:r>
        <w:t>) and does not account for correlation between proces</w:t>
      </w:r>
      <w:r>
        <w:t>s variances. GSV is the determinant of the variance-covariance matrix (</w:t>
      </w:r>
      <m:oMath>
        <m:r>
          <w:rPr>
            <w:rFonts w:ascii="Cambria Math" w:hAnsi="Cambria Math"/>
          </w:rPr>
          <m:t>|</m:t>
        </m:r>
        <m:r>
          <w:rPr>
            <w:rFonts w:ascii="Cambria Math" w:hAnsi="Cambria Math"/>
          </w:rPr>
          <m:t>Σ</m:t>
        </m:r>
        <m:r>
          <w:rPr>
            <w:rFonts w:ascii="Cambria Math" w:hAnsi="Cambria Math"/>
          </w:rPr>
          <m:t>|</m:t>
        </m:r>
      </m:oMath>
      <w:r>
        <w:t>) and will be small when there is a strong correlation between process variables.</w:t>
      </w:r>
    </w:p>
    <w:p w:rsidR="00210D2D" w:rsidRDefault="00DC6014">
      <w:pPr>
        <w:pStyle w:val="BodyText"/>
      </w:pPr>
      <w:r>
        <w:lastRenderedPageBreak/>
        <w:t>To compare TSV and GSV values from a pair of control configurations, the difference between and the</w:t>
      </w:r>
      <w:r>
        <w:t xml:space="preserve"> ratio of the values were calculated. The hypothesis tests used to determine if the difference in TSV or GSV are statistically significant are:</w:t>
      </w:r>
    </w:p>
    <w:p w:rsidR="00210D2D" w:rsidRDefault="00DC6014">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=0</m:t>
          </m:r>
          <m:r>
            <m:rPr>
              <m:nor/>
            </m:rPr>
            <m:t xml:space="preserve"> ;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≠0</m:t>
          </m:r>
        </m:oMath>
      </m:oMathPara>
    </w:p>
    <w:p w:rsidR="00210D2D" w:rsidRDefault="00DC6014">
      <w:pPr>
        <w:pStyle w:val="FirstParagraph"/>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=0</m:t>
          </m:r>
          <m:r>
            <m:rPr>
              <m:nor/>
            </m:rPr>
            <m:t xml:space="preserve"> ;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≠0</m:t>
          </m:r>
        </m:oMath>
      </m:oMathPara>
    </w:p>
    <w:p w:rsidR="00210D2D" w:rsidRDefault="00DC6014">
      <w:pPr>
        <w:pStyle w:val="FirstParagraph"/>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i</m:t>
              </m:r>
            </m:sub>
          </m:sSub>
          <m:r>
            <m:rPr>
              <m:nor/>
            </m:rPr>
            <m:t xml:space="preserve"> / </m:t>
          </m:r>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=1</m:t>
          </m:r>
          <m:r>
            <m:rPr>
              <m:nor/>
            </m:rPr>
            <m:t xml:space="preserve"> ;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≠1</m:t>
          </m:r>
        </m:oMath>
      </m:oMathPara>
    </w:p>
    <w:p w:rsidR="00210D2D" w:rsidRDefault="00DC6014">
      <w:pPr>
        <w:pStyle w:val="FirstParagraph"/>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i</m:t>
              </m:r>
            </m:sub>
          </m:sSub>
          <m:r>
            <m:rPr>
              <m:nor/>
            </m:rPr>
            <m:t xml:space="preserve"> /</m:t>
          </m:r>
          <m:r>
            <m:rPr>
              <m:nor/>
            </m:rPr>
            <m:t xml:space="preserve"> </m:t>
          </m:r>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=1</m:t>
          </m:r>
          <m:r>
            <m:rPr>
              <m:nor/>
            </m:rPr>
            <m:t xml:space="preserve"> ;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≠1</m:t>
          </m:r>
        </m:oMath>
      </m:oMathPara>
    </w:p>
    <w:p w:rsidR="00210D2D" w:rsidRDefault="00DC6014">
      <w:pPr>
        <w:pStyle w:val="Heading2"/>
      </w:pPr>
      <w:bookmarkStart w:id="12" w:name="ammonia-forecast"/>
      <w:bookmarkStart w:id="13" w:name="_Toc23963610"/>
      <w:r>
        <w:t>Ammonia forecast</w:t>
      </w:r>
      <w:bookmarkEnd w:id="12"/>
      <w:bookmarkEnd w:id="13"/>
    </w:p>
    <w:p w:rsidR="00210D2D" w:rsidRDefault="00DC6014">
      <w:pPr>
        <w:pStyle w:val="FirstParagraph"/>
      </w:pPr>
      <w:r>
        <w:t xml:space="preserve">To train and test the forecasting model, the data must be aligned to simulate real-time prediction. For a dataset with </w:t>
      </w:r>
      <w:r>
        <w:rPr>
          <w:i/>
        </w:rPr>
        <w:t>n</w:t>
      </w:r>
      <w:r>
        <w:t xml:space="preserve"> rows, observations </w:t>
      </w:r>
      <m:oMath>
        <m:r>
          <w:rPr>
            <w:rFonts w:ascii="Cambria Math" w:hAnsi="Cambria Math"/>
          </w:rPr>
          <m:t>1-(</m:t>
        </m:r>
        <m:r>
          <w:rPr>
            <w:rFonts w:ascii="Cambria Math" w:hAnsi="Cambria Math"/>
          </w:rPr>
          <m:t>n</m:t>
        </m:r>
        <m:r>
          <w:rPr>
            <w:rFonts w:ascii="Cambria Math" w:hAnsi="Cambria Math"/>
          </w:rPr>
          <m:t>-</m:t>
        </m:r>
        <m:r>
          <w:rPr>
            <w:rFonts w:ascii="Cambria Math" w:hAnsi="Cambria Math"/>
          </w:rPr>
          <m:t>Δn</m:t>
        </m:r>
      </m:oMath>
      <w:r>
        <w:t>) of all monitored process variables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oMath>
      <w:r>
        <w:t>) will be merged</w:t>
      </w:r>
      <w:r>
        <w:t xml:space="preserve"> with (</w:t>
      </w:r>
      <m:oMath>
        <m:r>
          <w:rPr>
            <w:rFonts w:ascii="Cambria Math" w:hAnsi="Cambria Math"/>
          </w:rPr>
          <m:t>Δn</m:t>
        </m:r>
        <m:r>
          <w:rPr>
            <w:rFonts w:ascii="Cambria Math" w:hAnsi="Cambria Math"/>
          </w:rPr>
          <m:t>+1)-</m:t>
        </m:r>
        <m:r>
          <w:rPr>
            <w:rFonts w:ascii="Cambria Math" w:hAnsi="Cambria Math"/>
          </w:rPr>
          <m:t>n</m:t>
        </m:r>
      </m:oMath>
      <w:r>
        <w:t xml:space="preserve"> observations of the forecasted variable to create a matrix with </w:t>
      </w:r>
      <m:oMath>
        <m:r>
          <w:rPr>
            <w:rFonts w:ascii="Cambria Math" w:hAnsi="Cambria Math"/>
          </w:rPr>
          <m:t>p</m:t>
        </m:r>
        <m:r>
          <w:rPr>
            <w:rFonts w:ascii="Cambria Math" w:hAnsi="Cambria Math"/>
          </w:rPr>
          <m:t>+1</m:t>
        </m:r>
      </m:oMath>
      <w:r>
        <w:t xml:space="preserve"> columns and </w:t>
      </w:r>
      <m:oMath>
        <m:r>
          <w:rPr>
            <w:rFonts w:ascii="Cambria Math" w:hAnsi="Cambria Math"/>
          </w:rPr>
          <m:t>n</m:t>
        </m:r>
        <m:r>
          <w:rPr>
            <w:rFonts w:ascii="Cambria Math" w:hAnsi="Cambria Math"/>
          </w:rPr>
          <m:t>-</m:t>
        </m:r>
        <m:r>
          <w:rPr>
            <w:rFonts w:ascii="Cambria Math" w:hAnsi="Cambria Math"/>
          </w:rPr>
          <m:t>Δn</m:t>
        </m:r>
      </m:oMath>
      <w:r>
        <w:t xml:space="preserve"> </w:t>
      </w:r>
      <w:r>
        <w:t>rows. Models are built using 1-6 days of process data and tested on the remaining days. Given the shortest dataset provided by BWRRF was 7.4 days, all datasets were shortened to only include 7.4 days of continuous, 5-minute level observations. The data com</w:t>
      </w:r>
      <w:r>
        <w:t xml:space="preserve">piled for the following analysis can be found in the </w:t>
      </w:r>
      <w:hyperlink w:anchor="timeseries">
        <w:r>
          <w:rPr>
            <w:rStyle w:val="Hyperlink"/>
          </w:rPr>
          <w:t>Appendix</w:t>
        </w:r>
      </w:hyperlink>
      <w:r>
        <w:t>. All data was scaled to zero mean and unit variance for each control configuration.</w:t>
      </w:r>
    </w:p>
    <w:p w:rsidR="00210D2D" w:rsidRDefault="00DC6014">
      <w:pPr>
        <w:pStyle w:val="BodyText"/>
      </w:pPr>
      <w:r>
        <w:t>To quantify model accuracy, root mean squared error (RMSE) and the coefficien</w:t>
      </w:r>
      <w:r>
        <w:t>t of determination (R</w:t>
      </w:r>
      <w:r>
        <w:rPr>
          <w:vertAlign w:val="superscript"/>
        </w:rPr>
        <w:t>2</w:t>
      </w:r>
      <w:r>
        <w:t>) are used. R</w:t>
      </w:r>
      <w:r>
        <w:rPr>
          <w:vertAlign w:val="superscript"/>
        </w:rPr>
        <w:t>2</w:t>
      </w:r>
      <w:r>
        <w:t xml:space="preserve"> is a measure of the linear correlation between the actual forecast and model forecast values for the training dataset. An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oMath>
      <w:r>
        <w:t xml:space="preserve"> is a perfect model fit, while an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m:t>
        </m:r>
      </m:oMath>
      <w:r>
        <w:t xml:space="preserve"> indicates no correlation. RMSE is a weighted measure</w:t>
      </w:r>
      <w:r>
        <w:t xml:space="preserve"> of average error and is used to compare model testing performance.</w:t>
      </w:r>
    </w:p>
    <w:p w:rsidR="00210D2D" w:rsidRDefault="00DC6014">
      <w:pPr>
        <w:pStyle w:val="Heading3"/>
      </w:pPr>
      <w:bookmarkStart w:id="14" w:name="diurnal-model"/>
      <w:bookmarkStart w:id="15" w:name="_Toc23963611"/>
      <w:r>
        <w:t>Diurnal model</w:t>
      </w:r>
      <w:bookmarkEnd w:id="14"/>
      <w:bookmarkEnd w:id="15"/>
    </w:p>
    <w:p w:rsidR="00210D2D" w:rsidRDefault="00DC6014">
      <w:pPr>
        <w:pStyle w:val="FirstParagraph"/>
      </w:pPr>
      <w:r>
        <w:t>The purpose of incorporating a diurnal component into a forecasting model is to capture the time-dependent component of the response variable, in this case ammonia. While the</w:t>
      </w:r>
      <w:r>
        <w:t xml:space="preserve"> daily trend of ammonia loading to a wastewater facility is acknowledged, it is rarely modeled Figure 3. The predictors in a diurnal model are various degrees (</w:t>
      </w:r>
      <w:r>
        <w:rPr>
          <w:i/>
        </w:rPr>
        <w:t>n</w:t>
      </w:r>
      <w:r>
        <w:t xml:space="preserve">) of sine and cosine functions where </w:t>
      </w:r>
      <w:r>
        <w:rPr>
          <w:i/>
        </w:rPr>
        <w:t>t</w:t>
      </w:r>
      <w:r>
        <w:t xml:space="preserve"> is the minute of the day from 0 - 2</w:t>
      </w:r>
      <m:oMath>
        <m:r>
          <w:rPr>
            <w:rFonts w:ascii="Cambria Math" w:hAnsi="Cambria Math"/>
          </w:rPr>
          <m:t>π</m:t>
        </m:r>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are fitt</w:t>
      </w:r>
      <w:r>
        <w:t>ed linear model parameters:</w:t>
      </w:r>
    </w:p>
    <w:p w:rsidR="00210D2D" w:rsidRDefault="00DC6014">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sin</m:t>
          </m:r>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cos</m:t>
          </m:r>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sin</m:t>
          </m:r>
          <m:r>
            <w:rPr>
              <w:rFonts w:ascii="Cambria Math" w:hAnsi="Cambria Math"/>
            </w:rPr>
            <m:t>(2⋅</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cos</m:t>
          </m:r>
          <m:r>
            <w:rPr>
              <w:rFonts w:ascii="Cambria Math" w:hAnsi="Cambria Math"/>
            </w:rPr>
            <m:t>(2⋅</m:t>
          </m:r>
          <m:r>
            <w:rPr>
              <w:rFonts w:ascii="Cambria Math" w:hAnsi="Cambria Math"/>
            </w:rPr>
            <m:t>t</m:t>
          </m:r>
          <m:r>
            <w:rPr>
              <w:rFonts w:ascii="Cambria Math" w:hAnsi="Cambria Math"/>
            </w:rPr>
            <m:t>)+</m:t>
          </m:r>
        </m:oMath>
      </m:oMathPara>
    </w:p>
    <w:p w:rsidR="00210D2D" w:rsidRDefault="00DC6014">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r>
                <w:rPr>
                  <w:rFonts w:ascii="Cambria Math" w:hAnsi="Cambria Math"/>
                </w:rPr>
                <m:t>n</m:t>
              </m:r>
              <m:r>
                <w:rPr>
                  <w:rFonts w:ascii="Cambria Math" w:hAnsi="Cambria Math"/>
                </w:rPr>
                <m:t>-</m:t>
              </m:r>
              <m:r>
                <w:rPr>
                  <w:rFonts w:ascii="Cambria Math" w:hAnsi="Cambria Math"/>
                </w:rPr>
                <m:t>1</m:t>
              </m:r>
            </m:sub>
          </m:sSub>
          <m:r>
            <w:rPr>
              <w:rFonts w:ascii="Cambria Math" w:hAnsi="Cambria Math"/>
            </w:rPr>
            <m:t>sin</m:t>
          </m:r>
          <m:r>
            <w:rPr>
              <w:rFonts w:ascii="Cambria Math" w:hAnsi="Cambria Math"/>
            </w:rPr>
            <m:t>(</m:t>
          </m:r>
          <m:r>
            <w:rPr>
              <w:rFonts w:ascii="Cambria Math" w:hAnsi="Cambria Math"/>
            </w:rPr>
            <m:t>n</m:t>
          </m:r>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r>
                <w:rPr>
                  <w:rFonts w:ascii="Cambria Math" w:hAnsi="Cambria Math"/>
                </w:rPr>
                <m:t>n</m:t>
              </m:r>
            </m:sub>
          </m:sSub>
          <m:r>
            <w:rPr>
              <w:rFonts w:ascii="Cambria Math" w:hAnsi="Cambria Math"/>
            </w:rPr>
            <m:t>cos</m:t>
          </m:r>
          <m:r>
            <w:rPr>
              <w:rFonts w:ascii="Cambria Math" w:hAnsi="Cambria Math"/>
            </w:rPr>
            <m:t>(</m:t>
          </m:r>
          <m:r>
            <w:rPr>
              <w:rFonts w:ascii="Cambria Math" w:hAnsi="Cambria Math"/>
            </w:rPr>
            <m:t>n</m:t>
          </m:r>
          <m:r>
            <w:rPr>
              <w:rFonts w:ascii="Cambria Math" w:hAnsi="Cambria Math"/>
            </w:rPr>
            <m:t>⋅</m:t>
          </m:r>
          <m:r>
            <w:rPr>
              <w:rFonts w:ascii="Cambria Math" w:hAnsi="Cambria Math"/>
            </w:rPr>
            <m:t>t</m:t>
          </m:r>
          <m:r>
            <w:rPr>
              <w:rFonts w:ascii="Cambria Math" w:hAnsi="Cambria Math"/>
            </w:rPr>
            <m:t>)</m:t>
          </m:r>
        </m:oMath>
      </m:oMathPara>
    </w:p>
    <w:p w:rsidR="00210D2D" w:rsidRDefault="00210D2D">
      <w:pPr>
        <w:pStyle w:val="FirstParagraph"/>
      </w:pPr>
    </w:p>
    <w:p w:rsidR="00210D2D" w:rsidRDefault="00DC6014">
      <w:pPr>
        <w:pStyle w:val="BodyText"/>
      </w:pPr>
      <w:r>
        <w:rPr>
          <w:noProof/>
        </w:rPr>
        <w:lastRenderedPageBreak/>
        <w:drawing>
          <wp:inline distT="0" distB="0" distL="0" distR="0">
            <wp:extent cx="5943600" cy="1828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Plot%20influent%20ammonia-1.png"/>
                    <pic:cNvPicPr>
                      <a:picLocks noChangeAspect="1" noChangeArrowheads="1"/>
                    </pic:cNvPicPr>
                  </pic:nvPicPr>
                  <pic:blipFill>
                    <a:blip r:embed="rId9"/>
                    <a:stretch>
                      <a:fillRect/>
                    </a:stretch>
                  </pic:blipFill>
                  <pic:spPr bwMode="auto">
                    <a:xfrm>
                      <a:off x="0" y="0"/>
                      <a:ext cx="5943600" cy="1828800"/>
                    </a:xfrm>
                    <a:prstGeom prst="rect">
                      <a:avLst/>
                    </a:prstGeom>
                    <a:noFill/>
                    <a:ln w="9525">
                      <a:noFill/>
                      <a:headEnd/>
                      <a:tailEnd/>
                    </a:ln>
                  </pic:spPr>
                </pic:pic>
              </a:graphicData>
            </a:graphic>
          </wp:inline>
        </w:drawing>
      </w:r>
    </w:p>
    <w:p w:rsidR="00210D2D" w:rsidRDefault="00DC6014">
      <w:pPr>
        <w:pStyle w:val="BodyText"/>
      </w:pPr>
      <w:r>
        <w:rPr>
          <w:rStyle w:val="Figure-Label"/>
        </w:rPr>
        <w:t>Figure 3. Timeseries plot of influent ammonia at BWRRF.</w:t>
      </w:r>
    </w:p>
    <w:p w:rsidR="00210D2D" w:rsidRDefault="00DC6014">
      <w:pPr>
        <w:pStyle w:val="Heading4"/>
      </w:pPr>
      <w:bookmarkStart w:id="16" w:name="linear-model"/>
      <w:r>
        <w:t>Linear model</w:t>
      </w:r>
      <w:bookmarkEnd w:id="16"/>
    </w:p>
    <w:p w:rsidR="00210D2D" w:rsidRDefault="00DC6014">
      <w:pPr>
        <w:pStyle w:val="FirstParagraph"/>
      </w:pPr>
      <w:r>
        <w:t>In a standard linear model, a response (</w:t>
      </w:r>
      <m:oMath>
        <m:r>
          <w:rPr>
            <w:rFonts w:ascii="Cambria Math" w:hAnsi="Cambria Math"/>
          </w:rPr>
          <m:t>Y</m:t>
        </m:r>
      </m:oMath>
      <w:r>
        <w:t>) is described using a set of predictor variables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oMath>
      <w:r>
        <w:t xml:space="preserve">) and their corresponding model parameters </w:t>
      </w: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oMath>
      <w:r>
        <w:t xml:space="preserve"> where </w:t>
      </w:r>
      <m:oMath>
        <m:r>
          <w:rPr>
            <w:rFonts w:ascii="Cambria Math" w:hAnsi="Cambria Math"/>
          </w:rPr>
          <m:t>ϵ</m:t>
        </m:r>
      </m:oMath>
      <w:r>
        <w:t xml:space="preserve"> is an error term:</w:t>
      </w:r>
    </w:p>
    <w:p w:rsidR="00210D2D" w:rsidRDefault="00DC6014">
      <w:pPr>
        <w:pStyle w:val="BodyText"/>
      </w:pPr>
      <m:oMathPara>
        <m:oMathParaPr>
          <m:jc m:val="center"/>
        </m:oMathParaPr>
        <m:oMath>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r>
            <w:rPr>
              <w:rFonts w:ascii="Cambria Math" w:hAnsi="Cambria Math"/>
            </w:rPr>
            <m:t>ϵ</m:t>
          </m:r>
        </m:oMath>
      </m:oMathPara>
    </w:p>
    <w:p w:rsidR="00210D2D" w:rsidRDefault="00DC6014">
      <w:pPr>
        <w:pStyle w:val="FirstParagraph"/>
      </w:pPr>
      <w:r>
        <w:t>Typical linear models are fit u</w:t>
      </w:r>
      <w:r>
        <w:t>sing oridinary least squares, but prediction accuracy and model interpretabililty can be improved using alterntive fitting procedures (James et al. 2013).</w:t>
      </w:r>
    </w:p>
    <w:p w:rsidR="00210D2D" w:rsidRDefault="00DC6014">
      <w:pPr>
        <w:pStyle w:val="BodyText"/>
      </w:pPr>
      <w:r>
        <w:t>Lasso is able to select model predictors (inputs). Ridge regression attempts to minimize the error of</w:t>
      </w:r>
      <w:r>
        <w:t xml:space="preserve"> predictors while simultaneously eliminating insignificant predictors. The ‘shrinkage’ term responsible for driving the coefficients of insigificant predictors to zero is controled by </w:t>
      </w:r>
      <m:oMath>
        <m:r>
          <w:rPr>
            <w:rFonts w:ascii="Cambria Math" w:hAnsi="Cambria Math"/>
          </w:rPr>
          <m:t>λ</m:t>
        </m:r>
      </m:oMath>
      <w:r>
        <w:t xml:space="preserve">. When </w:t>
      </w:r>
      <m:oMath>
        <m:r>
          <w:rPr>
            <w:rFonts w:ascii="Cambria Math" w:hAnsi="Cambria Math"/>
          </w:rPr>
          <m:t>λ</m:t>
        </m:r>
        <m:r>
          <w:rPr>
            <w:rFonts w:ascii="Cambria Math" w:hAnsi="Cambria Math"/>
          </w:rPr>
          <m:t>=0</m:t>
        </m:r>
      </m:oMath>
      <w:r>
        <w:t>, ridge regression returns the same linear model coefficien</w:t>
      </w:r>
      <w:r>
        <w:t xml:space="preserve">ts as the more well-known ordinary least squares model. Cross-validation Adaptive lasso Both the diurnal model and linear model were trained and tested using the </w:t>
      </w:r>
      <w:r>
        <w:rPr>
          <w:rStyle w:val="VerbatimChar"/>
        </w:rPr>
        <w:t>glmnet</w:t>
      </w:r>
      <w:r>
        <w:t xml:space="preserve"> package.</w:t>
      </w:r>
    </w:p>
    <w:p w:rsidR="00210D2D" w:rsidRDefault="00DC6014">
      <w:pPr>
        <w:pStyle w:val="Heading3"/>
      </w:pPr>
      <w:bookmarkStart w:id="17" w:name="machine-learning"/>
      <w:bookmarkStart w:id="18" w:name="_Toc23963612"/>
      <w:r>
        <w:t>Machine learning</w:t>
      </w:r>
      <w:bookmarkEnd w:id="17"/>
      <w:bookmarkEnd w:id="18"/>
    </w:p>
    <w:p w:rsidR="00210D2D" w:rsidRDefault="00DC6014">
      <w:pPr>
        <w:pStyle w:val="Compact"/>
        <w:numPr>
          <w:ilvl w:val="0"/>
          <w:numId w:val="29"/>
        </w:numPr>
      </w:pPr>
      <w:r>
        <w:t>Neural network model</w:t>
      </w:r>
    </w:p>
    <w:p w:rsidR="00210D2D" w:rsidRDefault="00DC6014">
      <w:pPr>
        <w:pStyle w:val="Heading1"/>
      </w:pPr>
      <w:bookmarkStart w:id="19" w:name="results"/>
      <w:bookmarkStart w:id="20" w:name="_Toc23963613"/>
      <w:r>
        <w:t>Results</w:t>
      </w:r>
      <w:bookmarkEnd w:id="19"/>
      <w:bookmarkEnd w:id="20"/>
    </w:p>
    <w:p w:rsidR="00210D2D" w:rsidRDefault="00DC6014">
      <w:pPr>
        <w:pStyle w:val="Heading2"/>
      </w:pPr>
      <w:bookmarkStart w:id="21" w:name="stability-assessment-1"/>
      <w:bookmarkStart w:id="22" w:name="_Toc23963614"/>
      <w:r>
        <w:t>Stability assessment</w:t>
      </w:r>
      <w:bookmarkEnd w:id="21"/>
      <w:bookmarkEnd w:id="22"/>
    </w:p>
    <w:p w:rsidR="00210D2D" w:rsidRDefault="00DC6014">
      <w:pPr>
        <w:pStyle w:val="FirstParagraph"/>
      </w:pPr>
      <w:r>
        <w:t>The results</w:t>
      </w:r>
      <w:r>
        <w:t xml:space="preserve"> of the TSV and GSV calculations for each control configuration tested are in Table 2. The TSV and GSV for the control (DO control) condition are compared to other test conditions by subtracting the TSV and GSV, respectively, from the DO condition and by d</w:t>
      </w:r>
      <w:r>
        <w:t xml:space="preserve">ividing the TSV and GSV, respectively, from the DO condition. To determine if the TSV and GSV diffrence or ratio are statistically significant, a Monte Carlo simulation is used (Figure 4). Both the difference and ratio of TSV values from two confiurations </w:t>
      </w:r>
      <w:r>
        <w:t xml:space="preserve">are considered stable metrics, as the historgram is approximately normally distributed. Whereas the difference and ratio of GSV values are frequently skewed and when the distribution is approximately normal, show no difference between test configurations. </w:t>
      </w:r>
      <w:r>
        <w:t xml:space="preserve">This demonstrates that GSV is an unable metric for comparing operating conditions. The large difference between the Monte Carlo simulation of the combined </w:t>
      </w:r>
      <w:r>
        <w:lastRenderedPageBreak/>
        <w:t>population and the observed TSV metric in the case of ABAC 4.0 mg/L 90 s and 300s verify that ABAC wi</w:t>
      </w:r>
      <w:r>
        <w:t>th a 4.0 mg/L setpoint is a more stable operating condition than DO.</w:t>
      </w:r>
    </w:p>
    <w:p w:rsidR="00210D2D" w:rsidRDefault="00DC6014">
      <w:pPr>
        <w:pStyle w:val="BodyText"/>
      </w:pPr>
      <w:r>
        <w:rPr>
          <w:rStyle w:val="Figure-Label"/>
        </w:rPr>
        <w:t>Table 2. Control configurations tested vary by which is the “control” variable (i.e., outer/master loop in cascade control), the master setpoint for the control variable, and the delay te</w:t>
      </w:r>
      <w:r>
        <w:rPr>
          <w:rStyle w:val="Figure-Label"/>
        </w:rPr>
        <w:t>rm for the master PID loop</w:t>
      </w:r>
    </w:p>
    <w:tbl>
      <w:tblPr>
        <w:tblStyle w:val="Table"/>
        <w:tblW w:w="0" w:type="pct"/>
        <w:tblLook w:val="07E0" w:firstRow="1" w:lastRow="1" w:firstColumn="1" w:lastColumn="1" w:noHBand="1" w:noVBand="1"/>
      </w:tblPr>
      <w:tblGrid>
        <w:gridCol w:w="1810"/>
        <w:gridCol w:w="998"/>
        <w:gridCol w:w="998"/>
      </w:tblGrid>
      <w:tr w:rsidR="00210D2D">
        <w:tc>
          <w:tcPr>
            <w:tcW w:w="0" w:type="auto"/>
            <w:tcBorders>
              <w:bottom w:val="single" w:sz="0" w:space="0" w:color="auto"/>
            </w:tcBorders>
            <w:vAlign w:val="bottom"/>
          </w:tcPr>
          <w:p w:rsidR="00210D2D" w:rsidRDefault="00210D2D"/>
        </w:tc>
        <w:tc>
          <w:tcPr>
            <w:tcW w:w="0" w:type="auto"/>
            <w:tcBorders>
              <w:bottom w:val="single" w:sz="0" w:space="0" w:color="auto"/>
            </w:tcBorders>
            <w:vAlign w:val="bottom"/>
          </w:tcPr>
          <w:p w:rsidR="00210D2D" w:rsidRDefault="00DC6014">
            <w:pPr>
              <w:pStyle w:val="Compact"/>
              <w:jc w:val="left"/>
            </w:pPr>
            <w:r>
              <w:t>TSV</w:t>
            </w:r>
          </w:p>
        </w:tc>
        <w:tc>
          <w:tcPr>
            <w:tcW w:w="0" w:type="auto"/>
            <w:tcBorders>
              <w:bottom w:val="single" w:sz="0" w:space="0" w:color="auto"/>
            </w:tcBorders>
            <w:vAlign w:val="bottom"/>
          </w:tcPr>
          <w:p w:rsidR="00210D2D" w:rsidRDefault="00DC6014">
            <w:pPr>
              <w:pStyle w:val="Compact"/>
              <w:jc w:val="left"/>
            </w:pPr>
            <w:r>
              <w:t>GSV</w:t>
            </w:r>
          </w:p>
        </w:tc>
      </w:tr>
      <w:tr w:rsidR="00210D2D">
        <w:tc>
          <w:tcPr>
            <w:tcW w:w="0" w:type="auto"/>
          </w:tcPr>
          <w:p w:rsidR="00210D2D" w:rsidRDefault="00DC6014">
            <w:pPr>
              <w:pStyle w:val="Compact"/>
              <w:jc w:val="left"/>
            </w:pPr>
            <w:r>
              <w:t>DO</w:t>
            </w:r>
          </w:p>
        </w:tc>
        <w:tc>
          <w:tcPr>
            <w:tcW w:w="0" w:type="auto"/>
          </w:tcPr>
          <w:p w:rsidR="00210D2D" w:rsidRDefault="00DC6014">
            <w:pPr>
              <w:pStyle w:val="Compact"/>
              <w:jc w:val="left"/>
            </w:pPr>
            <w:r>
              <w:t>1.0e+05</w:t>
            </w:r>
          </w:p>
        </w:tc>
        <w:tc>
          <w:tcPr>
            <w:tcW w:w="0" w:type="auto"/>
          </w:tcPr>
          <w:p w:rsidR="00210D2D" w:rsidRDefault="00DC6014">
            <w:pPr>
              <w:pStyle w:val="Compact"/>
              <w:jc w:val="left"/>
            </w:pPr>
            <w:r>
              <w:t>3.1e+03</w:t>
            </w:r>
          </w:p>
        </w:tc>
      </w:tr>
      <w:tr w:rsidR="00210D2D">
        <w:tc>
          <w:tcPr>
            <w:tcW w:w="0" w:type="auto"/>
          </w:tcPr>
          <w:p w:rsidR="00210D2D" w:rsidRDefault="00DC6014">
            <w:pPr>
              <w:pStyle w:val="Compact"/>
              <w:jc w:val="left"/>
            </w:pPr>
            <w:r>
              <w:t>3.5 mg/l - 90 s</w:t>
            </w:r>
          </w:p>
        </w:tc>
        <w:tc>
          <w:tcPr>
            <w:tcW w:w="0" w:type="auto"/>
          </w:tcPr>
          <w:p w:rsidR="00210D2D" w:rsidRDefault="00DC6014">
            <w:pPr>
              <w:pStyle w:val="Compact"/>
              <w:jc w:val="left"/>
            </w:pPr>
            <w:r>
              <w:t>1.1e+05</w:t>
            </w:r>
          </w:p>
        </w:tc>
        <w:tc>
          <w:tcPr>
            <w:tcW w:w="0" w:type="auto"/>
          </w:tcPr>
          <w:p w:rsidR="00210D2D" w:rsidRDefault="00DC6014">
            <w:pPr>
              <w:pStyle w:val="Compact"/>
              <w:jc w:val="left"/>
            </w:pPr>
            <w:r>
              <w:t>2.3e+06</w:t>
            </w:r>
          </w:p>
        </w:tc>
      </w:tr>
      <w:tr w:rsidR="00210D2D">
        <w:tc>
          <w:tcPr>
            <w:tcW w:w="0" w:type="auto"/>
          </w:tcPr>
          <w:p w:rsidR="00210D2D" w:rsidRDefault="00DC6014">
            <w:pPr>
              <w:pStyle w:val="Compact"/>
              <w:jc w:val="left"/>
            </w:pPr>
            <w:r>
              <w:t>4.0 mg/L - 90 s</w:t>
            </w:r>
          </w:p>
        </w:tc>
        <w:tc>
          <w:tcPr>
            <w:tcW w:w="0" w:type="auto"/>
          </w:tcPr>
          <w:p w:rsidR="00210D2D" w:rsidRDefault="00DC6014">
            <w:pPr>
              <w:pStyle w:val="Compact"/>
              <w:jc w:val="left"/>
            </w:pPr>
            <w:r>
              <w:t>6.7e+04</w:t>
            </w:r>
          </w:p>
        </w:tc>
        <w:tc>
          <w:tcPr>
            <w:tcW w:w="0" w:type="auto"/>
          </w:tcPr>
          <w:p w:rsidR="00210D2D" w:rsidRDefault="00DC6014">
            <w:pPr>
              <w:pStyle w:val="Compact"/>
              <w:jc w:val="left"/>
            </w:pPr>
            <w:r>
              <w:t>1.0e+01</w:t>
            </w:r>
          </w:p>
        </w:tc>
      </w:tr>
      <w:tr w:rsidR="00210D2D">
        <w:tc>
          <w:tcPr>
            <w:tcW w:w="0" w:type="auto"/>
          </w:tcPr>
          <w:p w:rsidR="00210D2D" w:rsidRDefault="00DC6014">
            <w:pPr>
              <w:pStyle w:val="Compact"/>
              <w:jc w:val="left"/>
            </w:pPr>
            <w:r>
              <w:t>4.0 mg/L - 300 s</w:t>
            </w:r>
          </w:p>
        </w:tc>
        <w:tc>
          <w:tcPr>
            <w:tcW w:w="0" w:type="auto"/>
          </w:tcPr>
          <w:p w:rsidR="00210D2D" w:rsidRDefault="00DC6014">
            <w:pPr>
              <w:pStyle w:val="Compact"/>
              <w:jc w:val="left"/>
            </w:pPr>
            <w:r>
              <w:t>4.8e+04</w:t>
            </w:r>
          </w:p>
        </w:tc>
        <w:tc>
          <w:tcPr>
            <w:tcW w:w="0" w:type="auto"/>
          </w:tcPr>
          <w:p w:rsidR="00210D2D" w:rsidRDefault="00DC6014">
            <w:pPr>
              <w:pStyle w:val="Compact"/>
              <w:jc w:val="left"/>
            </w:pPr>
            <w:r>
              <w:t>5.6e+06</w:t>
            </w:r>
          </w:p>
        </w:tc>
      </w:tr>
    </w:tbl>
    <w:p w:rsidR="00210D2D" w:rsidRDefault="00DC6014">
      <w:pPr>
        <w:pStyle w:val="Heading5"/>
      </w:pPr>
      <w:bookmarkStart w:id="23" w:name="page-break-1"/>
      <w:r>
        <w:lastRenderedPageBreak/>
        <w:t>Page break</w:t>
      </w:r>
      <w:bookmarkEnd w:id="23"/>
    </w:p>
    <w:p w:rsidR="00210D2D" w:rsidRDefault="00DC6014">
      <w:pPr>
        <w:pStyle w:val="FirstParagraph"/>
      </w:pPr>
      <w:r>
        <w:rPr>
          <w:noProof/>
        </w:rPr>
        <w:drawing>
          <wp:inline distT="0" distB="0" distL="0" distR="0">
            <wp:extent cx="5943600" cy="228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Compare%20TSV%20GSV-1.png"/>
                    <pic:cNvPicPr>
                      <a:picLocks noChangeAspect="1" noChangeArrowheads="1"/>
                    </pic:cNvPicPr>
                  </pic:nvPicPr>
                  <pic:blipFill>
                    <a:blip r:embed="rId10"/>
                    <a:stretch>
                      <a:fillRect/>
                    </a:stretch>
                  </pic:blipFill>
                  <pic:spPr bwMode="auto">
                    <a:xfrm>
                      <a:off x="0" y="0"/>
                      <a:ext cx="5943600" cy="2286000"/>
                    </a:xfrm>
                    <a:prstGeom prst="rect">
                      <a:avLst/>
                    </a:prstGeom>
                    <a:noFill/>
                    <a:ln w="9525">
                      <a:noFill/>
                      <a:headEnd/>
                      <a:tailEnd/>
                    </a:ln>
                  </pic:spPr>
                </pic:pic>
              </a:graphicData>
            </a:graphic>
          </wp:inline>
        </w:drawing>
      </w:r>
      <w:r>
        <w:rPr>
          <w:noProof/>
        </w:rPr>
        <w:drawing>
          <wp:inline distT="0" distB="0" distL="0" distR="0">
            <wp:extent cx="5943600" cy="2286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Compare%20TSV%20GSV-2.png"/>
                    <pic:cNvPicPr>
                      <a:picLocks noChangeAspect="1" noChangeArrowheads="1"/>
                    </pic:cNvPicPr>
                  </pic:nvPicPr>
                  <pic:blipFill>
                    <a:blip r:embed="rId11"/>
                    <a:stretch>
                      <a:fillRect/>
                    </a:stretch>
                  </pic:blipFill>
                  <pic:spPr bwMode="auto">
                    <a:xfrm>
                      <a:off x="0" y="0"/>
                      <a:ext cx="5943600" cy="2286000"/>
                    </a:xfrm>
                    <a:prstGeom prst="rect">
                      <a:avLst/>
                    </a:prstGeom>
                    <a:noFill/>
                    <a:ln w="9525">
                      <a:noFill/>
                      <a:headEnd/>
                      <a:tailEnd/>
                    </a:ln>
                  </pic:spPr>
                </pic:pic>
              </a:graphicData>
            </a:graphic>
          </wp:inline>
        </w:drawing>
      </w:r>
      <w:r>
        <w:rPr>
          <w:noProof/>
        </w:rPr>
        <w:drawing>
          <wp:inline distT="0" distB="0" distL="0" distR="0">
            <wp:extent cx="5943600" cy="228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Compare%20TSV%20GSV-3.png"/>
                    <pic:cNvPicPr>
                      <a:picLocks noChangeAspect="1" noChangeArrowheads="1"/>
                    </pic:cNvPicPr>
                  </pic:nvPicPr>
                  <pic:blipFill>
                    <a:blip r:embed="rId12"/>
                    <a:stretch>
                      <a:fillRect/>
                    </a:stretch>
                  </pic:blipFill>
                  <pic:spPr bwMode="auto">
                    <a:xfrm>
                      <a:off x="0" y="0"/>
                      <a:ext cx="5943600" cy="2286000"/>
                    </a:xfrm>
                    <a:prstGeom prst="rect">
                      <a:avLst/>
                    </a:prstGeom>
                    <a:noFill/>
                    <a:ln w="9525">
                      <a:noFill/>
                      <a:headEnd/>
                      <a:tailEnd/>
                    </a:ln>
                  </pic:spPr>
                </pic:pic>
              </a:graphicData>
            </a:graphic>
          </wp:inline>
        </w:drawing>
      </w:r>
      <w:r>
        <w:t xml:space="preserve"> </w:t>
      </w:r>
      <w:r>
        <w:rPr>
          <w:rStyle w:val="Figure-Label"/>
        </w:rPr>
        <w:t xml:space="preserve">Figure 4. Histograms of the difference or ratio of test configuration’s TSV and GSV values compared to the control configuration (DO control). For example, </w:t>
      </w:r>
      <m:oMath>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DO</m:t>
            </m:r>
          </m:sub>
        </m:sSub>
        <m:r>
          <w:rPr>
            <w:rFonts w:ascii="Cambria Math" w:hAnsi="Cambria Math"/>
          </w:rPr>
          <m:t>-</m:t>
        </m:r>
        <m:r>
          <w:rPr>
            <w:rFonts w:ascii="Cambria Math" w:hAnsi="Cambria Math"/>
          </w:rPr>
          <m:t>TS</m:t>
        </m:r>
        <m:sSub>
          <m:sSubPr>
            <m:ctrlPr>
              <w:rPr>
                <w:rFonts w:ascii="Cambria Math" w:hAnsi="Cambria Math"/>
              </w:rPr>
            </m:ctrlPr>
          </m:sSubPr>
          <m:e>
            <m:r>
              <w:rPr>
                <w:rFonts w:ascii="Cambria Math" w:hAnsi="Cambria Math"/>
              </w:rPr>
              <m:t>V</m:t>
            </m:r>
          </m:e>
          <m:sub>
            <m:r>
              <w:rPr>
                <w:rFonts w:ascii="Cambria Math" w:hAnsi="Cambria Math"/>
              </w:rPr>
              <m:t>test</m:t>
            </m:r>
          </m:sub>
        </m:sSub>
      </m:oMath>
      <w:r>
        <w:rPr>
          <w:rStyle w:val="Figure-Label"/>
        </w:rPr>
        <w:t xml:space="preserve"> or </w:t>
      </w:r>
      <m:oMath>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DO</m:t>
            </m:r>
          </m:sub>
        </m:sSub>
        <m:r>
          <w:rPr>
            <w:rFonts w:ascii="Cambria Math" w:hAnsi="Cambria Math"/>
          </w:rPr>
          <m:t>/</m:t>
        </m:r>
        <m:r>
          <w:rPr>
            <w:rFonts w:ascii="Cambria Math" w:hAnsi="Cambria Math"/>
          </w:rPr>
          <m:t>GS</m:t>
        </m:r>
        <m:sSub>
          <m:sSubPr>
            <m:ctrlPr>
              <w:rPr>
                <w:rFonts w:ascii="Cambria Math" w:hAnsi="Cambria Math"/>
              </w:rPr>
            </m:ctrlPr>
          </m:sSubPr>
          <m:e>
            <m:r>
              <w:rPr>
                <w:rFonts w:ascii="Cambria Math" w:hAnsi="Cambria Math"/>
              </w:rPr>
              <m:t>V</m:t>
            </m:r>
          </m:e>
          <m:sub>
            <m:r>
              <w:rPr>
                <w:rFonts w:ascii="Cambria Math" w:hAnsi="Cambria Math"/>
              </w:rPr>
              <m:t>test</m:t>
            </m:r>
          </m:sub>
        </m:sSub>
      </m:oMath>
      <w:r>
        <w:rPr>
          <w:rStyle w:val="Figure-Label"/>
        </w:rPr>
        <w:t>. Red dots indicate the observed TSV or GSV di</w:t>
      </w:r>
      <w:r>
        <w:rPr>
          <w:rStyle w:val="Figure-Label"/>
        </w:rPr>
        <w:t>fference or ratio for the given test case.</w:t>
      </w:r>
    </w:p>
    <w:p w:rsidR="00210D2D" w:rsidRDefault="00DC6014">
      <w:pPr>
        <w:pStyle w:val="Heading2"/>
      </w:pPr>
      <w:bookmarkStart w:id="24" w:name="ammonia-forecast-1"/>
      <w:bookmarkStart w:id="25" w:name="_Toc23963615"/>
      <w:r>
        <w:lastRenderedPageBreak/>
        <w:t>Ammonia forecast</w:t>
      </w:r>
      <w:bookmarkEnd w:id="24"/>
      <w:bookmarkEnd w:id="25"/>
    </w:p>
    <w:p w:rsidR="00210D2D" w:rsidRDefault="00DC6014">
      <w:pPr>
        <w:pStyle w:val="Heading3"/>
      </w:pPr>
      <w:bookmarkStart w:id="26" w:name="diurnal-model-1"/>
      <w:bookmarkStart w:id="27" w:name="_Toc23963616"/>
      <w:r>
        <w:t>Diurnal model</w:t>
      </w:r>
      <w:bookmarkEnd w:id="26"/>
      <w:bookmarkEnd w:id="27"/>
    </w:p>
    <w:p w:rsidR="00210D2D" w:rsidRDefault="00DC6014">
      <w:pPr>
        <w:pStyle w:val="FirstParagraph"/>
      </w:pPr>
      <w:r>
        <w:t>The initial diurnal model fit used a single sine/cosine pair. However, this approach did not capture all visible cyclic patterns. Further testing evaluated the model fit of 1 - 200 s</w:t>
      </w:r>
      <w:r>
        <w:t>ine/cosine pairs. The best diurnal model fit for the training and testing data of each control congiuration was effectively achieved using a 6 degree diurnal model (Figure 5). The realively low R</w:t>
      </w:r>
      <w:r>
        <w:rPr>
          <w:vertAlign w:val="superscript"/>
        </w:rPr>
        <w:t>2</w:t>
      </w:r>
      <w:r>
        <w:t xml:space="preserve"> value of the ABAC 3.5 control configuration is evident of a</w:t>
      </w:r>
      <w:r>
        <w:t>bnormal variation in the minimum and maximum ammonia values (Figure 6).</w:t>
      </w:r>
    </w:p>
    <w:p w:rsidR="00210D2D" w:rsidRDefault="00DC6014">
      <w:pPr>
        <w:pStyle w:val="BodyText"/>
      </w:pPr>
      <w:r>
        <w:rPr>
          <w:noProof/>
        </w:rPr>
        <w:drawing>
          <wp:inline distT="0" distB="0" distL="0" distR="0">
            <wp:extent cx="5943600" cy="3657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Plot%20diurnal%20fit%20r2-1.png"/>
                    <pic:cNvPicPr>
                      <a:picLocks noChangeAspect="1" noChangeArrowheads="1"/>
                    </pic:cNvPicPr>
                  </pic:nvPicPr>
                  <pic:blipFill>
                    <a:blip r:embed="rId13"/>
                    <a:stretch>
                      <a:fillRect/>
                    </a:stretch>
                  </pic:blipFill>
                  <pic:spPr bwMode="auto">
                    <a:xfrm>
                      <a:off x="0" y="0"/>
                      <a:ext cx="5943600" cy="3657600"/>
                    </a:xfrm>
                    <a:prstGeom prst="rect">
                      <a:avLst/>
                    </a:prstGeom>
                    <a:noFill/>
                    <a:ln w="9525">
                      <a:noFill/>
                      <a:headEnd/>
                      <a:tailEnd/>
                    </a:ln>
                  </pic:spPr>
                </pic:pic>
              </a:graphicData>
            </a:graphic>
          </wp:inline>
        </w:drawing>
      </w:r>
    </w:p>
    <w:p w:rsidR="00210D2D" w:rsidRDefault="00DC6014">
      <w:pPr>
        <w:pStyle w:val="BodyText"/>
      </w:pPr>
      <w:r>
        <w:rPr>
          <w:rStyle w:val="Figure-Label"/>
        </w:rPr>
        <w:t>Figure 5. Diurnal model fit as function of degree for each control configuration. The red line indicates the R</w:t>
      </w:r>
      <w:r>
        <w:rPr>
          <w:rStyle w:val="Figure-Label"/>
          <w:vertAlign w:val="superscript"/>
        </w:rPr>
        <w:t>2</w:t>
      </w:r>
      <w:r>
        <w:rPr>
          <w:rStyle w:val="Figure-Label"/>
        </w:rPr>
        <w:t xml:space="preserve"> (top) or RMSE (bottom) value for a 10th degree diurnal model, which is</w:t>
      </w:r>
      <w:r>
        <w:rPr>
          <w:rStyle w:val="Figure-Label"/>
        </w:rPr>
        <w:t xml:space="preserve"> effectively achieved by a 6 degree or fewer diurnal model.</w:t>
      </w:r>
    </w:p>
    <w:p w:rsidR="00210D2D" w:rsidRDefault="00DC6014">
      <w:pPr>
        <w:pStyle w:val="BodyText"/>
      </w:pPr>
      <w:r>
        <w:rPr>
          <w:noProof/>
        </w:rPr>
        <w:lastRenderedPageBreak/>
        <w:drawing>
          <wp:inline distT="0" distB="0" distL="0" distR="0">
            <wp:extent cx="5943600" cy="228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Plot%20Z7%20NH4%20for%20each%20case-1.png"/>
                    <pic:cNvPicPr>
                      <a:picLocks noChangeAspect="1" noChangeArrowheads="1"/>
                    </pic:cNvPicPr>
                  </pic:nvPicPr>
                  <pic:blipFill>
                    <a:blip r:embed="rId14"/>
                    <a:stretch>
                      <a:fillRect/>
                    </a:stretch>
                  </pic:blipFill>
                  <pic:spPr bwMode="auto">
                    <a:xfrm>
                      <a:off x="0" y="0"/>
                      <a:ext cx="5943600" cy="2286000"/>
                    </a:xfrm>
                    <a:prstGeom prst="rect">
                      <a:avLst/>
                    </a:prstGeom>
                    <a:noFill/>
                    <a:ln w="9525">
                      <a:noFill/>
                      <a:headEnd/>
                      <a:tailEnd/>
                    </a:ln>
                  </pic:spPr>
                </pic:pic>
              </a:graphicData>
            </a:graphic>
          </wp:inline>
        </w:drawing>
      </w:r>
    </w:p>
    <w:p w:rsidR="00210D2D" w:rsidRDefault="00DC6014">
      <w:pPr>
        <w:pStyle w:val="BodyText"/>
      </w:pPr>
      <w:r>
        <w:rPr>
          <w:rStyle w:val="Figure-Label"/>
        </w:rPr>
        <w:t>Figure 6. Timeseries plot of zone 7 ammonia at the Boulder Water Resource Recovery Facility.</w:t>
      </w:r>
    </w:p>
    <w:p w:rsidR="00210D2D" w:rsidRDefault="00DC6014">
      <w:pPr>
        <w:pStyle w:val="Heading3"/>
      </w:pPr>
      <w:bookmarkStart w:id="28" w:name="linear-model-1"/>
      <w:bookmarkStart w:id="29" w:name="_Toc23963617"/>
      <w:r>
        <w:t>Linear model</w:t>
      </w:r>
      <w:bookmarkEnd w:id="28"/>
      <w:bookmarkEnd w:id="29"/>
    </w:p>
    <w:p w:rsidR="00210D2D" w:rsidRDefault="00DC6014">
      <w:pPr>
        <w:pStyle w:val="FirstParagraph"/>
      </w:pPr>
      <w:r>
        <w:t>The remaining variation is modeled using a multiple linear regression model, incorporating sine and cosine terms in addition to the monitored process variables. .</w:t>
      </w:r>
    </w:p>
    <w:p w:rsidR="00210D2D" w:rsidRDefault="00DC6014">
      <w:pPr>
        <w:pStyle w:val="Heading2"/>
      </w:pPr>
      <w:bookmarkStart w:id="30" w:name="needs-fixed"/>
      <w:bookmarkStart w:id="31" w:name="_Toc23963618"/>
      <w:r>
        <w:t>NEEDS FIXED</w:t>
      </w:r>
      <w:bookmarkEnd w:id="30"/>
      <w:bookmarkEnd w:id="31"/>
    </w:p>
    <w:p w:rsidR="00210D2D" w:rsidRDefault="00DC6014">
      <w:pPr>
        <w:pStyle w:val="FirstParagraph"/>
      </w:pPr>
      <w:r>
        <w:t>Testing RMSE and R</w:t>
      </w:r>
      <w:r>
        <w:rPr>
          <w:vertAlign w:val="superscript"/>
        </w:rPr>
        <w:t>2</w:t>
      </w:r>
      <w:r>
        <w:t xml:space="preserve"> values for each training window, forecast horizon, and test c</w:t>
      </w:r>
      <w:r>
        <w:t xml:space="preserve">onfiguration can be found in the </w:t>
      </w:r>
      <w:hyperlink w:anchor="model-testing-error">
        <w:r>
          <w:rPr>
            <w:rStyle w:val="Hyperlink"/>
          </w:rPr>
          <w:t>Appendix</w:t>
        </w:r>
      </w:hyperlink>
      <w:r>
        <w:t>. Figure 7 is an example of the DO control configuration. In all cases, When only the diurnal model is considered (i.e., time as a function of sine and cosine are the only p</w:t>
      </w:r>
      <w:r>
        <w:t xml:space="preserve">redictors), the existing control paradigm of using the current measured sensor value of ammonia (i.e., </w:t>
      </w:r>
      <w:r>
        <w:rPr>
          <w:i/>
        </w:rPr>
        <w:t>persistence</w:t>
      </w:r>
      <w:r>
        <w:t xml:space="preserve"> forecast) is more accurate (i.e., lower RMSE and higher R</w:t>
      </w:r>
      <w:r>
        <w:rPr>
          <w:vertAlign w:val="superscript"/>
        </w:rPr>
        <w:t>2</w:t>
      </w:r>
      <w:r>
        <w:t>). When the linear model is trained using time and process variables, the combinati</w:t>
      </w:r>
      <w:r>
        <w:t>on diurnal-linear model is more accurate than the current control paradigm.</w:t>
      </w:r>
    </w:p>
    <w:p w:rsidR="00210D2D" w:rsidRDefault="00DC6014">
      <w:pPr>
        <w:pStyle w:val="BodyText"/>
      </w:pPr>
      <w:r>
        <w:rPr>
          <w:noProof/>
        </w:rPr>
        <w:lastRenderedPageBreak/>
        <w:drawing>
          <wp:inline distT="0" distB="0" distL="0" distR="0">
            <wp:extent cx="5943600" cy="777239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Plot%20DO%20and%20ab3_4.0%20model%20training%20error%20by%20training%20window-1.png"/>
                    <pic:cNvPicPr>
                      <a:picLocks noChangeAspect="1" noChangeArrowheads="1"/>
                    </pic:cNvPicPr>
                  </pic:nvPicPr>
                  <pic:blipFill>
                    <a:blip r:embed="rId15"/>
                    <a:stretch>
                      <a:fillRect/>
                    </a:stretch>
                  </pic:blipFill>
                  <pic:spPr bwMode="auto">
                    <a:xfrm>
                      <a:off x="0" y="0"/>
                      <a:ext cx="5943600" cy="7772399"/>
                    </a:xfrm>
                    <a:prstGeom prst="rect">
                      <a:avLst/>
                    </a:prstGeom>
                    <a:noFill/>
                    <a:ln w="9525">
                      <a:noFill/>
                      <a:headEnd/>
                      <a:tailEnd/>
                    </a:ln>
                  </pic:spPr>
                </pic:pic>
              </a:graphicData>
            </a:graphic>
          </wp:inline>
        </w:drawing>
      </w:r>
    </w:p>
    <w:p w:rsidR="00210D2D" w:rsidRDefault="00DC6014">
      <w:pPr>
        <w:pStyle w:val="BodyText"/>
      </w:pPr>
      <w:r>
        <w:rPr>
          <w:noProof/>
        </w:rPr>
        <w:lastRenderedPageBreak/>
        <w:drawing>
          <wp:inline distT="0" distB="0" distL="0" distR="0">
            <wp:extent cx="5943600" cy="274319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1.png"/>
                    <pic:cNvPicPr>
                      <a:picLocks noChangeAspect="1" noChangeArrowheads="1"/>
                    </pic:cNvPicPr>
                  </pic:nvPicPr>
                  <pic:blipFill>
                    <a:blip r:embed="rId16"/>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2.png"/>
                    <pic:cNvPicPr>
                      <a:picLocks noChangeAspect="1" noChangeArrowheads="1"/>
                    </pic:cNvPicPr>
                  </pic:nvPicPr>
                  <pic:blipFill>
                    <a:blip r:embed="rId17"/>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3.png"/>
                    <pic:cNvPicPr>
                      <a:picLocks noChangeAspect="1" noChangeArrowheads="1"/>
                    </pic:cNvPicPr>
                  </pic:nvPicPr>
                  <pic:blipFill>
                    <a:blip r:embed="rId18"/>
                    <a:stretch>
                      <a:fillRect/>
                    </a:stretch>
                  </pic:blipFill>
                  <pic:spPr bwMode="auto">
                    <a:xfrm>
                      <a:off x="0" y="0"/>
                      <a:ext cx="5943600" cy="2743199"/>
                    </a:xfrm>
                    <a:prstGeom prst="rect">
                      <a:avLst/>
                    </a:prstGeom>
                    <a:noFill/>
                    <a:ln w="9525">
                      <a:noFill/>
                      <a:headEnd/>
                      <a:tailEnd/>
                    </a:ln>
                  </pic:spPr>
                </pic:pic>
              </a:graphicData>
            </a:graphic>
          </wp:inline>
        </w:drawing>
      </w:r>
      <w:r>
        <w:rPr>
          <w:noProof/>
        </w:rPr>
        <w:lastRenderedPageBreak/>
        <w:drawing>
          <wp:inline distT="0" distB="0" distL="0" distR="0">
            <wp:extent cx="5943600" cy="274319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4.png"/>
                    <pic:cNvPicPr>
                      <a:picLocks noChangeAspect="1" noChangeArrowheads="1"/>
                    </pic:cNvPicPr>
                  </pic:nvPicPr>
                  <pic:blipFill>
                    <a:blip r:embed="rId19"/>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5.png"/>
                    <pic:cNvPicPr>
                      <a:picLocks noChangeAspect="1" noChangeArrowheads="1"/>
                    </pic:cNvPicPr>
                  </pic:nvPicPr>
                  <pic:blipFill>
                    <a:blip r:embed="rId20"/>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6.png"/>
                    <pic:cNvPicPr>
                      <a:picLocks noChangeAspect="1" noChangeArrowheads="1"/>
                    </pic:cNvPicPr>
                  </pic:nvPicPr>
                  <pic:blipFill>
                    <a:blip r:embed="rId21"/>
                    <a:stretch>
                      <a:fillRect/>
                    </a:stretch>
                  </pic:blipFill>
                  <pic:spPr bwMode="auto">
                    <a:xfrm>
                      <a:off x="0" y="0"/>
                      <a:ext cx="5943600" cy="2743199"/>
                    </a:xfrm>
                    <a:prstGeom prst="rect">
                      <a:avLst/>
                    </a:prstGeom>
                    <a:noFill/>
                    <a:ln w="9525">
                      <a:noFill/>
                      <a:headEnd/>
                      <a:tailEnd/>
                    </a:ln>
                  </pic:spPr>
                </pic:pic>
              </a:graphicData>
            </a:graphic>
          </wp:inline>
        </w:drawing>
      </w:r>
      <w:r>
        <w:rPr>
          <w:noProof/>
        </w:rPr>
        <w:lastRenderedPageBreak/>
        <w:drawing>
          <wp:inline distT="0" distB="0" distL="0" distR="0">
            <wp:extent cx="5943600" cy="274319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7.png"/>
                    <pic:cNvPicPr>
                      <a:picLocks noChangeAspect="1" noChangeArrowheads="1"/>
                    </pic:cNvPicPr>
                  </pic:nvPicPr>
                  <pic:blipFill>
                    <a:blip r:embed="rId22"/>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8.png"/>
                    <pic:cNvPicPr>
                      <a:picLocks noChangeAspect="1" noChangeArrowheads="1"/>
                    </pic:cNvPicPr>
                  </pic:nvPicPr>
                  <pic:blipFill>
                    <a:blip r:embed="rId23"/>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9.png"/>
                    <pic:cNvPicPr>
                      <a:picLocks noChangeAspect="1" noChangeArrowheads="1"/>
                    </pic:cNvPicPr>
                  </pic:nvPicPr>
                  <pic:blipFill>
                    <a:blip r:embed="rId24"/>
                    <a:stretch>
                      <a:fillRect/>
                    </a:stretch>
                  </pic:blipFill>
                  <pic:spPr bwMode="auto">
                    <a:xfrm>
                      <a:off x="0" y="0"/>
                      <a:ext cx="5943600" cy="2743199"/>
                    </a:xfrm>
                    <a:prstGeom prst="rect">
                      <a:avLst/>
                    </a:prstGeom>
                    <a:noFill/>
                    <a:ln w="9525">
                      <a:noFill/>
                      <a:headEnd/>
                      <a:tailEnd/>
                    </a:ln>
                  </pic:spPr>
                </pic:pic>
              </a:graphicData>
            </a:graphic>
          </wp:inline>
        </w:drawing>
      </w:r>
      <w:r>
        <w:rPr>
          <w:noProof/>
        </w:rPr>
        <w:lastRenderedPageBreak/>
        <w:drawing>
          <wp:inline distT="0" distB="0" distL="0" distR="0">
            <wp:extent cx="5943600" cy="274319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10.png"/>
                    <pic:cNvPicPr>
                      <a:picLocks noChangeAspect="1" noChangeArrowheads="1"/>
                    </pic:cNvPicPr>
                  </pic:nvPicPr>
                  <pic:blipFill>
                    <a:blip r:embed="rId25"/>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11.png"/>
                    <pic:cNvPicPr>
                      <a:picLocks noChangeAspect="1" noChangeArrowheads="1"/>
                    </pic:cNvPicPr>
                  </pic:nvPicPr>
                  <pic:blipFill>
                    <a:blip r:embed="rId26"/>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forecast%20horizon-12.png"/>
                    <pic:cNvPicPr>
                      <a:picLocks noChangeAspect="1" noChangeArrowheads="1"/>
                    </pic:cNvPicPr>
                  </pic:nvPicPr>
                  <pic:blipFill>
                    <a:blip r:embed="rId27"/>
                    <a:stretch>
                      <a:fillRect/>
                    </a:stretch>
                  </pic:blipFill>
                  <pic:spPr bwMode="auto">
                    <a:xfrm>
                      <a:off x="0" y="0"/>
                      <a:ext cx="5943600" cy="2743199"/>
                    </a:xfrm>
                    <a:prstGeom prst="rect">
                      <a:avLst/>
                    </a:prstGeom>
                    <a:noFill/>
                    <a:ln w="9525">
                      <a:noFill/>
                      <a:headEnd/>
                      <a:tailEnd/>
                    </a:ln>
                  </pic:spPr>
                </pic:pic>
              </a:graphicData>
            </a:graphic>
          </wp:inline>
        </w:drawing>
      </w:r>
    </w:p>
    <w:p w:rsidR="00210D2D" w:rsidRDefault="00DC6014">
      <w:pPr>
        <w:pStyle w:val="BodyText"/>
      </w:pPr>
      <w:r>
        <w:rPr>
          <w:noProof/>
        </w:rPr>
        <w:lastRenderedPageBreak/>
        <w:drawing>
          <wp:inline distT="0" distB="0" distL="0" distR="0">
            <wp:extent cx="5943600" cy="274319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esting%20error-1.png"/>
                    <pic:cNvPicPr>
                      <a:picLocks noChangeAspect="1" noChangeArrowheads="1"/>
                    </pic:cNvPicPr>
                  </pic:nvPicPr>
                  <pic:blipFill>
                    <a:blip r:embed="rId28"/>
                    <a:stretch>
                      <a:fillRect/>
                    </a:stretch>
                  </pic:blipFill>
                  <pic:spPr bwMode="auto">
                    <a:xfrm>
                      <a:off x="0" y="0"/>
                      <a:ext cx="5943600" cy="2743199"/>
                    </a:xfrm>
                    <a:prstGeom prst="rect">
                      <a:avLst/>
                    </a:prstGeom>
                    <a:noFill/>
                    <a:ln w="9525">
                      <a:noFill/>
                      <a:headEnd/>
                      <a:tailEnd/>
                    </a:ln>
                  </pic:spPr>
                </pic:pic>
              </a:graphicData>
            </a:graphic>
          </wp:inline>
        </w:drawing>
      </w:r>
      <w:r>
        <w:t xml:space="preserve"> </w:t>
      </w:r>
      <w:r>
        <w:rPr>
          <w:rStyle w:val="Figure-Label"/>
        </w:rPr>
        <w:t xml:space="preserve">Figure 7. Testing RMSE and R-squared for the models tested on the DO control confiuration. The black dashed line is the error of the </w:t>
      </w:r>
      <w:r>
        <w:rPr>
          <w:rStyle w:val="Figure-Label"/>
          <w:i/>
        </w:rPr>
        <w:t>persistence</w:t>
      </w:r>
      <w:r>
        <w:rPr>
          <w:rStyle w:val="Figure-Label"/>
        </w:rPr>
        <w:t xml:space="preserve"> forecast, which si</w:t>
      </w:r>
      <w:r>
        <w:rPr>
          <w:rStyle w:val="Figure-Label"/>
        </w:rPr>
        <w:t>mulates the current operating condition of using the ammonia sensor’s current measured value to respond to water quality changes. The red dashed line is the error if just time is used to forecast ammonia (i.e., diurnal model).</w:t>
      </w:r>
    </w:p>
    <w:p w:rsidR="00210D2D" w:rsidRDefault="00DC6014">
      <w:pPr>
        <w:pStyle w:val="Heading1"/>
      </w:pPr>
      <w:bookmarkStart w:id="32" w:name="appendix"/>
      <w:bookmarkStart w:id="33" w:name="_Toc23963619"/>
      <w:r>
        <w:lastRenderedPageBreak/>
        <w:t>Appendix</w:t>
      </w:r>
      <w:bookmarkEnd w:id="32"/>
      <w:bookmarkEnd w:id="33"/>
    </w:p>
    <w:p w:rsidR="00210D2D" w:rsidRDefault="00DC6014">
      <w:pPr>
        <w:pStyle w:val="Heading2"/>
      </w:pPr>
      <w:bookmarkStart w:id="34" w:name="timeseries"/>
      <w:bookmarkStart w:id="35" w:name="_Toc23963620"/>
      <w:r>
        <w:t>Timeseries</w:t>
      </w:r>
      <w:bookmarkEnd w:id="34"/>
      <w:bookmarkEnd w:id="35"/>
    </w:p>
    <w:p w:rsidR="00210D2D" w:rsidRDefault="00DC6014">
      <w:pPr>
        <w:pStyle w:val="FirstParagraph"/>
      </w:pPr>
      <w:r>
        <w:rPr>
          <w:noProof/>
        </w:rPr>
        <w:drawing>
          <wp:inline distT="0" distB="0" distL="0" distR="0">
            <wp:extent cx="5943600" cy="7315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201-1.png"/>
                    <pic:cNvPicPr>
                      <a:picLocks noChangeAspect="1" noChangeArrowheads="1"/>
                    </pic:cNvPicPr>
                  </pic:nvPicPr>
                  <pic:blipFill>
                    <a:blip r:embed="rId29"/>
                    <a:stretch>
                      <a:fillRect/>
                    </a:stretch>
                  </pic:blipFill>
                  <pic:spPr bwMode="auto">
                    <a:xfrm>
                      <a:off x="0" y="0"/>
                      <a:ext cx="5943600" cy="7315200"/>
                    </a:xfrm>
                    <a:prstGeom prst="rect">
                      <a:avLst/>
                    </a:prstGeom>
                    <a:noFill/>
                    <a:ln w="9525">
                      <a:noFill/>
                      <a:headEnd/>
                      <a:tailEnd/>
                    </a:ln>
                  </pic:spPr>
                </pic:pic>
              </a:graphicData>
            </a:graphic>
          </wp:inline>
        </w:drawing>
      </w:r>
      <w:r>
        <w:t xml:space="preserve"> </w:t>
      </w:r>
      <w:r>
        <w:rPr>
          <w:rStyle w:val="Figure-Label"/>
        </w:rPr>
        <w:t xml:space="preserve">Figure </w:t>
      </w:r>
      <w:r>
        <w:rPr>
          <w:rStyle w:val="Figure-Label"/>
        </w:rPr>
        <w:t>1. Timeseries plots of all data for the DO control configuration</w:t>
      </w:r>
    </w:p>
    <w:p w:rsidR="00210D2D" w:rsidRDefault="00DC6014">
      <w:pPr>
        <w:pStyle w:val="BodyText"/>
      </w:pPr>
      <w:r>
        <w:rPr>
          <w:noProof/>
        </w:rPr>
        <w:lastRenderedPageBreak/>
        <w:drawing>
          <wp:inline distT="0" distB="0" distL="0" distR="0">
            <wp:extent cx="5943600" cy="777239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202-1.png"/>
                    <pic:cNvPicPr>
                      <a:picLocks noChangeAspect="1" noChangeArrowheads="1"/>
                    </pic:cNvPicPr>
                  </pic:nvPicPr>
                  <pic:blipFill>
                    <a:blip r:embed="rId30"/>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Figure 2. Timeseries plots of all data for the ABAC 3.5 control configuration</w:t>
      </w:r>
    </w:p>
    <w:p w:rsidR="00210D2D" w:rsidRDefault="00DC6014">
      <w:pPr>
        <w:pStyle w:val="BodyText"/>
      </w:pPr>
      <w:r>
        <w:rPr>
          <w:noProof/>
        </w:rPr>
        <w:lastRenderedPageBreak/>
        <w:drawing>
          <wp:inline distT="0" distB="0" distL="0" distR="0">
            <wp:extent cx="5943600" cy="777239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203-1.png"/>
                    <pic:cNvPicPr>
                      <a:picLocks noChangeAspect="1" noChangeArrowheads="1"/>
                    </pic:cNvPicPr>
                  </pic:nvPicPr>
                  <pic:blipFill>
                    <a:blip r:embed="rId31"/>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Figure 3. Timeseries plots of all data for the ABAC 4.0, 90s control configuration</w:t>
      </w:r>
    </w:p>
    <w:p w:rsidR="00210D2D" w:rsidRDefault="00DC6014">
      <w:pPr>
        <w:pStyle w:val="BodyText"/>
      </w:pPr>
      <w:r>
        <w:rPr>
          <w:noProof/>
        </w:rPr>
        <w:lastRenderedPageBreak/>
        <w:drawing>
          <wp:inline distT="0" distB="0" distL="0" distR="0">
            <wp:extent cx="5943600" cy="777239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204-1.png"/>
                    <pic:cNvPicPr>
                      <a:picLocks noChangeAspect="1" noChangeArrowheads="1"/>
                    </pic:cNvPicPr>
                  </pic:nvPicPr>
                  <pic:blipFill>
                    <a:blip r:embed="rId32"/>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Figure 4. Timeseries plots of all data for the ABAC 4.0, 300s control configuration</w:t>
      </w:r>
    </w:p>
    <w:p w:rsidR="00210D2D" w:rsidRDefault="00DC6014">
      <w:pPr>
        <w:pStyle w:val="BodyText"/>
      </w:pPr>
      <w:r>
        <w:rPr>
          <w:noProof/>
        </w:rPr>
        <w:lastRenderedPageBreak/>
        <w:drawing>
          <wp:inline distT="0" distB="0" distL="0" distR="0">
            <wp:extent cx="5943600" cy="777239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igures/Timeseries%20plot%205-1.png"/>
                    <pic:cNvPicPr>
                      <a:picLocks noChangeAspect="1" noChangeArrowheads="1"/>
                    </pic:cNvPicPr>
                  </pic:nvPicPr>
                  <pic:blipFill>
                    <a:blip r:embed="rId33"/>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Figure 5. Timeseries plots of all data for the ABAC 4.0, 300s plus control configurat</w:t>
      </w:r>
      <w:r>
        <w:rPr>
          <w:rStyle w:val="Figure-Label"/>
        </w:rPr>
        <w:t>ion</w:t>
      </w:r>
    </w:p>
    <w:p w:rsidR="00210D2D" w:rsidRDefault="00DC6014">
      <w:pPr>
        <w:pStyle w:val="Heading2"/>
      </w:pPr>
      <w:bookmarkStart w:id="36" w:name="model-training-error"/>
      <w:bookmarkStart w:id="37" w:name="_Toc23963621"/>
      <w:r>
        <w:lastRenderedPageBreak/>
        <w:t>Model training error</w:t>
      </w:r>
      <w:bookmarkEnd w:id="36"/>
      <w:bookmarkEnd w:id="37"/>
    </w:p>
    <w:p w:rsidR="00210D2D" w:rsidRDefault="00DC6014">
      <w:pPr>
        <w:pStyle w:val="SourceCode"/>
      </w:pPr>
      <w:r>
        <w:rPr>
          <w:rStyle w:val="VerbatimChar"/>
        </w:rPr>
        <w:t>library(xts)</w:t>
      </w:r>
      <w:r>
        <w:br/>
      </w:r>
      <w:r>
        <w:rPr>
          <w:rStyle w:val="VerbatimChar"/>
        </w:rPr>
        <w:t># Just DO for now</w:t>
      </w:r>
      <w:r>
        <w:br/>
      </w:r>
      <w:r>
        <w:rPr>
          <w:rStyle w:val="VerbatimChar"/>
        </w:rPr>
        <w:t># all.days.files &lt;- load("results/all-days-ab3_do.RData", envir=.GlobalEnv)</w:t>
      </w:r>
      <w:r>
        <w:br/>
      </w:r>
      <w:r>
        <w:rPr>
          <w:rStyle w:val="VerbatimChar"/>
        </w:rPr>
        <w:t># all.days.files &lt;- sapply(list.files("results/",pattern="all-days-"), function(x) load(paste0("results/",x), envir=.GlobalE</w:t>
      </w:r>
      <w:r>
        <w:rPr>
          <w:rStyle w:val="VerbatimChar"/>
        </w:rPr>
        <w:t>nv))</w:t>
      </w:r>
      <w:r>
        <w:br/>
      </w:r>
      <w:r>
        <w:rPr>
          <w:rStyle w:val="VerbatimChar"/>
        </w:rPr>
        <w:t>sapply(list.files("results/",pattern="all-days-"), function(x) load(paste0("results/",x), envir=.GlobalEnv))</w:t>
      </w:r>
      <w:r>
        <w:br/>
      </w:r>
      <w:r>
        <w:rPr>
          <w:rStyle w:val="VerbatimChar"/>
        </w:rPr>
        <w:t>all.days.files &lt;- c("all.days.ab3_do",</w:t>
      </w:r>
      <w:r>
        <w:br/>
      </w:r>
      <w:r>
        <w:rPr>
          <w:rStyle w:val="VerbatimChar"/>
        </w:rPr>
        <w:t xml:space="preserve">                    "all.days.ab3_3.5",</w:t>
      </w:r>
      <w:r>
        <w:br/>
      </w:r>
      <w:r>
        <w:rPr>
          <w:rStyle w:val="VerbatimChar"/>
        </w:rPr>
        <w:t xml:space="preserve">                    "all.days.ab3_4.0",</w:t>
      </w:r>
      <w:r>
        <w:br/>
      </w:r>
      <w:r>
        <w:rPr>
          <w:rStyle w:val="VerbatimChar"/>
        </w:rPr>
        <w:t xml:space="preserve">                    "al</w:t>
      </w:r>
      <w:r>
        <w:rPr>
          <w:rStyle w:val="VerbatimChar"/>
        </w:rPr>
        <w:t>l.days.ab3_4.0_300",</w:t>
      </w:r>
      <w:r>
        <w:br/>
      </w:r>
      <w:r>
        <w:rPr>
          <w:rStyle w:val="VerbatimChar"/>
        </w:rPr>
        <w:t xml:space="preserve">                    "all.days.ab3_4.0_300_plus")</w:t>
      </w:r>
      <w:r>
        <w:br/>
      </w:r>
      <w:r>
        <w:br/>
      </w:r>
      <w:r>
        <w:rPr>
          <w:rStyle w:val="VerbatimChar"/>
        </w:rPr>
        <w:t>for(file in all.days.files) {</w:t>
      </w:r>
      <w:r>
        <w:br/>
      </w:r>
      <w:r>
        <w:rPr>
          <w:rStyle w:val="VerbatimChar"/>
        </w:rPr>
        <w:t xml:space="preserve">  all.days &lt;- get(file)</w:t>
      </w:r>
      <w:r>
        <w:br/>
      </w:r>
      <w:r>
        <w:rPr>
          <w:rStyle w:val="VerbatimChar"/>
        </w:rPr>
        <w:t xml:space="preserve">  all.horizons.training.error &lt;- list()</w:t>
      </w:r>
      <w:r>
        <w:br/>
      </w:r>
      <w:r>
        <w:rPr>
          <w:rStyle w:val="VerbatimChar"/>
        </w:rPr>
        <w:t xml:space="preserve">  for(step in 1:length(all.days[[1]])) {</w:t>
      </w:r>
      <w:r>
        <w:br/>
      </w:r>
      <w:r>
        <w:rPr>
          <w:rStyle w:val="VerbatimChar"/>
        </w:rPr>
        <w:t xml:space="preserve">    for(days in 1:length(all.days)) {</w:t>
      </w:r>
      <w:r>
        <w:br/>
      </w:r>
      <w:r>
        <w:rPr>
          <w:rStyle w:val="VerbatimChar"/>
        </w:rPr>
        <w:t xml:space="preserve">      obj.da</w:t>
      </w:r>
      <w:r>
        <w:rPr>
          <w:rStyle w:val="VerbatimChar"/>
        </w:rPr>
        <w:t>ta &lt;- all.days[[days]]</w:t>
      </w:r>
      <w:r>
        <w:br/>
      </w:r>
      <w:r>
        <w:rPr>
          <w:rStyle w:val="VerbatimChar"/>
        </w:rPr>
        <w:t xml:space="preserve">      results &lt;- obj.data[[step]]</w:t>
      </w:r>
      <w:r>
        <w:br/>
      </w:r>
      <w:r>
        <w:rPr>
          <w:rStyle w:val="VerbatimChar"/>
        </w:rPr>
        <w:t xml:space="preserve">      temp.results &lt;- xts(cbind(results$Training.R2.D,results$Training.R2.LM), order.by = results$Test.time)</w:t>
      </w:r>
      <w:r>
        <w:br/>
      </w:r>
      <w:r>
        <w:rPr>
          <w:rStyle w:val="VerbatimChar"/>
        </w:rPr>
        <w:t xml:space="preserve">      colnames(temp.results) &lt;- paste0(days,"Day.",c("Training.R2.D", "Training.R2.LM"))</w:t>
      </w:r>
      <w:r>
        <w:br/>
      </w:r>
      <w:r>
        <w:rPr>
          <w:rStyle w:val="VerbatimChar"/>
        </w:rPr>
        <w:t xml:space="preserve"> </w:t>
      </w:r>
      <w:r>
        <w:rPr>
          <w:rStyle w:val="VerbatimChar"/>
        </w:rPr>
        <w:t xml:space="preserve">     if(days==1) {</w:t>
      </w:r>
      <w:r>
        <w:br/>
      </w:r>
      <w:r>
        <w:rPr>
          <w:rStyle w:val="VerbatimChar"/>
        </w:rPr>
        <w:t xml:space="preserve">        r2.results &lt;- temp.results</w:t>
      </w:r>
      <w:r>
        <w:br/>
      </w:r>
      <w:r>
        <w:rPr>
          <w:rStyle w:val="VerbatimChar"/>
        </w:rPr>
        <w:t xml:space="preserve">      } else {</w:t>
      </w:r>
      <w:r>
        <w:br/>
      </w:r>
      <w:r>
        <w:rPr>
          <w:rStyle w:val="VerbatimChar"/>
        </w:rPr>
        <w:t xml:space="preserve">        r2.results &lt;- cbind(r2.results, temp.results)</w:t>
      </w:r>
      <w:r>
        <w:br/>
      </w:r>
      <w:r>
        <w:rPr>
          <w:rStyle w:val="VerbatimChar"/>
        </w:rPr>
        <w:t xml:space="preserve">      }</w:t>
      </w:r>
      <w:r>
        <w:br/>
      </w:r>
      <w:r>
        <w:rPr>
          <w:rStyle w:val="VerbatimChar"/>
        </w:rPr>
        <w:t xml:space="preserve">    }</w:t>
      </w:r>
      <w:r>
        <w:br/>
      </w:r>
      <w:r>
        <w:rPr>
          <w:rStyle w:val="VerbatimChar"/>
        </w:rPr>
        <w:t xml:space="preserve">    all.horizons.training.error[[length(all.horizons.training.error)+1]] &lt;- r2.results</w:t>
      </w:r>
      <w:r>
        <w:br/>
      </w:r>
      <w:r>
        <w:rPr>
          <w:rStyle w:val="VerbatimChar"/>
        </w:rPr>
        <w:t>}</w:t>
      </w:r>
      <w:r>
        <w:br/>
      </w:r>
      <w:r>
        <w:br/>
      </w:r>
      <w:r>
        <w:rPr>
          <w:rStyle w:val="VerbatimChar"/>
        </w:rPr>
        <w:t>layout.matrix &lt;- matrix(c(1,2</w:t>
      </w:r>
      <w:r>
        <w:rPr>
          <w:rStyle w:val="VerbatimChar"/>
        </w:rPr>
        <w:t>,3,4,9,5,6,7,8,9), nrow=5, ncol=2)</w:t>
      </w:r>
      <w:r>
        <w:br/>
      </w:r>
      <w:r>
        <w:rPr>
          <w:rStyle w:val="VerbatimChar"/>
        </w:rPr>
        <w:t>layout(layout.matrix, widths=c(.5, .5), heights = c(0.225,0.225,0.225,0.225, 0.1))</w:t>
      </w:r>
      <w:r>
        <w:br/>
      </w:r>
      <w:r>
        <w:rPr>
          <w:rStyle w:val="VerbatimChar"/>
        </w:rPr>
        <w:t>par(mar=c(2.5,2.5,2.5,1), oma=c(0,2,0,0), cex=.9, family="serif")</w:t>
      </w:r>
      <w:r>
        <w:br/>
      </w:r>
      <w:r>
        <w:rPr>
          <w:rStyle w:val="VerbatimChar"/>
        </w:rPr>
        <w:t>for(step in 1:length(all.horizons.training.error)) {</w:t>
      </w:r>
      <w:r>
        <w:br/>
      </w:r>
      <w:r>
        <w:rPr>
          <w:rStyle w:val="VerbatimChar"/>
        </w:rPr>
        <w:t xml:space="preserve">  if((step %% 2)==0</w:t>
      </w:r>
      <w:r>
        <w:rPr>
          <w:rStyle w:val="VerbatimChar"/>
        </w:rPr>
        <w:t>) next</w:t>
      </w:r>
      <w:r>
        <w:br/>
      </w:r>
      <w:r>
        <w:rPr>
          <w:rStyle w:val="VerbatimChar"/>
        </w:rPr>
        <w:t xml:space="preserve">  d.plot &lt;- grep("D", colnames(all.horizons.training.error[[step]]))</w:t>
      </w:r>
      <w:r>
        <w:br/>
      </w:r>
      <w:r>
        <w:rPr>
          <w:rStyle w:val="VerbatimChar"/>
        </w:rPr>
        <w:t xml:space="preserve">  lm.plot &lt;- grep("LM", colnames(all.horizons.training.error[[step]]))</w:t>
      </w:r>
      <w:r>
        <w:br/>
      </w:r>
      <w:r>
        <w:rPr>
          <w:rStyle w:val="VerbatimChar"/>
        </w:rPr>
        <w:t xml:space="preserve">  plot.colors &lt;- rainbow(length(lm.plot))</w:t>
      </w:r>
      <w:r>
        <w:br/>
      </w:r>
      <w:r>
        <w:rPr>
          <w:rStyle w:val="VerbatimChar"/>
        </w:rPr>
        <w:t xml:space="preserve">  # Plot diurnal training r2 for each training window</w:t>
      </w:r>
      <w:r>
        <w:br/>
      </w:r>
      <w:r>
        <w:rPr>
          <w:rStyle w:val="VerbatimChar"/>
        </w:rPr>
        <w:t xml:space="preserve">  plot(as.zoo</w:t>
      </w:r>
      <w:r>
        <w:rPr>
          <w:rStyle w:val="VerbatimChar"/>
        </w:rPr>
        <w:t>(all.horizons.training.error[[step]])[,lm.plot[1]], col=plot.colors[1], xlab="", ylab="",main=paste(step*5,"min forecast"), ylim=c(0.85,1))</w:t>
      </w:r>
      <w:r>
        <w:br/>
      </w:r>
      <w:r>
        <w:rPr>
          <w:rStyle w:val="VerbatimChar"/>
        </w:rPr>
        <w:t xml:space="preserve">  if(step == 1) mtext("R-squared", side=2, line=0.5, outer=TRUE)</w:t>
      </w:r>
      <w:r>
        <w:br/>
      </w:r>
      <w:r>
        <w:rPr>
          <w:rStyle w:val="VerbatimChar"/>
        </w:rPr>
        <w:lastRenderedPageBreak/>
        <w:t xml:space="preserve">  # for(i in 2:length(d.plot)) {</w:t>
      </w:r>
      <w:r>
        <w:br/>
      </w:r>
      <w:r>
        <w:rPr>
          <w:rStyle w:val="VerbatimChar"/>
        </w:rPr>
        <w:t xml:space="preserve">  #   lines(as.zoo(all.horizons.training.error[[step]])[,d.plot[i]], col=gray.colors(length(d.plot))[i])</w:t>
      </w:r>
      <w:r>
        <w:br/>
      </w:r>
      <w:r>
        <w:rPr>
          <w:rStyle w:val="VerbatimChar"/>
        </w:rPr>
        <w:t xml:space="preserve">  # }</w:t>
      </w:r>
      <w:r>
        <w:br/>
      </w:r>
      <w:r>
        <w:rPr>
          <w:rStyle w:val="VerbatimChar"/>
        </w:rPr>
        <w:t xml:space="preserve">  for(i in 2:length(lm.plot)){</w:t>
      </w:r>
      <w:r>
        <w:br/>
      </w:r>
      <w:r>
        <w:rPr>
          <w:rStyle w:val="VerbatimChar"/>
        </w:rPr>
        <w:t xml:space="preserve">    lines(as.zoo(all.horizons.training.error[[step]])[,lm.plot[i]], col=plot.colors[i])</w:t>
      </w:r>
      <w:r>
        <w:br/>
      </w:r>
      <w:r>
        <w:rPr>
          <w:rStyle w:val="VerbatimChar"/>
        </w:rPr>
        <w:t xml:space="preserve">  }</w:t>
      </w:r>
      <w:r>
        <w:br/>
      </w:r>
      <w:r>
        <w:rPr>
          <w:rStyle w:val="VerbatimChar"/>
        </w:rPr>
        <w:t>}</w:t>
      </w:r>
      <w:r>
        <w:br/>
      </w:r>
      <w:r>
        <w:rPr>
          <w:rStyle w:val="VerbatimChar"/>
        </w:rPr>
        <w:t># Legend</w:t>
      </w:r>
      <w:r>
        <w:br/>
      </w:r>
      <w:r>
        <w:rPr>
          <w:rStyle w:val="VerbatimChar"/>
        </w:rPr>
        <w:t>par(mar=c(0</w:t>
      </w:r>
      <w:r>
        <w:rPr>
          <w:rStyle w:val="VerbatimChar"/>
        </w:rPr>
        <w:t>, 0, 0, 0))</w:t>
      </w:r>
      <w:r>
        <w:br/>
      </w:r>
      <w:r>
        <w:rPr>
          <w:rStyle w:val="VerbatimChar"/>
        </w:rPr>
        <w:t>plot(0, type="n", axes=FALSE, xlab="", ylab="", xlim=c(0, 10), ylim=c(0, 10))</w:t>
      </w:r>
      <w:r>
        <w:br/>
      </w:r>
      <w:r>
        <w:rPr>
          <w:rStyle w:val="VerbatimChar"/>
        </w:rPr>
        <w:t>legend("center",</w:t>
      </w:r>
      <w:r>
        <w:br/>
      </w:r>
      <w:r>
        <w:rPr>
          <w:rStyle w:val="VerbatimChar"/>
        </w:rPr>
        <w:t xml:space="preserve">    legend=c(paste(seq(1:length(grep("LM", colnames(all.horizons.training.error[[step]])))), "day")),</w:t>
      </w:r>
      <w:r>
        <w:br/>
      </w:r>
      <w:r>
        <w:rPr>
          <w:rStyle w:val="VerbatimChar"/>
        </w:rPr>
        <w:t xml:space="preserve">    col=plot.colors, lty=1, xpd = TRUE, title=s</w:t>
      </w:r>
      <w:r>
        <w:rPr>
          <w:rStyle w:val="VerbatimChar"/>
        </w:rPr>
        <w:t>ubstr(file,10,nchar(file)), horiz = TRUE</w:t>
      </w:r>
      <w:r>
        <w:br/>
      </w:r>
      <w:r>
        <w:rPr>
          <w:rStyle w:val="VerbatimChar"/>
        </w:rPr>
        <w:t xml:space="preserve">    )</w:t>
      </w:r>
      <w:r>
        <w:br/>
      </w:r>
      <w:r>
        <w:rPr>
          <w:rStyle w:val="VerbatimChar"/>
        </w:rPr>
        <w:t>}</w:t>
      </w:r>
    </w:p>
    <w:p w:rsidR="00210D2D" w:rsidRDefault="00DC6014">
      <w:pPr>
        <w:pStyle w:val="Heading2"/>
      </w:pPr>
      <w:bookmarkStart w:id="38" w:name="model-testing-error"/>
      <w:bookmarkStart w:id="39" w:name="_Toc23963622"/>
      <w:r>
        <w:lastRenderedPageBreak/>
        <w:t>Model testing error</w:t>
      </w:r>
      <w:bookmarkEnd w:id="38"/>
      <w:bookmarkEnd w:id="39"/>
    </w:p>
    <w:p w:rsidR="00210D2D" w:rsidRDefault="00DC6014">
      <w:pPr>
        <w:pStyle w:val="FirstParagraph"/>
      </w:pPr>
      <w:r>
        <w:rPr>
          <w:noProof/>
        </w:rPr>
        <w:drawing>
          <wp:inline distT="0" distB="0" distL="0" distR="0">
            <wp:extent cx="5943600" cy="274319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igures/Plot%20all%20models%20testing%20error-1.png"/>
                    <pic:cNvPicPr>
                      <a:picLocks noChangeAspect="1" noChangeArrowheads="1"/>
                    </pic:cNvPicPr>
                  </pic:nvPicPr>
                  <pic:blipFill>
                    <a:blip r:embed="rId34"/>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figures/Plot%20all%20models%20testing%20error-2.png"/>
                    <pic:cNvPicPr>
                      <a:picLocks noChangeAspect="1" noChangeArrowheads="1"/>
                    </pic:cNvPicPr>
                  </pic:nvPicPr>
                  <pic:blipFill>
                    <a:blip r:embed="rId35"/>
                    <a:stretch>
                      <a:fillRect/>
                    </a:stretch>
                  </pic:blipFill>
                  <pic:spPr bwMode="auto">
                    <a:xfrm>
                      <a:off x="0" y="0"/>
                      <a:ext cx="5943600" cy="2743199"/>
                    </a:xfrm>
                    <a:prstGeom prst="rect">
                      <a:avLst/>
                    </a:prstGeom>
                    <a:noFill/>
                    <a:ln w="9525">
                      <a:noFill/>
                      <a:headEnd/>
                      <a:tailEnd/>
                    </a:ln>
                  </pic:spPr>
                </pic:pic>
              </a:graphicData>
            </a:graphic>
          </wp:inline>
        </w:drawing>
      </w:r>
      <w:r>
        <w:rPr>
          <w:noProof/>
        </w:rPr>
        <w:lastRenderedPageBreak/>
        <w:drawing>
          <wp:inline distT="0" distB="0" distL="0" distR="0">
            <wp:extent cx="5943600" cy="274319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figures/Plot%20all%20models%20testing%20error-3.png"/>
                    <pic:cNvPicPr>
                      <a:picLocks noChangeAspect="1" noChangeArrowheads="1"/>
                    </pic:cNvPicPr>
                  </pic:nvPicPr>
                  <pic:blipFill>
                    <a:blip r:embed="rId36"/>
                    <a:stretch>
                      <a:fillRect/>
                    </a:stretch>
                  </pic:blipFill>
                  <pic:spPr bwMode="auto">
                    <a:xfrm>
                      <a:off x="0" y="0"/>
                      <a:ext cx="5943600" cy="2743199"/>
                    </a:xfrm>
                    <a:prstGeom prst="rect">
                      <a:avLst/>
                    </a:prstGeom>
                    <a:noFill/>
                    <a:ln w="9525">
                      <a:noFill/>
                      <a:headEnd/>
                      <a:tailEnd/>
                    </a:ln>
                  </pic:spPr>
                </pic:pic>
              </a:graphicData>
            </a:graphic>
          </wp:inline>
        </w:drawing>
      </w:r>
      <w:r>
        <w:rPr>
          <w:noProof/>
        </w:rPr>
        <w:drawing>
          <wp:inline distT="0" distB="0" distL="0" distR="0">
            <wp:extent cx="5943600" cy="274319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figures/Plot%20all%20models%20testing%20error-4.png"/>
                    <pic:cNvPicPr>
                      <a:picLocks noChangeAspect="1" noChangeArrowheads="1"/>
                    </pic:cNvPicPr>
                  </pic:nvPicPr>
                  <pic:blipFill>
                    <a:blip r:embed="rId37"/>
                    <a:stretch>
                      <a:fillRect/>
                    </a:stretch>
                  </pic:blipFill>
                  <pic:spPr bwMode="auto">
                    <a:xfrm>
                      <a:off x="0" y="0"/>
                      <a:ext cx="5943600" cy="2743199"/>
                    </a:xfrm>
                    <a:prstGeom prst="rect">
                      <a:avLst/>
                    </a:prstGeom>
                    <a:noFill/>
                    <a:ln w="9525">
                      <a:noFill/>
                      <a:headEnd/>
                      <a:tailEnd/>
                    </a:ln>
                  </pic:spPr>
                </pic:pic>
              </a:graphicData>
            </a:graphic>
          </wp:inline>
        </w:drawing>
      </w:r>
      <w:r>
        <w:rPr>
          <w:noProof/>
        </w:rPr>
        <w:lastRenderedPageBreak/>
        <w:drawing>
          <wp:inline distT="0" distB="0" distL="0" distR="0">
            <wp:extent cx="5943600" cy="274319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figures/Plot%20all%20models%20testing%20error-5.png"/>
                    <pic:cNvPicPr>
                      <a:picLocks noChangeAspect="1" noChangeArrowheads="1"/>
                    </pic:cNvPicPr>
                  </pic:nvPicPr>
                  <pic:blipFill>
                    <a:blip r:embed="rId38"/>
                    <a:stretch>
                      <a:fillRect/>
                    </a:stretch>
                  </pic:blipFill>
                  <pic:spPr bwMode="auto">
                    <a:xfrm>
                      <a:off x="0" y="0"/>
                      <a:ext cx="5943600" cy="2743199"/>
                    </a:xfrm>
                    <a:prstGeom prst="rect">
                      <a:avLst/>
                    </a:prstGeom>
                    <a:noFill/>
                    <a:ln w="9525">
                      <a:noFill/>
                      <a:headEnd/>
                      <a:tailEnd/>
                    </a:ln>
                  </pic:spPr>
                </pic:pic>
              </a:graphicData>
            </a:graphic>
          </wp:inline>
        </w:drawing>
      </w:r>
      <w:r>
        <w:t xml:space="preserve"> </w:t>
      </w:r>
      <w:r>
        <w:rPr>
          <w:rStyle w:val="Figure-Label"/>
        </w:rPr>
        <w:t>Figure 6. Testing RMSE and R-squared for each model of each test configuration</w:t>
      </w:r>
    </w:p>
    <w:p w:rsidR="00210D2D" w:rsidRDefault="00DC6014">
      <w:pPr>
        <w:pStyle w:val="SourceCode"/>
      </w:pPr>
      <w:r>
        <w:rPr>
          <w:rStyle w:val="VerbatimChar"/>
        </w:rPr>
        <w:t xml:space="preserve">##          all-days-ab3_3.5.RData          all-days-ab3_4.0.RData </w:t>
      </w:r>
      <w:r>
        <w:br/>
      </w:r>
      <w:r>
        <w:rPr>
          <w:rStyle w:val="VerbatimChar"/>
        </w:rPr>
        <w:t>##              "all.days.ab3_3.5"</w:t>
      </w:r>
      <w:r>
        <w:rPr>
          <w:rStyle w:val="VerbatimChar"/>
        </w:rPr>
        <w:t xml:space="preserve">              "all.days.ab3_4.0" </w:t>
      </w:r>
      <w:r>
        <w:br/>
      </w:r>
      <w:r>
        <w:rPr>
          <w:rStyle w:val="VerbatimChar"/>
        </w:rPr>
        <w:t xml:space="preserve">##      all-days-ab3_4.0_300.RData all-days-ab3_4.0_300_plus.RData </w:t>
      </w:r>
      <w:r>
        <w:br/>
      </w:r>
      <w:r>
        <w:rPr>
          <w:rStyle w:val="VerbatimChar"/>
        </w:rPr>
        <w:t xml:space="preserve">##          "all.days.ab3_4.0_300"     "all.days.ab3_4.0_300_plus" </w:t>
      </w:r>
      <w:r>
        <w:br/>
      </w:r>
      <w:r>
        <w:rPr>
          <w:rStyle w:val="VerbatimChar"/>
        </w:rPr>
        <w:t xml:space="preserve">##           all-days-ab3_do.RData </w:t>
      </w:r>
      <w:r>
        <w:br/>
      </w:r>
      <w:r>
        <w:rPr>
          <w:rStyle w:val="VerbatimChar"/>
        </w:rPr>
        <w:t>##               "all.days.ab3_do"</w:t>
      </w:r>
    </w:p>
    <w:p w:rsidR="00210D2D" w:rsidRDefault="00DC6014">
      <w:pPr>
        <w:pStyle w:val="FirstParagraph"/>
      </w:pPr>
      <w:r>
        <w:rPr>
          <w:noProof/>
        </w:rPr>
        <w:lastRenderedPageBreak/>
        <w:drawing>
          <wp:inline distT="0" distB="0" distL="0" distR="0">
            <wp:extent cx="5943600" cy="7315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training%20window-1.png"/>
                    <pic:cNvPicPr>
                      <a:picLocks noChangeAspect="1" noChangeArrowheads="1"/>
                    </pic:cNvPicPr>
                  </pic:nvPicPr>
                  <pic:blipFill>
                    <a:blip r:embed="rId39"/>
                    <a:stretch>
                      <a:fillRect/>
                    </a:stretch>
                  </pic:blipFill>
                  <pic:spPr bwMode="auto">
                    <a:xfrm>
                      <a:off x="0" y="0"/>
                      <a:ext cx="5943600" cy="7315200"/>
                    </a:xfrm>
                    <a:prstGeom prst="rect">
                      <a:avLst/>
                    </a:prstGeom>
                    <a:noFill/>
                    <a:ln w="9525">
                      <a:noFill/>
                      <a:headEnd/>
                      <a:tailEnd/>
                    </a:ln>
                  </pic:spPr>
                </pic:pic>
              </a:graphicData>
            </a:graphic>
          </wp:inline>
        </w:drawing>
      </w:r>
      <w:r>
        <w:rPr>
          <w:noProof/>
        </w:rPr>
        <w:lastRenderedPageBreak/>
        <w:drawing>
          <wp:inline distT="0" distB="0" distL="0" distR="0">
            <wp:extent cx="5943600" cy="7315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training%20window-2.png"/>
                    <pic:cNvPicPr>
                      <a:picLocks noChangeAspect="1" noChangeArrowheads="1"/>
                    </pic:cNvPicPr>
                  </pic:nvPicPr>
                  <pic:blipFill>
                    <a:blip r:embed="rId40"/>
                    <a:stretch>
                      <a:fillRect/>
                    </a:stretch>
                  </pic:blipFill>
                  <pic:spPr bwMode="auto">
                    <a:xfrm>
                      <a:off x="0" y="0"/>
                      <a:ext cx="5943600" cy="7315200"/>
                    </a:xfrm>
                    <a:prstGeom prst="rect">
                      <a:avLst/>
                    </a:prstGeom>
                    <a:noFill/>
                    <a:ln w="9525">
                      <a:noFill/>
                      <a:headEnd/>
                      <a:tailEnd/>
                    </a:ln>
                  </pic:spPr>
                </pic:pic>
              </a:graphicData>
            </a:graphic>
          </wp:inline>
        </w:drawing>
      </w:r>
      <w:r>
        <w:rPr>
          <w:noProof/>
        </w:rPr>
        <w:lastRenderedPageBreak/>
        <w:drawing>
          <wp:inline distT="0" distB="0" distL="0" distR="0">
            <wp:extent cx="5943600" cy="7315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training%20window-3.png"/>
                    <pic:cNvPicPr>
                      <a:picLocks noChangeAspect="1" noChangeArrowheads="1"/>
                    </pic:cNvPicPr>
                  </pic:nvPicPr>
                  <pic:blipFill>
                    <a:blip r:embed="rId41"/>
                    <a:stretch>
                      <a:fillRect/>
                    </a:stretch>
                  </pic:blipFill>
                  <pic:spPr bwMode="auto">
                    <a:xfrm>
                      <a:off x="0" y="0"/>
                      <a:ext cx="5943600" cy="7315200"/>
                    </a:xfrm>
                    <a:prstGeom prst="rect">
                      <a:avLst/>
                    </a:prstGeom>
                    <a:noFill/>
                    <a:ln w="9525">
                      <a:noFill/>
                      <a:headEnd/>
                      <a:tailEnd/>
                    </a:ln>
                  </pic:spPr>
                </pic:pic>
              </a:graphicData>
            </a:graphic>
          </wp:inline>
        </w:drawing>
      </w:r>
      <w:r>
        <w:rPr>
          <w:noProof/>
        </w:rPr>
        <w:lastRenderedPageBreak/>
        <w:drawing>
          <wp:inline distT="0" distB="0" distL="0" distR="0">
            <wp:extent cx="5943600" cy="7315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training%20window-4.png"/>
                    <pic:cNvPicPr>
                      <a:picLocks noChangeAspect="1" noChangeArrowheads="1"/>
                    </pic:cNvPicPr>
                  </pic:nvPicPr>
                  <pic:blipFill>
                    <a:blip r:embed="rId42"/>
                    <a:stretch>
                      <a:fillRect/>
                    </a:stretch>
                  </pic:blipFill>
                  <pic:spPr bwMode="auto">
                    <a:xfrm>
                      <a:off x="0" y="0"/>
                      <a:ext cx="5943600" cy="7315200"/>
                    </a:xfrm>
                    <a:prstGeom prst="rect">
                      <a:avLst/>
                    </a:prstGeom>
                    <a:noFill/>
                    <a:ln w="9525">
                      <a:noFill/>
                      <a:headEnd/>
                      <a:tailEnd/>
                    </a:ln>
                  </pic:spPr>
                </pic:pic>
              </a:graphicData>
            </a:graphic>
          </wp:inline>
        </w:drawing>
      </w:r>
      <w:r>
        <w:rPr>
          <w:noProof/>
        </w:rPr>
        <w:lastRenderedPageBreak/>
        <w:drawing>
          <wp:inline distT="0" distB="0" distL="0" distR="0">
            <wp:extent cx="5943600" cy="7315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figures/Plot%20model%20training%20error%20by%20training%20window-5.png"/>
                    <pic:cNvPicPr>
                      <a:picLocks noChangeAspect="1" noChangeArrowheads="1"/>
                    </pic:cNvPicPr>
                  </pic:nvPicPr>
                  <pic:blipFill>
                    <a:blip r:embed="rId43"/>
                    <a:stretch>
                      <a:fillRect/>
                    </a:stretch>
                  </pic:blipFill>
                  <pic:spPr bwMode="auto">
                    <a:xfrm>
                      <a:off x="0" y="0"/>
                      <a:ext cx="5943600" cy="7315200"/>
                    </a:xfrm>
                    <a:prstGeom prst="rect">
                      <a:avLst/>
                    </a:prstGeom>
                    <a:noFill/>
                    <a:ln w="9525">
                      <a:noFill/>
                      <a:headEnd/>
                      <a:tailEnd/>
                    </a:ln>
                  </pic:spPr>
                </pic:pic>
              </a:graphicData>
            </a:graphic>
          </wp:inline>
        </w:drawing>
      </w:r>
    </w:p>
    <w:p w:rsidR="00210D2D" w:rsidRDefault="00DC6014">
      <w:pPr>
        <w:pStyle w:val="Heading5"/>
      </w:pPr>
      <w:bookmarkStart w:id="40" w:name="page-break-2"/>
      <w:r>
        <w:lastRenderedPageBreak/>
        <w:t>Page brea</w:t>
      </w:r>
      <w:r>
        <w:t>k</w:t>
      </w:r>
      <w:bookmarkEnd w:id="40"/>
    </w:p>
    <w:p w:rsidR="00210D2D" w:rsidRDefault="00DC6014">
      <w:pPr>
        <w:pStyle w:val="Bibliography"/>
      </w:pPr>
      <w:bookmarkStart w:id="41" w:name="ref-brosilow2002techniques"/>
      <w:bookmarkStart w:id="42" w:name="refs"/>
      <w:r>
        <w:t>Brosilow, Coleman, and Babu Joseph. 2002. “Techniques of Model-Based Control.” In. Prentice Hall Professional.</w:t>
      </w:r>
    </w:p>
    <w:p w:rsidR="00210D2D" w:rsidRDefault="00DC6014">
      <w:pPr>
        <w:pStyle w:val="Bibliography"/>
      </w:pPr>
      <w:bookmarkStart w:id="43" w:name="ref-weftec2019"/>
      <w:bookmarkEnd w:id="41"/>
      <w:r>
        <w:t>Burger, Gillian, Cole Sigmon, Christopher Marks, Conor Tyler, Christopher Bye, Daniela Conidi, and Kevan Brian. 2019. “Modeling Aeration Perfor</w:t>
      </w:r>
      <w:r>
        <w:t xml:space="preserve">mance for Energy Reduction.” In </w:t>
      </w:r>
      <w:r>
        <w:rPr>
          <w:i/>
        </w:rPr>
        <w:t>Proceedings of the Water Environment Federation</w:t>
      </w:r>
      <w:r>
        <w:t>. Vol. 2019.</w:t>
      </w:r>
    </w:p>
    <w:p w:rsidR="00210D2D" w:rsidRDefault="00DC6014">
      <w:pPr>
        <w:pStyle w:val="Bibliography"/>
      </w:pPr>
      <w:bookmarkStart w:id="44" w:name="ref-james2013introduction"/>
      <w:bookmarkEnd w:id="43"/>
      <w:r>
        <w:t xml:space="preserve">James, Gareth, Daniela Witten, Trevor Hastie, and Robert Tibshirani. 2013. </w:t>
      </w:r>
      <w:r>
        <w:rPr>
          <w:i/>
        </w:rPr>
        <w:t>An Introduction to Statistical Learning</w:t>
      </w:r>
      <w:r>
        <w:t>. Vol. 112. Springer.</w:t>
      </w:r>
    </w:p>
    <w:p w:rsidR="00210D2D" w:rsidRDefault="00DC6014">
      <w:pPr>
        <w:pStyle w:val="Bibliography"/>
      </w:pPr>
      <w:bookmarkStart w:id="45" w:name="ref-visioli2006practical"/>
      <w:bookmarkEnd w:id="44"/>
      <w:r>
        <w:t xml:space="preserve">Visioli, Antonio. 2006. </w:t>
      </w:r>
      <w:r>
        <w:rPr>
          <w:i/>
        </w:rPr>
        <w:t>Prac</w:t>
      </w:r>
      <w:r>
        <w:rPr>
          <w:i/>
        </w:rPr>
        <w:t>tical Pid Control</w:t>
      </w:r>
      <w:r>
        <w:t>. Springer Science &amp; Business Media.</w:t>
      </w:r>
      <w:bookmarkEnd w:id="42"/>
      <w:bookmarkEnd w:id="45"/>
    </w:p>
    <w:sectPr w:rsidR="00210D2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6014" w:rsidRDefault="00DC6014">
      <w:pPr>
        <w:spacing w:after="0"/>
      </w:pPr>
      <w:r>
        <w:separator/>
      </w:r>
    </w:p>
  </w:endnote>
  <w:endnote w:type="continuationSeparator" w:id="0">
    <w:p w:rsidR="00DC6014" w:rsidRDefault="00DC60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6014" w:rsidRDefault="00DC6014">
      <w:r>
        <w:separator/>
      </w:r>
    </w:p>
  </w:footnote>
  <w:footnote w:type="continuationSeparator" w:id="0">
    <w:p w:rsidR="00DC6014" w:rsidRDefault="00DC60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CA4FF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6320381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83EF8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FB6086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420768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F062B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07C346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DD691F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98E96C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49657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D8ED7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0A746A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10"/>
  </w:num>
  <w:num w:numId="9">
    <w:abstractNumId w:val="8"/>
  </w:num>
  <w:num w:numId="10">
    <w:abstractNumId w:val="7"/>
  </w:num>
  <w:num w:numId="11">
    <w:abstractNumId w:val="6"/>
  </w:num>
  <w:num w:numId="12">
    <w:abstractNumId w:val="5"/>
  </w:num>
  <w:num w:numId="13">
    <w:abstractNumId w:val="9"/>
  </w:num>
  <w:num w:numId="14">
    <w:abstractNumId w:val="4"/>
  </w:num>
  <w:num w:numId="15">
    <w:abstractNumId w:val="3"/>
  </w:num>
  <w:num w:numId="16">
    <w:abstractNumId w:val="2"/>
  </w:num>
  <w:num w:numId="17">
    <w:abstractNumId w:val="1"/>
  </w:num>
  <w:num w:numId="18">
    <w:abstractNumId w:val="11"/>
  </w:num>
  <w:num w:numId="19">
    <w:abstractNumId w:val="0"/>
  </w:num>
  <w:num w:numId="20">
    <w:abstractNumId w:val="0"/>
  </w:num>
  <w:num w:numId="21">
    <w:abstractNumId w:val="0"/>
  </w:num>
  <w:num w:numId="22">
    <w:abstractNumId w:val="0"/>
  </w:num>
  <w:num w:numId="23">
    <w:abstractNumId w:val="11"/>
  </w:num>
  <w:num w:numId="24">
    <w:abstractNumId w:val="0"/>
  </w:num>
  <w:num w:numId="25">
    <w:abstractNumId w:val="0"/>
  </w:num>
  <w:num w:numId="26">
    <w:abstractNumId w:val="11"/>
  </w:num>
  <w:num w:numId="27">
    <w:abstractNumId w:val="0"/>
  </w:num>
  <w:num w:numId="28">
    <w:abstractNumId w:val="11"/>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10D2D"/>
    <w:rsid w:val="004E29B3"/>
    <w:rsid w:val="00590D07"/>
    <w:rsid w:val="00784D58"/>
    <w:rsid w:val="008D6863"/>
    <w:rsid w:val="00902737"/>
    <w:rsid w:val="00B86B75"/>
    <w:rsid w:val="00BC48D5"/>
    <w:rsid w:val="00BF3034"/>
    <w:rsid w:val="00C36279"/>
    <w:rsid w:val="00DC601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7B626"/>
  <w15:docId w15:val="{1D9A495D-03C8-4199-8BC2-F8BE6F4D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772BE"/>
    <w:rPr>
      <w:rFonts w:ascii="Times New Roman" w:hAnsi="Times New Roman" w:cs="Times New Roman"/>
    </w:rPr>
  </w:style>
  <w:style w:type="paragraph" w:styleId="Heading1">
    <w:name w:val="heading 1"/>
    <w:basedOn w:val="Normal"/>
    <w:next w:val="BodyText"/>
    <w:uiPriority w:val="9"/>
    <w:qFormat/>
    <w:rsid w:val="00C260BE"/>
    <w:pPr>
      <w:keepNext/>
      <w:keepLines/>
      <w:spacing w:before="480" w:after="0"/>
      <w:outlineLvl w:val="0"/>
    </w:pPr>
    <w:rPr>
      <w:rFonts w:eastAsiaTheme="majorEastAsia"/>
      <w:b/>
      <w:bCs/>
    </w:rPr>
  </w:style>
  <w:style w:type="paragraph" w:styleId="Heading2">
    <w:name w:val="heading 2"/>
    <w:basedOn w:val="Normal"/>
    <w:next w:val="BodyText"/>
    <w:uiPriority w:val="9"/>
    <w:unhideWhenUsed/>
    <w:qFormat/>
    <w:rsid w:val="00C260BE"/>
    <w:pPr>
      <w:keepNext/>
      <w:keepLines/>
      <w:spacing w:before="200" w:after="0"/>
      <w:outlineLvl w:val="1"/>
    </w:pPr>
    <w:rPr>
      <w:rFonts w:eastAsiaTheme="majorEastAsia"/>
      <w:b/>
      <w:bCs/>
    </w:rPr>
  </w:style>
  <w:style w:type="paragraph" w:styleId="Heading3">
    <w:name w:val="heading 3"/>
    <w:basedOn w:val="Normal"/>
    <w:next w:val="BodyText"/>
    <w:uiPriority w:val="9"/>
    <w:unhideWhenUsed/>
    <w:qFormat/>
    <w:rsid w:val="00C260BE"/>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C260BE"/>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1040F9"/>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260BE"/>
    <w:pPr>
      <w:spacing w:before="180" w:after="180"/>
    </w:pPr>
  </w:style>
  <w:style w:type="paragraph" w:customStyle="1" w:styleId="FirstParagraph">
    <w:name w:val="First Paragraph"/>
    <w:basedOn w:val="BodyText"/>
    <w:next w:val="BodyText"/>
    <w:qFormat/>
    <w:rsid w:val="00C260BE"/>
  </w:style>
  <w:style w:type="paragraph" w:customStyle="1" w:styleId="Compact">
    <w:name w:val="Compact"/>
    <w:basedOn w:val="BodyText"/>
    <w:qFormat/>
    <w:rsid w:val="00C260BE"/>
    <w:pPr>
      <w:spacing w:before="36" w:after="36"/>
      <w:jc w:val="center"/>
    </w:pPr>
    <w:rPr>
      <w:noProof/>
    </w:rPr>
  </w:style>
  <w:style w:type="paragraph" w:styleId="Title">
    <w:name w:val="Title"/>
    <w:basedOn w:val="Normal"/>
    <w:next w:val="BodyText"/>
    <w:qFormat/>
    <w:rsid w:val="00C260BE"/>
    <w:pPr>
      <w:keepNext/>
      <w:keepLines/>
      <w:spacing w:before="480" w:after="240"/>
      <w:jc w:val="center"/>
    </w:pPr>
    <w:rPr>
      <w:rFonts w:eastAsiaTheme="majorEastAsia"/>
      <w:b/>
      <w:bC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60BE"/>
    <w:pPr>
      <w:keepNext/>
      <w:keepLines/>
      <w:jc w:val="center"/>
    </w:pPr>
    <w:rPr>
      <w:rFonts w:ascii="Times New Roman" w:hAnsi="Times New Roman" w:cs="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C260BE"/>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C260BE"/>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C260BE"/>
    <w:rPr>
      <w:color w:val="4F81BD" w:themeColor="accent1"/>
    </w:rPr>
  </w:style>
  <w:style w:type="paragraph" w:styleId="TOCHeading">
    <w:name w:val="TOC Heading"/>
    <w:basedOn w:val="Heading1"/>
    <w:next w:val="BodyText"/>
    <w:uiPriority w:val="39"/>
    <w:unhideWhenUsed/>
    <w:qFormat/>
    <w:rsid w:val="00C260BE"/>
    <w:pPr>
      <w:spacing w:before="240" w:line="259" w:lineRule="auto"/>
      <w:outlineLvl w:val="9"/>
    </w:pPr>
    <w:rPr>
      <w:bCs w:val="0"/>
    </w:rPr>
  </w:style>
  <w:style w:type="character" w:customStyle="1" w:styleId="Figure-Label">
    <w:name w:val="Figure-Label"/>
    <w:basedOn w:val="CaptionChar"/>
    <w:rsid w:val="00C260BE"/>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260BE"/>
    <w:pPr>
      <w:tabs>
        <w:tab w:val="right" w:leader="dot" w:pos="9350"/>
      </w:tabs>
      <w:spacing w:after="100"/>
    </w:pPr>
    <w:rPr>
      <w:noProof/>
    </w:rPr>
  </w:style>
  <w:style w:type="paragraph" w:styleId="TOC2">
    <w:name w:val="toc 2"/>
    <w:basedOn w:val="Normal"/>
    <w:next w:val="Normal"/>
    <w:autoRedefine/>
    <w:uiPriority w:val="39"/>
    <w:unhideWhenUsed/>
    <w:rsid w:val="00C260BE"/>
    <w:pPr>
      <w:tabs>
        <w:tab w:val="right" w:leader="dot" w:pos="9350"/>
      </w:tabs>
      <w:spacing w:after="100"/>
      <w:ind w:left="240"/>
    </w:pPr>
    <w:rPr>
      <w:noProof/>
    </w:rPr>
  </w:style>
  <w:style w:type="paragraph" w:styleId="TOC3">
    <w:name w:val="toc 3"/>
    <w:basedOn w:val="Normal"/>
    <w:next w:val="Normal"/>
    <w:autoRedefine/>
    <w:uiPriority w:val="39"/>
    <w:unhideWhenUsed/>
    <w:rsid w:val="00C260BE"/>
    <w:pPr>
      <w:tabs>
        <w:tab w:val="right" w:leader="dot" w:pos="9350"/>
      </w:tabs>
      <w:spacing w:after="100"/>
      <w:ind w:left="480"/>
    </w:pPr>
    <w:rPr>
      <w:noProof/>
    </w:rPr>
  </w:style>
  <w:style w:type="paragraph" w:styleId="BalloonText">
    <w:name w:val="Balloon Text"/>
    <w:basedOn w:val="Normal"/>
    <w:link w:val="BalloonTextChar"/>
    <w:semiHidden/>
    <w:unhideWhenUsed/>
    <w:rsid w:val="00C260B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260BE"/>
    <w:rPr>
      <w:rFonts w:ascii="Segoe UI" w:hAnsi="Segoe UI" w:cs="Segoe UI"/>
      <w:sz w:val="18"/>
      <w:szCs w:val="18"/>
    </w:rPr>
  </w:style>
  <w:style w:type="character" w:customStyle="1" w:styleId="BodyTextChar">
    <w:name w:val="Body Text Char"/>
    <w:basedOn w:val="DefaultParagraphFont"/>
    <w:link w:val="BodyText"/>
    <w:rsid w:val="00C260BE"/>
    <w:rPr>
      <w:rFonts w:ascii="Times New Roman" w:hAnsi="Times New Roman" w:cs="Times New Roman"/>
    </w:rPr>
  </w:style>
  <w:style w:type="paragraph" w:customStyle="1" w:styleId="Notes">
    <w:name w:val="Notes"/>
    <w:basedOn w:val="BodyText"/>
    <w:qFormat/>
    <w:rsid w:val="005B31F9"/>
    <w:rPr>
      <w:color w:val="FF0000"/>
    </w:rPr>
  </w:style>
  <w:style w:type="character" w:customStyle="1" w:styleId="Notes0">
    <w:name w:val="Notes"/>
    <w:basedOn w:val="BodyTextChar"/>
    <w:rsid w:val="00902737"/>
    <w:rPr>
      <w:rFonts w:ascii="Times New Roman" w:hAnsi="Times New Roman" w:cs="Times New Roman"/>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3757</Words>
  <Characters>21416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Use of forecasting models for improved PID control in wastewater treatment</vt:lpstr>
    </vt:vector>
  </TitlesOfParts>
  <Company/>
  <LinksUpToDate>false</LinksUpToDate>
  <CharactersWithSpaces>25123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forecasting models for improved PID control in wastewater treatment</dc:title>
  <dc:creator>Kathryn B. Newhart</dc:creator>
  <cp:keywords/>
  <cp:lastModifiedBy>Kate Newhart</cp:lastModifiedBy>
  <cp:revision>2</cp:revision>
  <dcterms:created xsi:type="dcterms:W3CDTF">2019-11-07T03:24:00Z</dcterms:created>
  <dcterms:modified xsi:type="dcterms:W3CDTF">2019-11-07T03:24:00Z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