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5EC" w:rsidRDefault="00AA2ABC">
      <w:pPr>
        <w:pStyle w:val="Title"/>
      </w:pPr>
      <w:r>
        <w:t>MWRD PAA</w:t>
      </w:r>
    </w:p>
    <w:p w:rsidR="00E875EC" w:rsidRDefault="00AA2ABC">
      <w:pPr>
        <w:pStyle w:val="Author"/>
      </w:pPr>
      <w:r>
        <w:t>Kathryn B. Newhart</w:t>
      </w:r>
    </w:p>
    <w:p w:rsidR="00E875EC" w:rsidRDefault="00AA2ABC">
      <w:pPr>
        <w:pStyle w:val="Date"/>
      </w:pPr>
      <w:r>
        <w:t>3/28/2019</w:t>
      </w:r>
    </w:p>
    <w:p w:rsidR="00E875EC" w:rsidRDefault="00AA2ABC">
      <w:pPr>
        <w:pStyle w:val="Heading1"/>
      </w:pPr>
      <w:bookmarkStart w:id="0" w:name="introduction"/>
      <w:bookmarkEnd w:id="0"/>
      <w:r>
        <w:t>Introduction</w:t>
      </w:r>
    </w:p>
    <w:p w:rsidR="00E875EC" w:rsidRDefault="00AA2ABC">
      <w:pPr>
        <w:pStyle w:val="FirstParagraph"/>
      </w:pPr>
      <w:r>
        <w:t>The Robert W. Hite Treatment Facility, operated by the Metro Wastewater Reclamation District (MWRD) of Denver, CO, treats ~130 million gallons per day (MGD) of wastewater produced by ~2 million people from the Denver-metro area and is the largest wastewate</w:t>
      </w:r>
      <w:r>
        <w:t xml:space="preserve">r treatment facility in the Rocky Mountain west. In an effort to reduce the cost of disinfection, a peracetic acid (PAA) system was installed to replace the existing chloramine system. However, due to variable influent </w:t>
      </w:r>
      <w:r>
        <w:rPr>
          <w:i/>
        </w:rPr>
        <w:t>E. coli</w:t>
      </w:r>
      <w:r>
        <w:t xml:space="preserve"> concentrations to the disinfe</w:t>
      </w:r>
      <w:r>
        <w:t xml:space="preserve">ction system, it has been difficult to optimize the dosing of PAA to keep below </w:t>
      </w:r>
      <w:r>
        <w:rPr>
          <w:i/>
        </w:rPr>
        <w:t>E. coli</w:t>
      </w:r>
      <w:r>
        <w:t xml:space="preserve"> limits of 126 (most probable number [MPN])/100 mL based on a 30-day geometric mean and 252 MPN/100 mL based on a 7-day geometric mean. In practice, PAA is overdosed to </w:t>
      </w:r>
      <w:r>
        <w:t xml:space="preserve">ensure that MWRD is meeting it’s discharge limit. The goal of this work is to identify correlations between upstream operating conditions in the secondary activated sludge system, </w:t>
      </w:r>
      <w:r>
        <w:rPr>
          <w:i/>
        </w:rPr>
        <w:t>E. coli</w:t>
      </w:r>
      <w:r>
        <w:t xml:space="preserve"> concentrations, and PAA dosing.</w:t>
      </w:r>
    </w:p>
    <w:p w:rsidR="00E875EC" w:rsidRDefault="00AA2ABC">
      <w:pPr>
        <w:pStyle w:val="Heading1"/>
      </w:pPr>
      <w:bookmarkStart w:id="1" w:name="goals"/>
      <w:bookmarkEnd w:id="1"/>
      <w:r>
        <w:t>Goals</w:t>
      </w:r>
    </w:p>
    <w:p w:rsidR="00E875EC" w:rsidRDefault="00AA2ABC">
      <w:pPr>
        <w:pStyle w:val="FirstParagraph"/>
      </w:pPr>
      <w:r>
        <w:t>Design a PAA disinfection dosi</w:t>
      </w:r>
      <w:r>
        <w:t>ng system that account for:</w:t>
      </w:r>
    </w:p>
    <w:p w:rsidR="00E875EC" w:rsidRPr="00823AEB" w:rsidRDefault="00AA2ABC" w:rsidP="00823AEB">
      <w:pPr>
        <w:pStyle w:val="Numbered"/>
      </w:pPr>
      <w:r w:rsidRPr="00823AEB">
        <w:t>Upstream secondary treatment performance</w:t>
      </w:r>
    </w:p>
    <w:p w:rsidR="00E875EC" w:rsidRPr="00823AEB" w:rsidRDefault="00AA2ABC" w:rsidP="00823AEB">
      <w:pPr>
        <w:pStyle w:val="Numbered"/>
      </w:pPr>
      <w:r w:rsidRPr="00823AEB">
        <w:t>Flowrate through the disinfection basin (i.e., hydraulic retention time or HRT)</w:t>
      </w:r>
    </w:p>
    <w:p w:rsidR="00E875EC" w:rsidRPr="00823AEB" w:rsidRDefault="00AA2ABC" w:rsidP="00823AEB">
      <w:pPr>
        <w:pStyle w:val="Numbered"/>
      </w:pPr>
      <w:r w:rsidRPr="00823AEB">
        <w:t>Flow conditions in receiving water body (e.g., low, mid-range, high, dry, moist)</w:t>
      </w:r>
    </w:p>
    <w:p w:rsidR="00E875EC" w:rsidRDefault="00AA2ABC">
      <w:pPr>
        <w:pStyle w:val="Heading1"/>
      </w:pPr>
      <w:bookmarkStart w:id="2" w:name="questions"/>
      <w:bookmarkEnd w:id="2"/>
      <w:r>
        <w:t>Q</w:t>
      </w:r>
      <w:r>
        <w:t>uestions</w:t>
      </w:r>
    </w:p>
    <w:p w:rsidR="00E875EC" w:rsidRDefault="00AA2ABC" w:rsidP="00823AEB">
      <w:pPr>
        <w:pStyle w:val="Compact"/>
        <w:numPr>
          <w:ilvl w:val="0"/>
          <w:numId w:val="25"/>
        </w:numPr>
      </w:pPr>
      <w:r>
        <w:t>What effects pre</w:t>
      </w:r>
      <w:r>
        <w:t xml:space="preserve">-disinifection </w:t>
      </w:r>
      <w:r>
        <w:rPr>
          <w:i/>
        </w:rPr>
        <w:t>E. coli</w:t>
      </w:r>
      <w:r>
        <w:t>?</w:t>
      </w:r>
    </w:p>
    <w:p w:rsidR="00E875EC" w:rsidRDefault="00AA2ABC" w:rsidP="00823AEB">
      <w:pPr>
        <w:pStyle w:val="Compact"/>
        <w:numPr>
          <w:ilvl w:val="0"/>
          <w:numId w:val="25"/>
        </w:numPr>
      </w:pPr>
      <w:r>
        <w:t>What effects PAA disinfection efficiency?</w:t>
      </w:r>
    </w:p>
    <w:p w:rsidR="00E875EC" w:rsidRDefault="00AA2ABC">
      <w:pPr>
        <w:pStyle w:val="Heading1"/>
      </w:pPr>
      <w:bookmarkStart w:id="3" w:name="procedure"/>
      <w:bookmarkEnd w:id="3"/>
      <w:r>
        <w:t>P</w:t>
      </w:r>
      <w:r>
        <w:t>rocedure</w:t>
      </w:r>
    </w:p>
    <w:p w:rsidR="00E875EC" w:rsidRDefault="00AA2ABC">
      <w:pPr>
        <w:pStyle w:val="FirstParagraph"/>
      </w:pPr>
      <w:r>
        <w:t>Data was provided by MWRD at a variety of intervals and locations in the treatment process:</w:t>
      </w:r>
    </w:p>
    <w:tbl>
      <w:tblPr>
        <w:tblW w:w="0" w:type="pct"/>
        <w:tblLook w:val="07E0" w:firstRow="1" w:lastRow="1" w:firstColumn="1" w:lastColumn="1" w:noHBand="1" w:noVBand="1"/>
      </w:tblPr>
      <w:tblGrid>
        <w:gridCol w:w="1662"/>
        <w:gridCol w:w="1061"/>
        <w:gridCol w:w="1236"/>
        <w:gridCol w:w="5401"/>
      </w:tblGrid>
      <w:tr w:rsidR="00E875EC" w:rsidRPr="00823AEB">
        <w:tc>
          <w:tcPr>
            <w:tcW w:w="0" w:type="auto"/>
            <w:tcBorders>
              <w:bottom w:val="single" w:sz="0" w:space="0" w:color="auto"/>
            </w:tcBorders>
            <w:vAlign w:val="bottom"/>
          </w:tcPr>
          <w:p w:rsidR="00E875EC" w:rsidRPr="00823AEB" w:rsidRDefault="00AA2ABC" w:rsidP="00823AEB">
            <w:pPr>
              <w:pStyle w:val="Compact"/>
            </w:pPr>
            <w:r w:rsidRPr="00823AEB">
              <w:t>Location</w:t>
            </w:r>
          </w:p>
        </w:tc>
        <w:tc>
          <w:tcPr>
            <w:tcW w:w="0" w:type="auto"/>
            <w:tcBorders>
              <w:bottom w:val="single" w:sz="0" w:space="0" w:color="auto"/>
            </w:tcBorders>
            <w:vAlign w:val="bottom"/>
          </w:tcPr>
          <w:p w:rsidR="00E875EC" w:rsidRPr="00823AEB" w:rsidRDefault="00AA2ABC" w:rsidP="00823AEB">
            <w:pPr>
              <w:pStyle w:val="Compact"/>
            </w:pPr>
            <w:r w:rsidRPr="00823AEB">
              <w:t>Frequency</w:t>
            </w:r>
          </w:p>
        </w:tc>
        <w:tc>
          <w:tcPr>
            <w:tcW w:w="0" w:type="auto"/>
            <w:tcBorders>
              <w:bottom w:val="single" w:sz="0" w:space="0" w:color="auto"/>
            </w:tcBorders>
            <w:vAlign w:val="bottom"/>
          </w:tcPr>
          <w:p w:rsidR="00E875EC" w:rsidRPr="00823AEB" w:rsidRDefault="00AA2ABC" w:rsidP="00823AEB">
            <w:pPr>
              <w:pStyle w:val="Compact"/>
            </w:pPr>
            <w:r w:rsidRPr="00823AEB">
              <w:t>Source</w:t>
            </w:r>
          </w:p>
        </w:tc>
        <w:tc>
          <w:tcPr>
            <w:tcW w:w="0" w:type="auto"/>
            <w:tcBorders>
              <w:bottom w:val="single" w:sz="0" w:space="0" w:color="auto"/>
            </w:tcBorders>
            <w:vAlign w:val="bottom"/>
          </w:tcPr>
          <w:p w:rsidR="00E875EC" w:rsidRPr="00823AEB" w:rsidRDefault="00AA2ABC" w:rsidP="00823AEB">
            <w:pPr>
              <w:pStyle w:val="Compact"/>
            </w:pPr>
            <w:r w:rsidRPr="00823AEB">
              <w:t>Variables</w:t>
            </w:r>
          </w:p>
        </w:tc>
      </w:tr>
      <w:tr w:rsidR="00E875EC" w:rsidRPr="00823AEB">
        <w:tc>
          <w:tcPr>
            <w:tcW w:w="0" w:type="auto"/>
          </w:tcPr>
          <w:p w:rsidR="00E875EC" w:rsidRPr="00823AEB" w:rsidRDefault="00AA2ABC" w:rsidP="00823AEB">
            <w:pPr>
              <w:pStyle w:val="Compact"/>
            </w:pPr>
            <w:r w:rsidRPr="00823AEB">
              <w:t>North Secondary</w:t>
            </w:r>
          </w:p>
        </w:tc>
        <w:tc>
          <w:tcPr>
            <w:tcW w:w="0" w:type="auto"/>
          </w:tcPr>
          <w:p w:rsidR="00E875EC" w:rsidRPr="00823AEB" w:rsidRDefault="00AA2ABC" w:rsidP="00823AEB">
            <w:pPr>
              <w:pStyle w:val="Compact"/>
            </w:pPr>
            <w:r w:rsidRPr="00823AEB">
              <w:t>15 min</w:t>
            </w:r>
          </w:p>
        </w:tc>
        <w:tc>
          <w:tcPr>
            <w:tcW w:w="0" w:type="auto"/>
          </w:tcPr>
          <w:p w:rsidR="00E875EC" w:rsidRPr="00823AEB" w:rsidRDefault="00AA2ABC" w:rsidP="00823AEB">
            <w:pPr>
              <w:pStyle w:val="Compact"/>
            </w:pPr>
            <w:r w:rsidRPr="00823AEB">
              <w:t>Sensors</w:t>
            </w:r>
          </w:p>
        </w:tc>
        <w:tc>
          <w:tcPr>
            <w:tcW w:w="0" w:type="auto"/>
          </w:tcPr>
          <w:p w:rsidR="00E875EC" w:rsidRPr="00823AEB" w:rsidRDefault="00AA2ABC" w:rsidP="00823AEB">
            <w:pPr>
              <w:pStyle w:val="Compact"/>
            </w:pPr>
            <w:r w:rsidRPr="00823AEB">
              <w:t>Influent/recirculation/effluent flow, Temperature, Ammonia, TSS, COD, pH</w:t>
            </w:r>
            <w:bookmarkStart w:id="4" w:name="_GoBack"/>
            <w:bookmarkEnd w:id="4"/>
            <w:r w:rsidRPr="00823AEB">
              <w:t>, DO, SRT, Nitrate, Ortho-P, Nitrite</w:t>
            </w:r>
          </w:p>
        </w:tc>
      </w:tr>
      <w:tr w:rsidR="00E875EC" w:rsidRPr="00823AEB">
        <w:tc>
          <w:tcPr>
            <w:tcW w:w="0" w:type="auto"/>
          </w:tcPr>
          <w:p w:rsidR="00E875EC" w:rsidRPr="00823AEB" w:rsidRDefault="00AA2ABC" w:rsidP="00823AEB">
            <w:pPr>
              <w:pStyle w:val="Compact"/>
            </w:pPr>
            <w:r w:rsidRPr="00823AEB">
              <w:t>North Disinfection</w:t>
            </w:r>
          </w:p>
        </w:tc>
        <w:tc>
          <w:tcPr>
            <w:tcW w:w="0" w:type="auto"/>
          </w:tcPr>
          <w:p w:rsidR="00E875EC" w:rsidRPr="00823AEB" w:rsidRDefault="00AA2ABC" w:rsidP="00823AEB">
            <w:pPr>
              <w:pStyle w:val="Compact"/>
            </w:pPr>
            <w:r w:rsidRPr="00823AEB">
              <w:t>15 min</w:t>
            </w:r>
          </w:p>
        </w:tc>
        <w:tc>
          <w:tcPr>
            <w:tcW w:w="0" w:type="auto"/>
          </w:tcPr>
          <w:p w:rsidR="00E875EC" w:rsidRPr="00823AEB" w:rsidRDefault="00AA2ABC" w:rsidP="00823AEB">
            <w:pPr>
              <w:pStyle w:val="Compact"/>
            </w:pPr>
            <w:r w:rsidRPr="00823AEB">
              <w:t>Sensors</w:t>
            </w:r>
          </w:p>
        </w:tc>
        <w:tc>
          <w:tcPr>
            <w:tcW w:w="0" w:type="auto"/>
          </w:tcPr>
          <w:p w:rsidR="00E875EC" w:rsidRPr="00823AEB" w:rsidRDefault="00AA2ABC" w:rsidP="00823AEB">
            <w:pPr>
              <w:pStyle w:val="Compact"/>
            </w:pPr>
            <w:r w:rsidRPr="00823AEB">
              <w:t>Influent flow, PAA residual, PAA pump flow, PAA setpoint, HRT</w:t>
            </w:r>
          </w:p>
        </w:tc>
      </w:tr>
      <w:tr w:rsidR="00E875EC" w:rsidRPr="00823AEB">
        <w:tc>
          <w:tcPr>
            <w:tcW w:w="0" w:type="auto"/>
          </w:tcPr>
          <w:p w:rsidR="00E875EC" w:rsidRPr="00823AEB" w:rsidRDefault="00AA2ABC" w:rsidP="00823AEB">
            <w:pPr>
              <w:pStyle w:val="Compact"/>
            </w:pPr>
            <w:r w:rsidRPr="00823AEB">
              <w:t>North Disinfection</w:t>
            </w:r>
          </w:p>
        </w:tc>
        <w:tc>
          <w:tcPr>
            <w:tcW w:w="0" w:type="auto"/>
          </w:tcPr>
          <w:p w:rsidR="00E875EC" w:rsidRPr="00823AEB" w:rsidRDefault="00AA2ABC" w:rsidP="00823AEB">
            <w:pPr>
              <w:pStyle w:val="Compact"/>
            </w:pPr>
            <w:r w:rsidRPr="00823AEB">
              <w:t>Daily</w:t>
            </w:r>
          </w:p>
        </w:tc>
        <w:tc>
          <w:tcPr>
            <w:tcW w:w="0" w:type="auto"/>
          </w:tcPr>
          <w:p w:rsidR="00E875EC" w:rsidRPr="00823AEB" w:rsidRDefault="00AA2ABC" w:rsidP="00823AEB">
            <w:pPr>
              <w:pStyle w:val="Compact"/>
            </w:pPr>
            <w:r w:rsidRPr="00823AEB">
              <w:t>Grab</w:t>
            </w:r>
          </w:p>
        </w:tc>
        <w:tc>
          <w:tcPr>
            <w:tcW w:w="0" w:type="auto"/>
          </w:tcPr>
          <w:p w:rsidR="00E875EC" w:rsidRPr="00823AEB" w:rsidRDefault="00AA2ABC" w:rsidP="00823AEB">
            <w:pPr>
              <w:pStyle w:val="Compact"/>
            </w:pPr>
            <w:r w:rsidRPr="00823AEB">
              <w:t xml:space="preserve">PAA dose, Upstream </w:t>
            </w:r>
            <w:r w:rsidRPr="00823AEB">
              <w:t>residual, Pre-disinfection E. coli, Effluent flow, HRT, Effluent E. coli, CT</w:t>
            </w:r>
          </w:p>
        </w:tc>
      </w:tr>
      <w:tr w:rsidR="00E875EC" w:rsidRPr="00823AEB">
        <w:tc>
          <w:tcPr>
            <w:tcW w:w="0" w:type="auto"/>
          </w:tcPr>
          <w:p w:rsidR="00E875EC" w:rsidRPr="00823AEB" w:rsidRDefault="00AA2ABC" w:rsidP="00823AEB">
            <w:pPr>
              <w:pStyle w:val="Compact"/>
            </w:pPr>
            <w:r w:rsidRPr="00823AEB">
              <w:t>North Secondary Influent</w:t>
            </w:r>
          </w:p>
        </w:tc>
        <w:tc>
          <w:tcPr>
            <w:tcW w:w="0" w:type="auto"/>
          </w:tcPr>
          <w:p w:rsidR="00E875EC" w:rsidRPr="00823AEB" w:rsidRDefault="00AA2ABC" w:rsidP="00823AEB">
            <w:pPr>
              <w:pStyle w:val="Compact"/>
            </w:pPr>
            <w:r w:rsidRPr="00823AEB">
              <w:t>Daily</w:t>
            </w:r>
          </w:p>
        </w:tc>
        <w:tc>
          <w:tcPr>
            <w:tcW w:w="0" w:type="auto"/>
          </w:tcPr>
          <w:p w:rsidR="00E875EC" w:rsidRPr="00823AEB" w:rsidRDefault="00AA2ABC" w:rsidP="00823AEB">
            <w:pPr>
              <w:pStyle w:val="Compact"/>
            </w:pPr>
            <w:r w:rsidRPr="00823AEB">
              <w:t>24 hr composite</w:t>
            </w:r>
          </w:p>
        </w:tc>
        <w:tc>
          <w:tcPr>
            <w:tcW w:w="0" w:type="auto"/>
          </w:tcPr>
          <w:p w:rsidR="00E875EC" w:rsidRPr="00823AEB" w:rsidRDefault="00AA2ABC" w:rsidP="00823AEB">
            <w:pPr>
              <w:pStyle w:val="Compact"/>
            </w:pPr>
            <w:r w:rsidRPr="00823AEB">
              <w:t>BOD, Ammonia, TSS</w:t>
            </w:r>
          </w:p>
        </w:tc>
      </w:tr>
      <w:tr w:rsidR="00E875EC" w:rsidRPr="00823AEB">
        <w:tc>
          <w:tcPr>
            <w:tcW w:w="0" w:type="auto"/>
          </w:tcPr>
          <w:p w:rsidR="00E875EC" w:rsidRPr="00823AEB" w:rsidRDefault="00AA2ABC" w:rsidP="00823AEB">
            <w:pPr>
              <w:pStyle w:val="Compact"/>
            </w:pPr>
            <w:r w:rsidRPr="00823AEB">
              <w:t>North Secondary Effluent</w:t>
            </w:r>
          </w:p>
        </w:tc>
        <w:tc>
          <w:tcPr>
            <w:tcW w:w="0" w:type="auto"/>
          </w:tcPr>
          <w:p w:rsidR="00E875EC" w:rsidRPr="00823AEB" w:rsidRDefault="00AA2ABC" w:rsidP="00823AEB">
            <w:pPr>
              <w:pStyle w:val="Compact"/>
            </w:pPr>
            <w:r w:rsidRPr="00823AEB">
              <w:t>Daily</w:t>
            </w:r>
          </w:p>
        </w:tc>
        <w:tc>
          <w:tcPr>
            <w:tcW w:w="0" w:type="auto"/>
          </w:tcPr>
          <w:p w:rsidR="00E875EC" w:rsidRPr="00823AEB" w:rsidRDefault="00AA2ABC" w:rsidP="00823AEB">
            <w:pPr>
              <w:pStyle w:val="Compact"/>
            </w:pPr>
            <w:r w:rsidRPr="00823AEB">
              <w:t>24 hr composite</w:t>
            </w:r>
          </w:p>
        </w:tc>
        <w:tc>
          <w:tcPr>
            <w:tcW w:w="0" w:type="auto"/>
          </w:tcPr>
          <w:p w:rsidR="00E875EC" w:rsidRPr="00823AEB" w:rsidRDefault="00AA2ABC" w:rsidP="00823AEB">
            <w:pPr>
              <w:pStyle w:val="Compact"/>
            </w:pPr>
            <w:r w:rsidRPr="00823AEB">
              <w:t>cBOD, Ammonia, TSS</w:t>
            </w:r>
          </w:p>
        </w:tc>
      </w:tr>
      <w:tr w:rsidR="00E875EC" w:rsidRPr="00823AEB">
        <w:tc>
          <w:tcPr>
            <w:tcW w:w="0" w:type="auto"/>
          </w:tcPr>
          <w:p w:rsidR="00E875EC" w:rsidRPr="00823AEB" w:rsidRDefault="00AA2ABC" w:rsidP="00823AEB">
            <w:pPr>
              <w:pStyle w:val="Compact"/>
            </w:pPr>
            <w:r w:rsidRPr="00823AEB">
              <w:t>North Secondary Influent</w:t>
            </w:r>
          </w:p>
        </w:tc>
        <w:tc>
          <w:tcPr>
            <w:tcW w:w="0" w:type="auto"/>
          </w:tcPr>
          <w:p w:rsidR="00E875EC" w:rsidRPr="00823AEB" w:rsidRDefault="00AA2ABC" w:rsidP="00823AEB">
            <w:pPr>
              <w:pStyle w:val="Compact"/>
            </w:pPr>
            <w:r w:rsidRPr="00823AEB">
              <w:t>2-3 days</w:t>
            </w:r>
          </w:p>
        </w:tc>
        <w:tc>
          <w:tcPr>
            <w:tcW w:w="0" w:type="auto"/>
          </w:tcPr>
          <w:p w:rsidR="00E875EC" w:rsidRPr="00823AEB" w:rsidRDefault="00AA2ABC" w:rsidP="00823AEB">
            <w:pPr>
              <w:pStyle w:val="Compact"/>
            </w:pPr>
            <w:r w:rsidRPr="00823AEB">
              <w:t>24 hr composite</w:t>
            </w:r>
          </w:p>
        </w:tc>
        <w:tc>
          <w:tcPr>
            <w:tcW w:w="0" w:type="auto"/>
          </w:tcPr>
          <w:p w:rsidR="00E875EC" w:rsidRPr="00823AEB" w:rsidRDefault="00AA2ABC" w:rsidP="00823AEB">
            <w:pPr>
              <w:pStyle w:val="Compact"/>
            </w:pPr>
            <w:r w:rsidRPr="00823AEB">
              <w:t>COD, Nitrate-nitrite, C:N, C:P, TP, TIN, TKN, TN</w:t>
            </w:r>
          </w:p>
        </w:tc>
      </w:tr>
      <w:tr w:rsidR="00E875EC" w:rsidRPr="00823AEB">
        <w:tc>
          <w:tcPr>
            <w:tcW w:w="0" w:type="auto"/>
          </w:tcPr>
          <w:p w:rsidR="00E875EC" w:rsidRPr="00823AEB" w:rsidRDefault="00AA2ABC" w:rsidP="00823AEB">
            <w:pPr>
              <w:pStyle w:val="Compact"/>
            </w:pPr>
            <w:r w:rsidRPr="00823AEB">
              <w:t>North Secondary Effluent</w:t>
            </w:r>
          </w:p>
        </w:tc>
        <w:tc>
          <w:tcPr>
            <w:tcW w:w="0" w:type="auto"/>
          </w:tcPr>
          <w:p w:rsidR="00E875EC" w:rsidRPr="00823AEB" w:rsidRDefault="00AA2ABC" w:rsidP="00823AEB">
            <w:pPr>
              <w:pStyle w:val="Compact"/>
            </w:pPr>
            <w:r w:rsidRPr="00823AEB">
              <w:t>2-3 days</w:t>
            </w:r>
          </w:p>
        </w:tc>
        <w:tc>
          <w:tcPr>
            <w:tcW w:w="0" w:type="auto"/>
          </w:tcPr>
          <w:p w:rsidR="00E875EC" w:rsidRPr="00823AEB" w:rsidRDefault="00AA2ABC" w:rsidP="00823AEB">
            <w:pPr>
              <w:pStyle w:val="Compact"/>
            </w:pPr>
            <w:r w:rsidRPr="00823AEB">
              <w:t>24 hr composite</w:t>
            </w:r>
          </w:p>
        </w:tc>
        <w:tc>
          <w:tcPr>
            <w:tcW w:w="0" w:type="auto"/>
          </w:tcPr>
          <w:p w:rsidR="00E875EC" w:rsidRPr="00823AEB" w:rsidRDefault="00AA2ABC" w:rsidP="00823AEB">
            <w:pPr>
              <w:pStyle w:val="Compact"/>
            </w:pPr>
            <w:r w:rsidRPr="00823AEB">
              <w:t>Alkalinity, Nitrate-nitrite, C:N, C:P, TP, TIN, TKN, TN</w:t>
            </w:r>
          </w:p>
        </w:tc>
      </w:tr>
      <w:tr w:rsidR="00E875EC" w:rsidRPr="00823AEB">
        <w:tc>
          <w:tcPr>
            <w:tcW w:w="0" w:type="auto"/>
          </w:tcPr>
          <w:p w:rsidR="00E875EC" w:rsidRPr="00823AEB" w:rsidRDefault="00AA2ABC" w:rsidP="00823AEB">
            <w:pPr>
              <w:pStyle w:val="Compact"/>
            </w:pPr>
            <w:r w:rsidRPr="00823AEB">
              <w:t>North Secondary</w:t>
            </w:r>
          </w:p>
        </w:tc>
        <w:tc>
          <w:tcPr>
            <w:tcW w:w="0" w:type="auto"/>
          </w:tcPr>
          <w:p w:rsidR="00E875EC" w:rsidRPr="00823AEB" w:rsidRDefault="00AA2ABC" w:rsidP="00823AEB">
            <w:pPr>
              <w:pStyle w:val="Compact"/>
            </w:pPr>
            <w:r w:rsidRPr="00823AEB">
              <w:t>2-5 Days</w:t>
            </w:r>
          </w:p>
        </w:tc>
        <w:tc>
          <w:tcPr>
            <w:tcW w:w="0" w:type="auto"/>
          </w:tcPr>
          <w:p w:rsidR="00E875EC" w:rsidRPr="00823AEB" w:rsidRDefault="00AA2ABC" w:rsidP="00823AEB">
            <w:pPr>
              <w:pStyle w:val="Compact"/>
            </w:pPr>
            <w:r w:rsidRPr="00823AEB">
              <w:t>Grab</w:t>
            </w:r>
          </w:p>
        </w:tc>
        <w:tc>
          <w:tcPr>
            <w:tcW w:w="0" w:type="auto"/>
          </w:tcPr>
          <w:p w:rsidR="00E875EC" w:rsidRPr="00823AEB" w:rsidRDefault="00AA2ABC" w:rsidP="00823AEB">
            <w:pPr>
              <w:pStyle w:val="Compact"/>
            </w:pPr>
            <w:r w:rsidRPr="00823AEB">
              <w:t>SVI, TSS, VSS</w:t>
            </w:r>
          </w:p>
        </w:tc>
      </w:tr>
      <w:tr w:rsidR="00E875EC" w:rsidRPr="00823AEB">
        <w:tc>
          <w:tcPr>
            <w:tcW w:w="0" w:type="auto"/>
          </w:tcPr>
          <w:p w:rsidR="00E875EC" w:rsidRPr="00823AEB" w:rsidRDefault="00AA2ABC" w:rsidP="00823AEB">
            <w:pPr>
              <w:pStyle w:val="Compact"/>
            </w:pPr>
            <w:r w:rsidRPr="00823AEB">
              <w:lastRenderedPageBreak/>
              <w:t>North Secondary Influent</w:t>
            </w:r>
          </w:p>
        </w:tc>
        <w:tc>
          <w:tcPr>
            <w:tcW w:w="0" w:type="auto"/>
          </w:tcPr>
          <w:p w:rsidR="00E875EC" w:rsidRPr="00823AEB" w:rsidRDefault="00AA2ABC" w:rsidP="00823AEB">
            <w:pPr>
              <w:pStyle w:val="Compact"/>
            </w:pPr>
            <w:r w:rsidRPr="00823AEB">
              <w:t>Weekly</w:t>
            </w:r>
          </w:p>
        </w:tc>
        <w:tc>
          <w:tcPr>
            <w:tcW w:w="0" w:type="auto"/>
          </w:tcPr>
          <w:p w:rsidR="00E875EC" w:rsidRPr="00823AEB" w:rsidRDefault="00AA2ABC" w:rsidP="00823AEB">
            <w:pPr>
              <w:pStyle w:val="Compact"/>
            </w:pPr>
            <w:r w:rsidRPr="00823AEB">
              <w:t>24 hr composite</w:t>
            </w:r>
          </w:p>
        </w:tc>
        <w:tc>
          <w:tcPr>
            <w:tcW w:w="0" w:type="auto"/>
          </w:tcPr>
          <w:p w:rsidR="00E875EC" w:rsidRPr="00823AEB" w:rsidRDefault="00AA2ABC" w:rsidP="00823AEB">
            <w:pPr>
              <w:pStyle w:val="Compact"/>
            </w:pPr>
            <w:r w:rsidRPr="00823AEB">
              <w:t>Alkalinity, OP</w:t>
            </w:r>
          </w:p>
        </w:tc>
      </w:tr>
      <w:tr w:rsidR="00E875EC" w:rsidRPr="00823AEB">
        <w:tc>
          <w:tcPr>
            <w:tcW w:w="0" w:type="auto"/>
          </w:tcPr>
          <w:p w:rsidR="00E875EC" w:rsidRPr="00823AEB" w:rsidRDefault="00AA2ABC" w:rsidP="00823AEB">
            <w:pPr>
              <w:pStyle w:val="Compact"/>
            </w:pPr>
            <w:r w:rsidRPr="00823AEB">
              <w:t>North Secondary Influent</w:t>
            </w:r>
          </w:p>
        </w:tc>
        <w:tc>
          <w:tcPr>
            <w:tcW w:w="0" w:type="auto"/>
          </w:tcPr>
          <w:p w:rsidR="00E875EC" w:rsidRPr="00823AEB" w:rsidRDefault="00AA2ABC" w:rsidP="00823AEB">
            <w:pPr>
              <w:pStyle w:val="Compact"/>
            </w:pPr>
            <w:r w:rsidRPr="00823AEB">
              <w:t>Weekly</w:t>
            </w:r>
          </w:p>
        </w:tc>
        <w:tc>
          <w:tcPr>
            <w:tcW w:w="0" w:type="auto"/>
          </w:tcPr>
          <w:p w:rsidR="00E875EC" w:rsidRPr="00823AEB" w:rsidRDefault="00AA2ABC" w:rsidP="00823AEB">
            <w:pPr>
              <w:pStyle w:val="Compact"/>
            </w:pPr>
            <w:r w:rsidRPr="00823AEB">
              <w:t>24 hr composite</w:t>
            </w:r>
          </w:p>
        </w:tc>
        <w:tc>
          <w:tcPr>
            <w:tcW w:w="0" w:type="auto"/>
          </w:tcPr>
          <w:p w:rsidR="00E875EC" w:rsidRPr="00823AEB" w:rsidRDefault="00AA2ABC" w:rsidP="00823AEB">
            <w:pPr>
              <w:pStyle w:val="Compact"/>
            </w:pPr>
            <w:r w:rsidRPr="00823AEB">
              <w:t>COD, OP</w:t>
            </w:r>
          </w:p>
        </w:tc>
      </w:tr>
    </w:tbl>
    <w:p w:rsidR="00E875EC" w:rsidRDefault="00AA2ABC">
      <w:pPr>
        <w:pStyle w:val="Heading1"/>
      </w:pPr>
      <w:bookmarkStart w:id="5" w:name="data-cleaning"/>
      <w:bookmarkEnd w:id="5"/>
      <w:r>
        <w:t>Data cleaning</w:t>
      </w:r>
    </w:p>
    <w:p w:rsidR="00E875EC" w:rsidRDefault="00AA2ABC">
      <w:pPr>
        <w:pStyle w:val="FirstParagraph"/>
      </w:pPr>
      <w:r>
        <w:t>If the distribution of each variable is assumed to be univariate normal and scaled (i.e., zero mean, unit variance), boxplots can be constructed to visualize the range of observations in the dataset. The existance of numerous outliers, heavily shifted on e</w:t>
      </w:r>
      <w:r>
        <w:t>ither side of the variable’s median (Figures S1-S3) indicate that the majority of water quality variables are not normally distributed.</w:t>
      </w:r>
    </w:p>
    <w:p w:rsidR="00E875EC" w:rsidRDefault="00AA2ABC">
      <w:pPr>
        <w:pStyle w:val="BodyText"/>
      </w:pPr>
      <w:r>
        <w:t xml:space="preserve">To achieve the goal of predicting </w:t>
      </w:r>
      <w:r>
        <w:rPr>
          <w:i/>
        </w:rPr>
        <w:t>E. coli</w:t>
      </w:r>
      <w:r>
        <w:t xml:space="preserve">, a log-transformed pre-disinfection </w:t>
      </w:r>
      <w:r>
        <w:rPr>
          <w:i/>
        </w:rPr>
        <w:t>E. coli</w:t>
      </w:r>
      <w:r>
        <w:t xml:space="preserve"> grab data was merged with a reduce</w:t>
      </w:r>
      <w:r>
        <w:t>d North secondary dataset (Figure 1) and data from a visual spectrum analyzer (Figure 2).</w:t>
      </w:r>
    </w:p>
    <w:p w:rsidR="00E875EC" w:rsidRDefault="00AA2ABC">
      <w:pPr>
        <w:pStyle w:val="FigureCenter"/>
      </w:pPr>
      <w:r>
        <w:rPr>
          <w:noProof/>
        </w:rPr>
        <w:drawing>
          <wp:inline distT="0" distB="0" distL="0" distR="0">
            <wp:extent cx="59436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_01.png"/>
                    <pic:cNvPicPr>
                      <a:picLocks noChangeAspect="1" noChangeArrowheads="1"/>
                    </pic:cNvPicPr>
                  </pic:nvPicPr>
                  <pic:blipFill>
                    <a:blip r:embed="rId7"/>
                    <a:stretch>
                      <a:fillRect/>
                    </a:stretch>
                  </pic:blipFill>
                  <pic:spPr bwMode="auto">
                    <a:xfrm>
                      <a:off x="0" y="0"/>
                      <a:ext cx="5943600" cy="3200400"/>
                    </a:xfrm>
                    <a:prstGeom prst="rect">
                      <a:avLst/>
                    </a:prstGeom>
                    <a:noFill/>
                    <a:ln w="9525">
                      <a:noFill/>
                      <a:headEnd/>
                      <a:tailEnd/>
                    </a:ln>
                  </pic:spPr>
                </pic:pic>
              </a:graphicData>
            </a:graphic>
          </wp:inline>
        </w:drawing>
      </w:r>
    </w:p>
    <w:p w:rsidR="00E875EC" w:rsidRDefault="00AA2ABC">
      <w:pPr>
        <w:pStyle w:val="FirstParagraph"/>
      </w:pPr>
      <w:r>
        <w:rPr>
          <w:b/>
        </w:rPr>
        <w:t>Figure 1a.</w:t>
      </w:r>
      <w:r>
        <w:t xml:space="preserve"> Raw north secondary data.</w:t>
      </w:r>
    </w:p>
    <w:p w:rsidR="00E875EC" w:rsidRDefault="00AA2ABC">
      <w:pPr>
        <w:pStyle w:val="FigureCenter"/>
      </w:pPr>
      <w:r>
        <w:rPr>
          <w:noProof/>
        </w:rPr>
        <w:lastRenderedPageBreak/>
        <w:drawing>
          <wp:inline distT="0" distB="0" distL="0" distR="0">
            <wp:extent cx="5943600" cy="320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_02.png"/>
                    <pic:cNvPicPr>
                      <a:picLocks noChangeAspect="1" noChangeArrowheads="1"/>
                    </pic:cNvPicPr>
                  </pic:nvPicPr>
                  <pic:blipFill>
                    <a:blip r:embed="rId8"/>
                    <a:stretch>
                      <a:fillRect/>
                    </a:stretch>
                  </pic:blipFill>
                  <pic:spPr bwMode="auto">
                    <a:xfrm>
                      <a:off x="0" y="0"/>
                      <a:ext cx="5943600" cy="3200400"/>
                    </a:xfrm>
                    <a:prstGeom prst="rect">
                      <a:avLst/>
                    </a:prstGeom>
                    <a:noFill/>
                    <a:ln w="9525">
                      <a:noFill/>
                      <a:headEnd/>
                      <a:tailEnd/>
                    </a:ln>
                  </pic:spPr>
                </pic:pic>
              </a:graphicData>
            </a:graphic>
          </wp:inline>
        </w:drawing>
      </w:r>
    </w:p>
    <w:p w:rsidR="00E875EC" w:rsidRDefault="00AA2ABC">
      <w:pPr>
        <w:pStyle w:val="FirstParagraph"/>
      </w:pPr>
      <w:r>
        <w:rPr>
          <w:b/>
        </w:rPr>
        <w:t>Figure 1b.</w:t>
      </w:r>
      <w:r>
        <w:t xml:space="preserve"> Cleaned north secondary dataset from 2018-06-01 / 2018-12-01.Removed outliers (such as negative flows and unrealis</w:t>
      </w:r>
      <w:r>
        <w:t>tic sensor values) and missing values (such as influnet COD/TSS and effluent NO5).</w:t>
      </w:r>
    </w:p>
    <w:p w:rsidR="00E875EC" w:rsidRDefault="00AA2ABC">
      <w:pPr>
        <w:pStyle w:val="FigureCenter"/>
      </w:pPr>
      <w:r>
        <w:rPr>
          <w:noProof/>
        </w:rPr>
        <w:drawing>
          <wp:inline distT="0" distB="0" distL="0" distR="0">
            <wp:extent cx="59436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_03.png"/>
                    <pic:cNvPicPr>
                      <a:picLocks noChangeAspect="1" noChangeArrowheads="1"/>
                    </pic:cNvPicPr>
                  </pic:nvPicPr>
                  <pic:blipFill>
                    <a:blip r:embed="rId9"/>
                    <a:stretch>
                      <a:fillRect/>
                    </a:stretch>
                  </pic:blipFill>
                  <pic:spPr bwMode="auto">
                    <a:xfrm>
                      <a:off x="0" y="0"/>
                      <a:ext cx="5943600" cy="3200400"/>
                    </a:xfrm>
                    <a:prstGeom prst="rect">
                      <a:avLst/>
                    </a:prstGeom>
                    <a:noFill/>
                    <a:ln w="9525">
                      <a:noFill/>
                      <a:headEnd/>
                      <a:tailEnd/>
                    </a:ln>
                  </pic:spPr>
                </pic:pic>
              </a:graphicData>
            </a:graphic>
          </wp:inline>
        </w:drawing>
      </w:r>
    </w:p>
    <w:p w:rsidR="00E875EC" w:rsidRDefault="00AA2ABC">
      <w:pPr>
        <w:pStyle w:val="FirstParagraph"/>
      </w:pPr>
      <w:r>
        <w:rPr>
          <w:b/>
        </w:rPr>
        <w:t>Figure 1c.</w:t>
      </w:r>
      <w:r>
        <w:t xml:space="preserve"> Final data after filtering for values &lt;15 minutes from </w:t>
      </w:r>
      <w:r>
        <w:rPr>
          <w:i/>
        </w:rPr>
        <w:t>E coli</w:t>
      </w:r>
      <w:r>
        <w:t xml:space="preserve"> sampling time.</w:t>
      </w:r>
    </w:p>
    <w:p w:rsidR="00E875EC" w:rsidRDefault="00AA2ABC">
      <w:pPr>
        <w:pStyle w:val="FigureCenter"/>
      </w:pPr>
      <w:r>
        <w:rPr>
          <w:noProof/>
        </w:rPr>
        <w:lastRenderedPageBreak/>
        <w:drawing>
          <wp:inline distT="0" distB="0" distL="0" distR="0">
            <wp:extent cx="59436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WRD_Ecoli_vis_boxplots.png"/>
                    <pic:cNvPicPr>
                      <a:picLocks noChangeAspect="1" noChangeArrowheads="1"/>
                    </pic:cNvPicPr>
                  </pic:nvPicPr>
                  <pic:blipFill>
                    <a:blip r:embed="rId10"/>
                    <a:stretch>
                      <a:fillRect/>
                    </a:stretch>
                  </pic:blipFill>
                  <pic:spPr bwMode="auto">
                    <a:xfrm>
                      <a:off x="0" y="0"/>
                      <a:ext cx="5943600" cy="3200400"/>
                    </a:xfrm>
                    <a:prstGeom prst="rect">
                      <a:avLst/>
                    </a:prstGeom>
                    <a:noFill/>
                    <a:ln w="9525">
                      <a:noFill/>
                      <a:headEnd/>
                      <a:tailEnd/>
                    </a:ln>
                  </pic:spPr>
                </pic:pic>
              </a:graphicData>
            </a:graphic>
          </wp:inline>
        </w:drawing>
      </w:r>
    </w:p>
    <w:p w:rsidR="00E875EC" w:rsidRDefault="00AA2ABC">
      <w:pPr>
        <w:pStyle w:val="FirstParagraph"/>
      </w:pPr>
      <w:r>
        <w:rPr>
          <w:b/>
        </w:rPr>
        <w:t>Figure 2.</w:t>
      </w:r>
      <w:r>
        <w:t xml:space="preserve"> Boxplots of water quality variables immediately upstream of PAA dosing </w:t>
      </w:r>
      <w:r>
        <w:t xml:space="preserve">used to predict </w:t>
      </w:r>
      <w:r>
        <w:rPr>
          <w:i/>
        </w:rPr>
        <w:t>E. coli</w:t>
      </w:r>
      <w:r>
        <w:t xml:space="preserve"> from 2018-06-01 / 2018-12-01.</w:t>
      </w:r>
    </w:p>
    <w:p w:rsidR="00E875EC" w:rsidRDefault="00AA2ABC">
      <w:pPr>
        <w:pStyle w:val="Heading5"/>
      </w:pPr>
      <w:bookmarkStart w:id="6" w:name="page-break"/>
      <w:bookmarkEnd w:id="6"/>
      <w:r>
        <w:lastRenderedPageBreak/>
        <w:t>Page break</w:t>
      </w:r>
    </w:p>
    <w:p w:rsidR="00E875EC" w:rsidRDefault="00AA2ABC">
      <w:pPr>
        <w:pStyle w:val="Heading1"/>
      </w:pPr>
      <w:bookmarkStart w:id="7" w:name="methods"/>
      <w:bookmarkEnd w:id="7"/>
      <w:r>
        <w:t>Methods</w:t>
      </w:r>
    </w:p>
    <w:p w:rsidR="00E875EC" w:rsidRDefault="00AA2ABC">
      <w:pPr>
        <w:pStyle w:val="Heading2"/>
      </w:pPr>
      <w:bookmarkStart w:id="8" w:name="linear-regression"/>
      <w:bookmarkEnd w:id="8"/>
      <w:r>
        <w:t>Linear Regression</w:t>
      </w:r>
    </w:p>
    <w:p w:rsidR="00E875EC" w:rsidRDefault="00AA2ABC">
      <w:pPr>
        <w:pStyle w:val="FirstParagraph"/>
      </w:pPr>
      <w:r>
        <w:t>In simple linear regression, a model is constructed of a response variable (</w:t>
      </w:r>
      <w:r>
        <w:rPr>
          <w:b/>
        </w:rPr>
        <w:t>Y</w:t>
      </w:r>
      <w:r>
        <w:t>) that is a linear function of other variables (</w:t>
      </w:r>
      <w:r>
        <w:rPr>
          <w:i/>
        </w:rPr>
        <w:t>x</w:t>
      </w:r>
      <w:r>
        <w:rPr>
          <w:i/>
          <w:vertAlign w:val="subscript"/>
        </w:rPr>
        <w:t>i</w:t>
      </w:r>
      <w:r>
        <w:t>). The linear regression model assumes</w:t>
      </w:r>
      <w:r>
        <w:t xml:space="preserve"> that </w:t>
      </w:r>
      <w:r>
        <w:rPr>
          <w:b/>
        </w:rPr>
        <w:t>Y</w:t>
      </w:r>
      <w:r>
        <w:t xml:space="preserve"> is normally distributed, errors are normally distributed and independent, and </w:t>
      </w:r>
      <w:r>
        <w:rPr>
          <w:b/>
        </w:rPr>
        <w:t>X</w:t>
      </w:r>
      <w:r>
        <w:t xml:space="preserve"> has constant variance.</w:t>
      </w:r>
    </w:p>
    <w:p w:rsidR="00E875EC" w:rsidRDefault="00AA2ABC">
      <w:pPr>
        <w:pStyle w:val="FigureCenter"/>
      </w:pPr>
      <w:r>
        <w:rPr>
          <w:noProof/>
        </w:rPr>
        <w:drawing>
          <wp:inline distT="0" distB="0" distL="0" distR="0">
            <wp:extent cx="2756984" cy="275698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WRD_Ecoli_vis_lm-COD.png"/>
                    <pic:cNvPicPr>
                      <a:picLocks noChangeAspect="1" noChangeArrowheads="1"/>
                    </pic:cNvPicPr>
                  </pic:nvPicPr>
                  <pic:blipFill>
                    <a:blip r:embed="rId11"/>
                    <a:stretch>
                      <a:fillRect/>
                    </a:stretch>
                  </pic:blipFill>
                  <pic:spPr bwMode="auto">
                    <a:xfrm>
                      <a:off x="0" y="0"/>
                      <a:ext cx="2756984" cy="2756984"/>
                    </a:xfrm>
                    <a:prstGeom prst="rect">
                      <a:avLst/>
                    </a:prstGeom>
                    <a:noFill/>
                    <a:ln w="9525">
                      <a:noFill/>
                      <a:headEnd/>
                      <a:tailEnd/>
                    </a:ln>
                  </pic:spPr>
                </pic:pic>
              </a:graphicData>
            </a:graphic>
          </wp:inline>
        </w:drawing>
      </w:r>
      <w:r>
        <w:t xml:space="preserve"> </w:t>
      </w:r>
      <w:r>
        <w:rPr>
          <w:noProof/>
        </w:rPr>
        <w:drawing>
          <wp:inline distT="0" distB="0" distL="0" distR="0">
            <wp:extent cx="2756984" cy="275698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lm-mlr.png"/>
                    <pic:cNvPicPr>
                      <a:picLocks noChangeAspect="1" noChangeArrowheads="1"/>
                    </pic:cNvPicPr>
                  </pic:nvPicPr>
                  <pic:blipFill>
                    <a:blip r:embed="rId12"/>
                    <a:stretch>
                      <a:fillRect/>
                    </a:stretch>
                  </pic:blipFill>
                  <pic:spPr bwMode="auto">
                    <a:xfrm>
                      <a:off x="0" y="0"/>
                      <a:ext cx="2756984" cy="2756984"/>
                    </a:xfrm>
                    <a:prstGeom prst="rect">
                      <a:avLst/>
                    </a:prstGeom>
                    <a:noFill/>
                    <a:ln w="9525">
                      <a:noFill/>
                      <a:headEnd/>
                      <a:tailEnd/>
                    </a:ln>
                  </pic:spPr>
                </pic:pic>
              </a:graphicData>
            </a:graphic>
          </wp:inline>
        </w:drawing>
      </w:r>
    </w:p>
    <w:p w:rsidR="00E875EC" w:rsidRDefault="00AA2ABC">
      <w:pPr>
        <w:pStyle w:val="BodyText"/>
      </w:pPr>
      <w:r>
        <w:rPr>
          <w:b/>
        </w:rPr>
        <w:t>Figure 2.</w:t>
      </w:r>
      <w:r>
        <w:t xml:space="preserve"> Multiple linear regression model fit for pre-disinfection </w:t>
      </w:r>
      <w:r>
        <w:rPr>
          <w:i/>
        </w:rPr>
        <w:t>E. coli</w:t>
      </w:r>
      <w:r>
        <w:t xml:space="preserve">. Black circles represent actual observations. R-squared value in </w:t>
      </w:r>
      <w:r>
        <w:t xml:space="preserve">lower right. (a) Variation of predicted pre-disinfection </w:t>
      </w:r>
      <w:r>
        <w:rPr>
          <w:i/>
        </w:rPr>
        <w:t>E. coli</w:t>
      </w:r>
      <w:r>
        <w:t xml:space="preserve"> given a range of CODds measured by a sensor near the sampling point (b) Variation of predicted pre-disinfection </w:t>
      </w:r>
      <w:r>
        <w:rPr>
          <w:i/>
        </w:rPr>
        <w:t>E. coli</w:t>
      </w:r>
      <w:r>
        <w:t xml:space="preserve"> given a range of mixed liquor return (MLR) flows for AB-10 which provid</w:t>
      </w:r>
      <w:r>
        <w:t>es influent to the disinfection basin.</w:t>
      </w:r>
    </w:p>
    <w:p w:rsidR="00E875EC" w:rsidRDefault="00E875EC">
      <w:pPr>
        <w:pStyle w:val="Heading5"/>
      </w:pPr>
      <w:bookmarkStart w:id="9" w:name="section"/>
      <w:bookmarkEnd w:id="9"/>
    </w:p>
    <w:p w:rsidR="00E875EC" w:rsidRDefault="00AA2ABC">
      <w:pPr>
        <w:pStyle w:val="Heading2"/>
      </w:pPr>
      <w:bookmarkStart w:id="10" w:name="generalized-linear-model"/>
      <w:bookmarkEnd w:id="10"/>
      <w:r>
        <w:t>Generalized Linear Model</w:t>
      </w:r>
    </w:p>
    <w:p w:rsidR="00E875EC" w:rsidRDefault="00AA2ABC">
      <w:pPr>
        <w:pStyle w:val="FirstParagraph"/>
      </w:pPr>
      <w:r>
        <w:t>The general linear model (LM) requires that the response variable follows the normal distribution whilst the generalized linear model (GLM) is an extension of the LM that allows the specification of models whose response variable follows different distribu</w:t>
      </w:r>
      <w:r>
        <w:t>tions.</w:t>
      </w:r>
    </w:p>
    <w:p w:rsidR="00E875EC" w:rsidRDefault="00AA2ABC">
      <w:pPr>
        <w:pStyle w:val="FigureCenter"/>
      </w:pPr>
      <w:r>
        <w:rPr>
          <w:noProof/>
        </w:rPr>
        <w:lastRenderedPageBreak/>
        <w:drawing>
          <wp:inline distT="0" distB="0" distL="0" distR="0">
            <wp:extent cx="5513969" cy="827095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WRD_Ecoli_vis_glm.png"/>
                    <pic:cNvPicPr>
                      <a:picLocks noChangeAspect="1" noChangeArrowheads="1"/>
                    </pic:cNvPicPr>
                  </pic:nvPicPr>
                  <pic:blipFill>
                    <a:blip r:embed="rId13"/>
                    <a:stretch>
                      <a:fillRect/>
                    </a:stretch>
                  </pic:blipFill>
                  <pic:spPr bwMode="auto">
                    <a:xfrm>
                      <a:off x="0" y="0"/>
                      <a:ext cx="5513969" cy="8270954"/>
                    </a:xfrm>
                    <a:prstGeom prst="rect">
                      <a:avLst/>
                    </a:prstGeom>
                    <a:noFill/>
                    <a:ln w="9525">
                      <a:noFill/>
                      <a:headEnd/>
                      <a:tailEnd/>
                    </a:ln>
                  </pic:spPr>
                </pic:pic>
              </a:graphicData>
            </a:graphic>
          </wp:inline>
        </w:drawing>
      </w:r>
    </w:p>
    <w:p w:rsidR="00E875EC" w:rsidRDefault="00AA2ABC">
      <w:pPr>
        <w:pStyle w:val="FirstParagraph"/>
      </w:pPr>
      <w:r>
        <w:rPr>
          <w:b/>
        </w:rPr>
        <w:lastRenderedPageBreak/>
        <w:t>Figure 3a.</w:t>
      </w:r>
      <w:r>
        <w:t xml:space="preserve"> GLM model constructed for visual spectrum data.</w:t>
      </w:r>
    </w:p>
    <w:p w:rsidR="00E875EC" w:rsidRDefault="00AA2ABC">
      <w:pPr>
        <w:pStyle w:val="FigureCenter"/>
      </w:pPr>
      <w:r>
        <w:rPr>
          <w:noProof/>
        </w:rPr>
        <w:lastRenderedPageBreak/>
        <w:drawing>
          <wp:inline distT="0" distB="0" distL="0" distR="0">
            <wp:extent cx="5513969" cy="827095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glm.png"/>
                    <pic:cNvPicPr>
                      <a:picLocks noChangeAspect="1" noChangeArrowheads="1"/>
                    </pic:cNvPicPr>
                  </pic:nvPicPr>
                  <pic:blipFill>
                    <a:blip r:embed="rId14"/>
                    <a:stretch>
                      <a:fillRect/>
                    </a:stretch>
                  </pic:blipFill>
                  <pic:spPr bwMode="auto">
                    <a:xfrm>
                      <a:off x="0" y="0"/>
                      <a:ext cx="5513969" cy="8270954"/>
                    </a:xfrm>
                    <a:prstGeom prst="rect">
                      <a:avLst/>
                    </a:prstGeom>
                    <a:noFill/>
                    <a:ln w="9525">
                      <a:noFill/>
                      <a:headEnd/>
                      <a:tailEnd/>
                    </a:ln>
                  </pic:spPr>
                </pic:pic>
              </a:graphicData>
            </a:graphic>
          </wp:inline>
        </w:drawing>
      </w:r>
    </w:p>
    <w:p w:rsidR="00E875EC" w:rsidRDefault="00AA2ABC">
      <w:pPr>
        <w:pStyle w:val="FirstParagraph"/>
      </w:pPr>
      <w:r>
        <w:rPr>
          <w:b/>
        </w:rPr>
        <w:lastRenderedPageBreak/>
        <w:t>Figure 3b.</w:t>
      </w:r>
      <w:r>
        <w:t xml:space="preserve"> GLM model constructed for north secondary process data.</w:t>
      </w:r>
    </w:p>
    <w:p w:rsidR="00E875EC" w:rsidRDefault="00E875EC">
      <w:pPr>
        <w:pStyle w:val="Heading5"/>
      </w:pPr>
      <w:bookmarkStart w:id="11" w:name="section-1"/>
      <w:bookmarkEnd w:id="11"/>
    </w:p>
    <w:p w:rsidR="00E875EC" w:rsidRDefault="00AA2ABC">
      <w:pPr>
        <w:pStyle w:val="Heading2"/>
      </w:pPr>
      <w:bookmarkStart w:id="12" w:name="non-regression-model"/>
      <w:bookmarkEnd w:id="12"/>
      <w:r>
        <w:t>Non-Regression Model</w:t>
      </w:r>
    </w:p>
    <w:p w:rsidR="00E875EC" w:rsidRDefault="00AA2ABC">
      <w:pPr>
        <w:pStyle w:val="FirstParagraph"/>
      </w:pPr>
      <w:r>
        <w:rPr>
          <w:noProof/>
        </w:rPr>
        <w:drawing>
          <wp:inline distT="0" distB="0" distL="0" distR="0">
            <wp:extent cx="5943600" cy="29717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rf_svm.png"/>
                    <pic:cNvPicPr>
                      <a:picLocks noChangeAspect="1" noChangeArrowheads="1"/>
                    </pic:cNvPicPr>
                  </pic:nvPicPr>
                  <pic:blipFill>
                    <a:blip r:embed="rId15"/>
                    <a:stretch>
                      <a:fillRect/>
                    </a:stretch>
                  </pic:blipFill>
                  <pic:spPr bwMode="auto">
                    <a:xfrm>
                      <a:off x="0" y="0"/>
                      <a:ext cx="5943600" cy="2971799"/>
                    </a:xfrm>
                    <a:prstGeom prst="rect">
                      <a:avLst/>
                    </a:prstGeom>
                    <a:noFill/>
                    <a:ln w="9525">
                      <a:noFill/>
                      <a:headEnd/>
                      <a:tailEnd/>
                    </a:ln>
                  </pic:spPr>
                </pic:pic>
              </a:graphicData>
            </a:graphic>
          </wp:inline>
        </w:drawing>
      </w:r>
      <w:r>
        <w:t xml:space="preserve"> </w:t>
      </w:r>
      <w:r>
        <w:rPr>
          <w:b/>
        </w:rPr>
        <w:t>Figure .</w:t>
      </w:r>
      <w:r>
        <w:t xml:space="preserve"> </w:t>
      </w:r>
      <w:r>
        <w:t xml:space="preserve">Comparison of (a) random forest model and (b) support vector machine model for predicting </w:t>
      </w:r>
      <w:r>
        <w:rPr>
          <w:i/>
        </w:rPr>
        <w:t>E. coli</w:t>
      </w:r>
      <w:r>
        <w:t xml:space="preserve"> into the PAA disinfection basin</w:t>
      </w:r>
    </w:p>
    <w:p w:rsidR="00E875EC" w:rsidRDefault="00AA2ABC">
      <w:pPr>
        <w:pStyle w:val="BodyText"/>
      </w:pPr>
      <w:r>
        <w:rPr>
          <w:noProof/>
        </w:rPr>
        <w:lastRenderedPageBreak/>
        <w:drawing>
          <wp:inline distT="0" distB="0" distL="0" distR="0">
            <wp:extent cx="5513969" cy="551396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WRD_Ecoli_nseconline_svm.png"/>
                    <pic:cNvPicPr>
                      <a:picLocks noChangeAspect="1" noChangeArrowheads="1"/>
                    </pic:cNvPicPr>
                  </pic:nvPicPr>
                  <pic:blipFill>
                    <a:blip r:embed="rId16"/>
                    <a:stretch>
                      <a:fillRect/>
                    </a:stretch>
                  </pic:blipFill>
                  <pic:spPr bwMode="auto">
                    <a:xfrm>
                      <a:off x="0" y="0"/>
                      <a:ext cx="5513969" cy="5513969"/>
                    </a:xfrm>
                    <a:prstGeom prst="rect">
                      <a:avLst/>
                    </a:prstGeom>
                    <a:noFill/>
                    <a:ln w="9525">
                      <a:noFill/>
                      <a:headEnd/>
                      <a:tailEnd/>
                    </a:ln>
                  </pic:spPr>
                </pic:pic>
              </a:graphicData>
            </a:graphic>
          </wp:inline>
        </w:drawing>
      </w:r>
      <w:r>
        <w:t xml:space="preserve"> </w:t>
      </w:r>
      <w:r>
        <w:rPr>
          <w:b/>
        </w:rPr>
        <w:t>Figure .</w:t>
      </w:r>
      <w:r>
        <w:t xml:space="preserve"> Support vector machine model for predicting </w:t>
      </w:r>
      <w:r>
        <w:rPr>
          <w:i/>
        </w:rPr>
        <w:t>E. coli</w:t>
      </w:r>
      <w:r>
        <w:t xml:space="preserve"> into the PAA disinfection basin</w:t>
      </w:r>
    </w:p>
    <w:p w:rsidR="00E875EC" w:rsidRDefault="00AA2ABC">
      <w:pPr>
        <w:pStyle w:val="Heading1"/>
      </w:pPr>
      <w:bookmarkStart w:id="13" w:name="supplementary-information"/>
      <w:bookmarkEnd w:id="13"/>
      <w:r>
        <w:lastRenderedPageBreak/>
        <w:t>Supplementary Information</w:t>
      </w:r>
    </w:p>
    <w:p w:rsidR="00E875EC" w:rsidRDefault="00AA2ABC">
      <w:pPr>
        <w:pStyle w:val="Heading2"/>
      </w:pPr>
      <w:bookmarkStart w:id="14" w:name="figures"/>
      <w:bookmarkEnd w:id="14"/>
      <w:r>
        <w:t>Figur</w:t>
      </w:r>
      <w:r>
        <w:t>es</w:t>
      </w:r>
    </w:p>
    <w:p w:rsidR="00E875EC" w:rsidRDefault="00AA2ABC">
      <w:pPr>
        <w:pStyle w:val="FirstParagraph"/>
      </w:pPr>
      <w:r>
        <w:rPr>
          <w:noProof/>
        </w:rPr>
        <w:drawing>
          <wp:inline distT="0" distB="0" distL="0" distR="0">
            <wp:extent cx="5943600" cy="3200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WRD_nsec_online_boxplots.png"/>
                    <pic:cNvPicPr>
                      <a:picLocks noChangeAspect="1" noChangeArrowheads="1"/>
                    </pic:cNvPicPr>
                  </pic:nvPicPr>
                  <pic:blipFill>
                    <a:blip r:embed="rId8"/>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Figure S1.</w:t>
      </w:r>
      <w:r>
        <w:t xml:space="preserve"> Centered and scaled boxplots of north secondary online data from MWRD</w:t>
      </w:r>
    </w:p>
    <w:p w:rsidR="00E875EC" w:rsidRDefault="00AA2ABC">
      <w:pPr>
        <w:pStyle w:val="BodyText"/>
      </w:pPr>
      <w:r>
        <w:rPr>
          <w:noProof/>
        </w:rPr>
        <w:drawing>
          <wp:inline distT="0" distB="0" distL="0" distR="0">
            <wp:extent cx="5943600" cy="3200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WRD_npaa_online_boxplots.png"/>
                    <pic:cNvPicPr>
                      <a:picLocks noChangeAspect="1" noChangeArrowheads="1"/>
                    </pic:cNvPicPr>
                  </pic:nvPicPr>
                  <pic:blipFill>
                    <a:blip r:embed="rId17"/>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Figure S2.</w:t>
      </w:r>
      <w:r>
        <w:t xml:space="preserve"> Centered and scaled boxplots of north disinfection online data from MWRD</w:t>
      </w:r>
    </w:p>
    <w:p w:rsidR="00E875EC" w:rsidRDefault="00AA2ABC">
      <w:pPr>
        <w:pStyle w:val="BodyText"/>
      </w:pPr>
      <w:r>
        <w:rPr>
          <w:noProof/>
        </w:rPr>
        <w:lastRenderedPageBreak/>
        <w:drawing>
          <wp:inline distT="0" distB="0" distL="0" distR="0">
            <wp:extent cx="5943600" cy="3200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WRD_npaa_grab_boxplots.png"/>
                    <pic:cNvPicPr>
                      <a:picLocks noChangeAspect="1" noChangeArrowheads="1"/>
                    </pic:cNvPicPr>
                  </pic:nvPicPr>
                  <pic:blipFill>
                    <a:blip r:embed="rId18"/>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Figure S3.</w:t>
      </w:r>
      <w:r>
        <w:t xml:space="preserve"> Centered and scaled boxplots of north disinfection grab sample data fro</w:t>
      </w:r>
      <w:r>
        <w:t>m MWRD</w:t>
      </w:r>
    </w:p>
    <w:p w:rsidR="00E875EC" w:rsidRDefault="00AA2ABC">
      <w:pPr>
        <w:pStyle w:val="Heading2"/>
      </w:pPr>
      <w:bookmarkStart w:id="15" w:name="tables"/>
      <w:bookmarkEnd w:id="15"/>
      <w:r>
        <w:t>Tables</w:t>
      </w:r>
    </w:p>
    <w:sectPr w:rsidR="00E875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ABC" w:rsidRDefault="00AA2ABC">
      <w:pPr>
        <w:spacing w:after="0"/>
      </w:pPr>
      <w:r>
        <w:separator/>
      </w:r>
    </w:p>
  </w:endnote>
  <w:endnote w:type="continuationSeparator" w:id="0">
    <w:p w:rsidR="00AA2ABC" w:rsidRDefault="00AA2A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ABC" w:rsidRDefault="00AA2ABC">
      <w:r>
        <w:separator/>
      </w:r>
    </w:p>
  </w:footnote>
  <w:footnote w:type="continuationSeparator" w:id="0">
    <w:p w:rsidR="00AA2ABC" w:rsidRDefault="00AA2A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0"/>
  </w:num>
  <w:num w:numId="2">
    <w:abstractNumId w:val="21"/>
  </w:num>
  <w:num w:numId="3">
    <w:abstractNumId w:val="24"/>
  </w:num>
  <w:num w:numId="4">
    <w:abstractNumId w:val="6"/>
  </w:num>
  <w:num w:numId="5">
    <w:abstractNumId w:val="0"/>
  </w:num>
  <w:num w:numId="6">
    <w:abstractNumId w:val="12"/>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4"/>
  </w:num>
  <w:num w:numId="12">
    <w:abstractNumId w:val="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num>
  <w:num w:numId="15">
    <w:abstractNumId w:val="1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9"/>
  </w:num>
  <w:num w:numId="21">
    <w:abstractNumId w:val="2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5"/>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23AEB"/>
    <w:rsid w:val="008D6863"/>
    <w:rsid w:val="00AA2ABC"/>
    <w:rsid w:val="00B86B75"/>
    <w:rsid w:val="00BC48D5"/>
    <w:rsid w:val="00C36279"/>
    <w:rsid w:val="00E315A3"/>
    <w:rsid w:val="00E875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5E556-FCEB-4950-8B45-6FA178F0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dc:title>
  <dc:creator>Kathryn B. Newhart</dc:creator>
  <cp:lastModifiedBy>Newhart, Katheryn</cp:lastModifiedBy>
  <cp:revision>2</cp:revision>
  <dcterms:created xsi:type="dcterms:W3CDTF">2019-03-28T17:30:00Z</dcterms:created>
  <dcterms:modified xsi:type="dcterms:W3CDTF">2019-03-28T17:30:00Z</dcterms:modified>
</cp:coreProperties>
</file>