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PAA</w:t>
      </w:r>
      <w:r>
        <w:t xml:space="preserve"> </w:t>
      </w:r>
      <w:r>
        <w:t xml:space="preserve">Disinfection</w:t>
      </w:r>
      <w:r>
        <w:t xml:space="preserve"> </w:t>
      </w:r>
      <w:r>
        <w:t xml:space="preserve">Performance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Prediction</w:t>
      </w:r>
    </w:p>
    <w:p>
      <w:pPr>
        <w:pStyle w:val="Date"/>
      </w:pPr>
      <w:r>
        <w:t xml:space="preserve">2020-03-18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Xe65fecc22b029581996fc7162e10db2c1d5ca3c"/>
      <w:r>
        <w:t xml:space="preserve">Traditional WWTP disinfection process and control</w:t>
      </w:r>
      <w:bookmarkEnd w:id="21"/>
    </w:p>
    <w:p>
      <w:pPr>
        <w:pStyle w:val="Heading3"/>
      </w:pPr>
      <w:bookmarkStart w:id="22" w:name="regulations"/>
      <w:r>
        <w:t xml:space="preserve">Regulations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E. coli</w:t>
      </w:r>
    </w:p>
    <w:p>
      <w:pPr>
        <w:pStyle w:val="Compact"/>
        <w:numPr>
          <w:numId w:val="1002"/>
          <w:ilvl w:val="1"/>
        </w:numPr>
      </w:pPr>
      <w:r>
        <w:t xml:space="preserve">WTD/MTD</w:t>
      </w:r>
    </w:p>
    <w:p>
      <w:pPr>
        <w:pStyle w:val="Compact"/>
        <w:numPr>
          <w:numId w:val="1002"/>
          <w:ilvl w:val="1"/>
        </w:numPr>
      </w:pPr>
      <w:r>
        <w:t xml:space="preserve">Measured in the lab, results two-days later.</w:t>
      </w:r>
    </w:p>
    <w:p>
      <w:pPr>
        <w:pStyle w:val="Compact"/>
        <w:numPr>
          <w:numId w:val="1002"/>
          <w:ilvl w:val="1"/>
        </w:numPr>
      </w:pPr>
      <w:r>
        <w:t xml:space="preserve">Real-time instrumentation is too costly for even the largest municipal WWTPs</w:t>
      </w:r>
    </w:p>
    <w:p>
      <w:pPr>
        <w:pStyle w:val="Heading3"/>
      </w:pPr>
      <w:bookmarkStart w:id="23" w:name="disinfectant"/>
      <w:r>
        <w:t xml:space="preserve">Disinfectant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Chlorine</w:t>
      </w:r>
    </w:p>
    <w:p>
      <w:pPr>
        <w:pStyle w:val="Compact"/>
        <w:numPr>
          <w:numId w:val="1004"/>
          <w:ilvl w:val="1"/>
        </w:numPr>
      </w:pPr>
      <w:r>
        <w:t xml:space="preserve">Pros: Cheap</w:t>
      </w:r>
    </w:p>
    <w:p>
      <w:pPr>
        <w:pStyle w:val="Compact"/>
        <w:numPr>
          <w:numId w:val="1004"/>
          <w:ilvl w:val="1"/>
        </w:numPr>
      </w:pPr>
      <w:r>
        <w:t xml:space="preserve">Cons: Produces DBPs that are harmful to aquatic life that receive the waters and human life when drinking water sources are threatended</w:t>
      </w:r>
    </w:p>
    <w:p>
      <w:pPr>
        <w:pStyle w:val="Compact"/>
        <w:numPr>
          <w:numId w:val="1003"/>
          <w:ilvl w:val="0"/>
        </w:numPr>
      </w:pPr>
      <w:r>
        <w:t xml:space="preserve">PAA</w:t>
      </w:r>
    </w:p>
    <w:p>
      <w:pPr>
        <w:pStyle w:val="Compact"/>
        <w:numPr>
          <w:numId w:val="1005"/>
          <w:ilvl w:val="1"/>
        </w:numPr>
      </w:pPr>
      <w:r>
        <w:t xml:space="preserve">Pros: Fewer DBP</w:t>
      </w:r>
    </w:p>
    <w:p>
      <w:pPr>
        <w:pStyle w:val="Compact"/>
        <w:numPr>
          <w:numId w:val="1005"/>
          <w:ilvl w:val="1"/>
        </w:numPr>
      </w:pPr>
      <w:r>
        <w:t xml:space="preserve">Cons: Difficult to control, does not follow same simple decay kinetics as chlorine</w:t>
      </w:r>
    </w:p>
    <w:p>
      <w:pPr>
        <w:pStyle w:val="Heading3"/>
      </w:pPr>
      <w:bookmarkStart w:id="24" w:name="control"/>
      <w:r>
        <w:t xml:space="preserve">Control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Flow-paced</w:t>
      </w:r>
    </w:p>
    <w:p>
      <w:pPr>
        <w:pStyle w:val="Compact"/>
        <w:numPr>
          <w:numId w:val="1007"/>
          <w:ilvl w:val="1"/>
        </w:numPr>
      </w:pPr>
      <w:r>
        <w:t xml:space="preserve">Caculated dose based on mass flow rate to achieve concentration setpoint, easy to operate</w:t>
      </w:r>
    </w:p>
    <w:p>
      <w:pPr>
        <w:pStyle w:val="Compact"/>
        <w:numPr>
          <w:numId w:val="1007"/>
          <w:ilvl w:val="1"/>
        </w:numPr>
      </w:pPr>
      <w:r>
        <w:t xml:space="preserve">Does not account for instantaneous chemical demand or decay changes due to changing water quality, leads to overdosing during periods of low flow</w:t>
      </w:r>
    </w:p>
    <w:p>
      <w:pPr>
        <w:pStyle w:val="Compact"/>
        <w:numPr>
          <w:numId w:val="1006"/>
          <w:ilvl w:val="0"/>
        </w:numPr>
      </w:pPr>
      <w:r>
        <w:t xml:space="preserve">CT-based</w:t>
      </w:r>
    </w:p>
    <w:p>
      <w:pPr>
        <w:pStyle w:val="Compact"/>
        <w:numPr>
          <w:numId w:val="1008"/>
          <w:ilvl w:val="1"/>
        </w:numPr>
      </w:pPr>
      <w:r>
        <w:t xml:space="preserve">Calculates dose based on mass flow rate and retention time to achieve a CT setpoint, more difficult to program</w:t>
      </w:r>
    </w:p>
    <w:p>
      <w:pPr>
        <w:pStyle w:val="Compact"/>
        <w:numPr>
          <w:numId w:val="1008"/>
          <w:ilvl w:val="1"/>
        </w:numPr>
      </w:pPr>
      <w:r>
        <w:t xml:space="preserve">Relies on fitting of first order kinetic parameters that change with time.</w:t>
      </w:r>
    </w:p>
    <w:p>
      <w:pPr>
        <w:pStyle w:val="Compact"/>
        <w:numPr>
          <w:numId w:val="1008"/>
          <w:ilvl w:val="1"/>
        </w:numPr>
      </w:pPr>
      <w:r>
        <w:t xml:space="preserve">Online analyzers are costly to purchase and maintain, reactive</w:t>
      </w:r>
    </w:p>
    <w:p>
      <w:pPr>
        <w:pStyle w:val="Heading3"/>
      </w:pPr>
      <w:bookmarkStart w:id="25" w:name="tldr"/>
      <w:r>
        <w:t xml:space="preserve">TL;DR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Need a cheap, real-time measure of PAA and E.coli concentrations for accurate disinfection control in WWTP</w:t>
      </w:r>
      <w:r>
        <w:t xml:space="preserve"> </w:t>
      </w:r>
      <w:r>
        <w:t xml:space="preserve">** Need to understand the environmental and operational conditions that impact (1) PAA demand and decay and (2) pre- and post-disinfection E.coli.</w:t>
      </w:r>
      <w:r>
        <w:t xml:space="preserve"> </w:t>
      </w:r>
      <w:r>
        <w:t xml:space="preserve">** Need to use unconventional modeling approaches, such as machine learning, to (1) estimate first order decay parameters for PAA and (2) model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removal</w:t>
      </w:r>
    </w:p>
    <w:p>
      <w:pPr>
        <w:pStyle w:val="Heading2"/>
      </w:pPr>
      <w:bookmarkStart w:id="26" w:name="Xa9837966147f6f29dfe89b3e0dd419039f9ea01"/>
      <w:r>
        <w:t xml:space="preserve">Machine learning approaches to disinfection modeling</w:t>
      </w:r>
      <w:bookmarkEnd w:id="26"/>
    </w:p>
    <w:p>
      <w:pPr>
        <w:pStyle w:val="Compact"/>
        <w:numPr>
          <w:numId w:val="1010"/>
          <w:ilvl w:val="0"/>
        </w:numPr>
      </w:pPr>
      <w:r>
        <w:t xml:space="preserve">Not a lot of literature</w:t>
      </w:r>
    </w:p>
    <w:p>
      <w:pPr>
        <w:pStyle w:val="Compact"/>
        <w:numPr>
          <w:numId w:val="1010"/>
          <w:ilvl w:val="0"/>
        </w:numPr>
      </w:pPr>
      <w:r>
        <w:t xml:space="preserve">We propose a nonlinear, real time method of estimating first order decay parameters</w:t>
      </w:r>
    </w:p>
    <w:p>
      <w:pPr>
        <w:pStyle w:val="Heading1"/>
      </w:pPr>
      <w:bookmarkStart w:id="27" w:name="materials-and-methods"/>
      <w:r>
        <w:t xml:space="preserve">Materials and Methods</w:t>
      </w:r>
      <w:bookmarkEnd w:id="27"/>
    </w:p>
    <w:p>
      <w:pPr>
        <w:pStyle w:val="Heading2"/>
      </w:pPr>
      <w:bookmarkStart w:id="28" w:name="rwhtp"/>
      <w:r>
        <w:t xml:space="preserve">RWHTP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Two separate treatment trains: North and South</w:t>
      </w:r>
    </w:p>
    <w:p>
      <w:pPr>
        <w:pStyle w:val="Compact"/>
        <w:numPr>
          <w:numId w:val="1011"/>
          <w:ilvl w:val="0"/>
        </w:numPr>
      </w:pPr>
      <w:r>
        <w:t xml:space="preserve">Data collected:</w:t>
      </w:r>
    </w:p>
    <w:p>
      <w:pPr>
        <w:pStyle w:val="Compact"/>
        <w:numPr>
          <w:numId w:val="1012"/>
          <w:ilvl w:val="1"/>
        </w:numPr>
      </w:pPr>
      <w:r>
        <w:t xml:space="preserve">PAA profiles from X-Y</w:t>
      </w:r>
    </w:p>
    <w:p>
      <w:pPr>
        <w:pStyle w:val="Compact"/>
        <w:numPr>
          <w:numId w:val="1012"/>
          <w:ilvl w:val="1"/>
        </w:numPr>
      </w:pPr>
      <w:r>
        <w:t xml:space="preserve">Daily E. coli measurements from X-Y</w:t>
      </w:r>
    </w:p>
    <w:p>
      <w:pPr>
        <w:pStyle w:val="Compact"/>
        <w:numPr>
          <w:numId w:val="1012"/>
          <w:ilvl w:val="1"/>
        </w:numPr>
      </w:pPr>
      <w:r>
        <w:t xml:space="preserve">Online instrumentation of upstream treatment processes</w:t>
      </w:r>
    </w:p>
    <w:p>
      <w:pPr>
        <w:pStyle w:val="Compact"/>
        <w:numPr>
          <w:numId w:val="1012"/>
          <w:ilvl w:val="1"/>
        </w:numPr>
      </w:pPr>
      <w:r>
        <w:t xml:space="preserve">Daily-weekly samples of upstream treatment processes, both instantaneous grab and 24-hour flow-weighted composites</w:t>
      </w:r>
    </w:p>
    <w:p>
      <w:pPr>
        <w:pStyle w:val="Heading3"/>
      </w:pPr>
      <w:bookmarkStart w:id="29" w:name="e.-coli-model-input-data"/>
      <w:r>
        <w:rPr>
          <w:i/>
        </w:rPr>
        <w:t xml:space="preserve">E. coli</w:t>
      </w:r>
      <w:r>
        <w:t xml:space="preserve"> </w:t>
      </w:r>
      <w:r>
        <w:t xml:space="preserve">model input data</w:t>
      </w:r>
      <w:bookmarkEnd w:id="29"/>
    </w:p>
    <w:p>
      <w:pPr>
        <w:pStyle w:val="FirstParagraph"/>
      </w:pPr>
      <w:r>
        <w:t xml:space="preserve">Table 1: Variables monitored in the North to predict E. coli performance. Number of observations is calculated by the number of variables that have a value collected within 24-hours prior to the E.coli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377"/>
        <w:gridCol w:w="5377"/>
        <w:gridCol w:w="5377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North Nitrification Effluent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175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1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153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2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160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3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154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4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N99C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ASRT ASRT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ECIDX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N236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 T631   GTE to SAR 2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 T632   GTE to SAR 4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Main Inf Channel NSEC  TI N171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 FLOW  FY F225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INF  FY F25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128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1 Ave Blanket Depth NSEC  LI N561Q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1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2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3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4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RAS %AE Basin Inf NSEC  FC N200B2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 R3003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122</w:t>
            </w:r>
          </w:p>
        </w:tc>
      </w:tr>
    </w:tbl>
    <w:p>
      <w:pPr>
        <w:pStyle w:val="BodyText"/>
      </w:pPr>
      <w:r>
        <w:t xml:space="preserve">Table 2: Variables monitored in the South to predict E. coli performance. Number of observations is calculated by the number of variables that have a value collected within 24-hours prior to the E.coli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26"/>
        <w:gridCol w:w="2437"/>
        <w:gridCol w:w="3158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Sorth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325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133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136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120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119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182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139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138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139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 South Final Effluent Platform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5 DO CTRL  AC S123A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6 DO CTRL  AC S123B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7 DO CTRL  AC S123C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8 DO CTRL  AC S123D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5 DO CTRL  AC S163A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6 DO CTRL  AC S163B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7 DO CTRL  AC S163C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8 DO CTRL  AC S163D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S568A   DMX1 NH3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S568D   DMX2 NO3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S578A   DMX1 NH3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S578D   DMX2 NO3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ASRT ASRT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339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174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82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DIS PAA S Upstream Hach CL17 #1    AI K871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DIS S PAA Total Flow  FY K860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ECIDX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T621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PAA South Plant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 CMPLX SEC EFF FLOW  FI F4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South Outfall Temperature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1 IN SERVICE  HC S110A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IN SERVICE  HC S120A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NO3  AI S122D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ZONE 8 TSS  AI S125C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3 IN SERVICE  HC S130A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4 IN SERVICE  HC S140A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5 IN SERVICE  HC S150A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6 IN SERVICE  HC S160A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6 ZONE 8 TSS  AI S165C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AB6 Z4 NH3  AI S163A 4A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AB6 Z8 NH3  AI S163D 8A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Ammonia Control 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2 SWAS TSS ANALYZER  AI S75C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2B NH3  AI S77A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3 SWAS TSS ANALYZER  AI S85C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Basin 2B NO3  AI S77A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PEPS NH3 Analyzer  AI S50A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PEPS TSS Analyzer  AI S50C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RAS To SEC Influent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339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CaRRB Flow to ABasins  FY S102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PE Flow to ABasins  FY S100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RAS Flow to ABasins  FY S101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RAS Flow To CarrB  FI S391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 R3003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</w:tbl>
    <w:p>
      <w:pPr>
        <w:pStyle w:val="Heading1"/>
      </w:pPr>
      <w:bookmarkStart w:id="30" w:name="results"/>
      <w:r>
        <w:t xml:space="preserve">Results</w:t>
      </w:r>
      <w:bookmarkEnd w:id="30"/>
    </w:p>
    <w:p>
      <w:pPr>
        <w:pStyle w:val="Heading2"/>
      </w:pPr>
      <w:bookmarkStart w:id="31" w:name="e.-coli-predition"/>
      <w:r>
        <w:rPr>
          <w:i/>
        </w:rPr>
        <w:t xml:space="preserve">E. coli</w:t>
      </w:r>
      <w:r>
        <w:t xml:space="preserve"> </w:t>
      </w:r>
      <w:r>
        <w:t xml:space="preserve">predition</w:t>
      </w:r>
      <w:bookmarkEnd w:id="31"/>
    </w:p>
    <w:p>
      <w:pPr>
        <w:pStyle w:val="Heading3"/>
      </w:pPr>
      <w:bookmarkStart w:id="32" w:name="predisinfection-e.-coli"/>
      <w:r>
        <w:t xml:space="preserve">Predisinfection</w:t>
      </w:r>
      <w:r>
        <w:t xml:space="preserve"> </w:t>
      </w:r>
      <w:r>
        <w:rPr>
          <w:i/>
        </w:rPr>
        <w:t xml:space="preserve">E. coli</w:t>
      </w:r>
      <w:bookmarkEnd w:id="32"/>
    </w:p>
    <w:sectPr w:rsidR="00320BD7" w:rsidRPr="00B21D7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6686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002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21D7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1D7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D7D"/>
    <w:pPr>
      <w:spacing w:before="36" w:after="36"/>
    </w:pPr>
    <w:rPr>
      <w:rFonts w:ascii="Times" w:hAnsi="Times"/>
    </w:rPr>
  </w:style>
  <w:style w:type="paragraph" w:styleId="Title">
    <w:name w:val="Title"/>
    <w:basedOn w:val="Normal"/>
    <w:next w:val="BodyText"/>
    <w:qFormat/>
    <w:rsid w:val="00B21D7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PAA Disinfection Performance</vt:lpstr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 Disinfection Performance</dc:title>
  <dc:creator/>
  <cp:keywords/>
  <dcterms:created xsi:type="dcterms:W3CDTF">2020-03-18T01:01:07Z</dcterms:created>
  <dcterms:modified xsi:type="dcterms:W3CDTF">2020-03-18T01:01:07Z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2020-03-18</vt:lpwstr>
  </property>
  <property fmtid="{D5CDD505-2E9C-101B-9397-08002B2CF9AE}" pid="3" name="output">
    <vt:lpwstr/>
  </property>
  <property fmtid="{D5CDD505-2E9C-101B-9397-08002B2CF9AE}" pid="4" name="subtitle">
    <vt:lpwstr>Analysis and Prediction</vt:lpwstr>
  </property>
</Properties>
</file>