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3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Real-time</w:t>
      </w:r>
      <w:r>
        <w:t xml:space="preserve"> </w:t>
      </w:r>
      <w:r>
        <w:t xml:space="preserve">PAA</w:t>
      </w:r>
      <w:r>
        <w:t xml:space="preserve"> </w:t>
      </w:r>
      <w:r>
        <w:t xml:space="preserve">Disinfection</w:t>
      </w:r>
      <w:r>
        <w:t xml:space="preserve"> </w:t>
      </w:r>
      <w:r>
        <w:t xml:space="preserve">Control</w:t>
      </w:r>
      <w:r>
        <w:t xml:space="preserve"> </w:t>
      </w:r>
      <w:r>
        <w:t xml:space="preserve">in</w:t>
      </w:r>
      <w:r>
        <w:t xml:space="preserve"> </w:t>
      </w:r>
      <w:r>
        <w:t xml:space="preserve">Municipal</w:t>
      </w:r>
      <w:r>
        <w:t xml:space="preserve"> </w:t>
      </w:r>
      <w:r>
        <w:t xml:space="preserve">Wastewater</w:t>
      </w:r>
      <w:r>
        <w:t xml:space="preserve"> </w:t>
      </w:r>
      <w:r>
        <w:t xml:space="preserve">Treament</w:t>
      </w:r>
    </w:p>
    <w:p>
      <w:pPr>
        <w:pStyle w:val="Author"/>
      </w:pPr>
      <w:r>
        <w:t xml:space="preserve">Kate</w:t>
      </w:r>
      <w:r>
        <w:t xml:space="preserve"> </w:t>
      </w:r>
      <w:r>
        <w:t xml:space="preserve">Newhart</w:t>
      </w:r>
    </w:p>
    <w:p>
      <w:pPr>
        <w:pStyle w:val="Date"/>
      </w:pPr>
      <w:r>
        <w:t xml:space="preserve">2019-12-19</w:t>
      </w:r>
    </w:p>
    <w:p>
      <w:pPr>
        <w:pStyle w:val="Heading1"/>
      </w:pPr>
      <w:bookmarkStart w:id="20" w:name="july-2019-evaluation"/>
      <w:r>
        <w:t xml:space="preserve">July 2019 Evaluation</w:t>
      </w:r>
      <w:bookmarkEnd w:id="20"/>
    </w:p>
    <w:p>
      <w:pPr>
        <w:pStyle w:val="Heading2"/>
      </w:pPr>
      <w:bookmarkStart w:id="21" w:name="step-1-calculate-ct"/>
      <w:r>
        <w:t xml:space="preserve">Step 1: Calculate CT</w:t>
      </w:r>
      <w:bookmarkEnd w:id="21"/>
    </w:p>
    <w:p>
      <w:pPr>
        <w:pStyle w:val="FirstParagraph"/>
      </w:pPr>
      <w:r>
        <w:t xml:space="preserve">For each sampling event and location, HRT was calculated to fit to a first-order decay model to generate PAA concentration as a function of time (</w:t>
      </w:r>
      <m:oMath>
        <m:r>
          <m:t>C</m:t>
        </m:r>
        <m:r>
          <m:t>(</m:t>
        </m:r>
        <m:r>
          <m:t>t</m:t>
        </m:r>
        <m:r>
          <m:t>)</m:t>
        </m:r>
      </m:oMath>
      <w:r>
        <w:t xml:space="preserve">). The integral of</w:t>
      </w:r>
      <w:r>
        <w:t xml:space="preserve"> </w:t>
      </w:r>
      <m:oMath>
        <m:r>
          <m:t>C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and the total disinfection potential (</w:t>
      </w:r>
      <m:oMath>
        <m:r>
          <m:t>C</m:t>
        </m:r>
        <m:r>
          <m:t>T</m:t>
        </m:r>
      </m:oMath>
      <w:r>
        <w:t xml:space="preserve">) is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k</m:t>
            </m:r>
          </m:den>
        </m:f>
        <m:r>
          <m:t>(</m:t>
        </m:r>
        <m:sSub>
          <m:e>
            <m:r>
              <m:t>C</m:t>
            </m:r>
          </m:e>
          <m:sub>
            <m:r>
              <m:t>0</m:t>
            </m:r>
          </m:sub>
        </m:sSub>
        <m:r>
          <m:t>−</m:t>
        </m:r>
        <m:sSub>
          <m:e>
            <m:r>
              <m:t>C</m:t>
            </m:r>
          </m:e>
          <m:sub>
            <m:r>
              <m:t>0</m:t>
            </m:r>
          </m:sub>
        </m:sSub>
        <m:r>
          <m:t>*</m:t>
        </m:r>
        <m:sSup>
          <m:e>
            <m:r>
              <m:t>e</m:t>
            </m:r>
          </m:e>
          <m:sup>
            <m:r>
              <m:t>−</m:t>
            </m:r>
            <m:r>
              <m:t>k</m:t>
            </m:r>
            <m:sSub>
              <m:e>
                <m:r>
                  <m:t>t</m:t>
                </m:r>
              </m:e>
              <m:sub>
                <m:r>
                  <m:t>30</m:t>
                </m:r>
                <m:r>
                  <m:t>m</m:t>
                </m:r>
                <m:r>
                  <m:t>i</m:t>
                </m:r>
                <m:r>
                  <m:t>n</m:t>
                </m:r>
              </m:sub>
            </m:sSub>
          </m:sup>
        </m:sSup>
        <m:r>
          <m:t>)</m:t>
        </m:r>
      </m:oMath>
      <w:r>
        <w:t xml:space="preserve"> </w:t>
      </w:r>
      <w:r>
        <w:t xml:space="preserve">where</w:t>
      </w:r>
      <w:r>
        <w:t xml:space="preserve"> </w:t>
      </w:r>
      <m:oMath>
        <m:sSub>
          <m:e>
            <m:r>
              <m:t>C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is the PAA cocentration at time 0 and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the model parameter for first-order decay.</w:t>
      </w:r>
      <w:r>
        <w:t xml:space="preserve"> </w:t>
      </w:r>
      <m:oMath>
        <m:sSub>
          <m:e>
            <m:r>
              <m:t>C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is not equal to the initial dose of PAA (</w:t>
      </w:r>
      <m:oMath>
        <m:sSub>
          <m:e>
            <m:r>
              <m:t>C</m:t>
            </m:r>
          </m:e>
          <m:sub>
            <m:r>
              <m:t>d</m:t>
            </m:r>
            <m:r>
              <m:t>o</m:t>
            </m:r>
            <m:r>
              <m:t>s</m:t>
            </m:r>
            <m:r>
              <m:t>e</m:t>
            </m:r>
          </m:sub>
        </m:sSub>
      </m:oMath>
      <w:r>
        <w:t xml:space="preserve">) but the residual after some initial PAA demand (</w:t>
      </w:r>
      <m:oMath>
        <m:r>
          <m:t>D</m:t>
        </m:r>
      </m:oMath>
      <w:r>
        <w:t xml:space="preserve">) has been consumed (</w:t>
      </w:r>
      <m:oMath>
        <m:sSub>
          <m:e>
            <m:r>
              <m:t>C</m:t>
            </m:r>
          </m:e>
          <m:sub>
            <m:r>
              <m:t>0</m:t>
            </m:r>
          </m:sub>
        </m:sSub>
        <m:r>
          <m:t>=</m:t>
        </m:r>
        <m:sSub>
          <m:e>
            <m:r>
              <m:t>C</m:t>
            </m:r>
          </m:e>
          <m:sub>
            <m:r>
              <m:t>d</m:t>
            </m:r>
            <m:r>
              <m:t>o</m:t>
            </m:r>
            <m:r>
              <m:t>s</m:t>
            </m:r>
            <m:r>
              <m:t>e</m:t>
            </m:r>
          </m:sub>
        </m:sSub>
        <m:r>
          <m:t>−</m:t>
        </m:r>
        <m:r>
          <m:t>D</m:t>
        </m:r>
      </m:oMath>
      <w:r>
        <w:t xml:space="preserve">). Model parameters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are fit for each sampling event and CT calculated (highlighted in orange below). Of the 66 sampleing events, only event #24 is excluded from further analysis due to poor data (PAA measured at the 1-minute sample location is less than all downstream locations).</w:t>
      </w:r>
    </w:p>
    <w:p>
      <w:pPr>
        <w:pStyle w:val="BodyText"/>
      </w:pP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523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lot%20PAA%20and%20C(t)%20curve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step-2-predict-ct"/>
      <w:r>
        <w:t xml:space="preserve">Step 2: Predict CT</w:t>
      </w:r>
      <w:bookmarkEnd w:id="44"/>
    </w:p>
    <w:p>
      <w:pPr>
        <w:pStyle w:val="FirstParagraph"/>
      </w:pPr>
      <w:r>
        <w:t xml:space="preserve">Using artifical neural networks (ANN), CT can be predicted from minute of the day, disinfection basin influent flow, PAA flow, PAA residual from a Chemscan instrument downstream of the 1-minute sample location, aerobic SRT of the secondary process, and a variety of water quality measurements taken at the effluent of the secondary process (ammonia, nitrate, nitrite, phosphorus, and TSS). A rolling window approach is used for testing in which a training dataset of</w:t>
      </w:r>
      <w:r>
        <w:t xml:space="preserve"> </w:t>
      </w:r>
      <w:r>
        <w:rPr>
          <w:i/>
        </w:rPr>
        <w:t xml:space="preserve">n</w:t>
      </w:r>
      <w:r>
        <w:t xml:space="preserve"> </w:t>
      </w:r>
      <w:r>
        <w:t xml:space="preserve">observations is used to fit a 1-layer ANN with 5 nodes. Observation</w:t>
      </w:r>
      <w:r>
        <w:t xml:space="preserve"> </w:t>
      </w:r>
      <m:oMath>
        <m:r>
          <m:t>n</m:t>
        </m:r>
        <m:r>
          <m:t>+</m:t>
        </m:r>
        <m:r>
          <m:t>1</m:t>
        </m:r>
      </m:oMath>
      <w:r>
        <w:t xml:space="preserve"> </w:t>
      </w:r>
      <w:r>
        <w:t xml:space="preserve">is compared to the ANN prediction at time</w:t>
      </w:r>
      <w:r>
        <w:t xml:space="preserve"> </w:t>
      </w:r>
      <w:r>
        <w:rPr>
          <w:i/>
        </w:rPr>
        <w:t xml:space="preserve">n</w:t>
      </w:r>
      <w:r>
        <w:t xml:space="preserve">+1 using root mean squared error (RMSE). The window then moves forward to include observations 2–(</w:t>
      </w:r>
      <w:r>
        <w:rPr>
          <w:i/>
        </w:rPr>
        <w:t xml:space="preserve">n</w:t>
      </w:r>
      <w:r>
        <w:t xml:space="preserve">+1) and test observation</w:t>
      </w:r>
      <w:r>
        <w:t xml:space="preserve"> </w:t>
      </w:r>
      <w:r>
        <w:rPr>
          <w:i/>
        </w:rPr>
        <w:t xml:space="preserve">n</w:t>
      </w:r>
      <w:r>
        <w:t xml:space="preserve">+2. The window moves forward, is re-trained, and tested on a new obseration for the entire dataset (unitl all 65 sampling events have been used for training or testing).</w:t>
      </w:r>
    </w:p>
    <w:p>
      <w:pPr>
        <w:pStyle w:val="BodyText"/>
      </w:pPr>
      <w:r>
        <w:drawing>
          <wp:inline>
            <wp:extent cx="5334000" cy="1641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T%20N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predict-predisinfection-e.coli"/>
      <w:r>
        <w:t xml:space="preserve">Predict Predisinfection E.coli</w:t>
      </w:r>
      <w:bookmarkEnd w:id="46"/>
    </w:p>
    <w:p>
      <w:pPr>
        <w:pStyle w:val="FirstParagraph"/>
      </w:pPr>
      <w:r>
        <w:drawing>
          <wp:inline>
            <wp:extent cx="5334000" cy="1641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re%20Ecoli%20N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predict-final-e.coli"/>
      <w:r>
        <w:t xml:space="preserve">Predict Final E.coli</w:t>
      </w:r>
      <w:bookmarkEnd w:id="48"/>
    </w:p>
    <w:p>
      <w:pPr>
        <w:pStyle w:val="FirstParagraph"/>
      </w:pPr>
      <w:r>
        <w:drawing>
          <wp:inline>
            <wp:extent cx="5334000" cy="1641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ost%20Ecoli%20N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step-6-real-time-e.-coli"/>
      <w:r>
        <w:t xml:space="preserve">Step 6: Real-time</w:t>
      </w:r>
      <w:r>
        <w:t xml:space="preserve"> </w:t>
      </w:r>
      <w:r>
        <w:rPr>
          <w:i/>
        </w:rPr>
        <w:t xml:space="preserve">E. coli</w:t>
      </w:r>
      <w:bookmarkEnd w:id="50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Real-time PAA Disinfection Control in Municipal Wastewater Treament</dc:title>
  <dc:creator>Kate Newhart</dc:creator>
  <cp:keywords/>
  <dcterms:created xsi:type="dcterms:W3CDTF">2019-12-19T16:59:22Z</dcterms:created>
  <dcterms:modified xsi:type="dcterms:W3CDTF">2019-12-19T16:59:22Z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2019-12-19</vt:lpwstr>
  </property>
  <property fmtid="{D5CDD505-2E9C-101B-9397-08002B2CF9AE}" pid="3" name="output">
    <vt:lpwstr>word_document</vt:lpwstr>
  </property>
</Properties>
</file>