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left"/>
      </w:pPr>
      <w:r>
        <w:rPr>
          <w:rFonts w:ascii="Arial" w:cs="Arial" w:eastAsia="Arial" w:hAnsi="Arial"/>
          <w:b/>
          <w:bCs/>
          <w:color w:val="003A73"/>
          <w:sz w:val="56"/>
          <w:szCs w:val="56"/>
        </w:rPr>
        <w:t xml:space="preserve">Power BI Pro</w:t>
      </w:r>
    </w:p>
    <w:p>
      <w:pPr>
        <w:spacing w:before="0" w:after="200"/>
        <w:jc w:val="left"/>
      </w:pPr>
      <w:r>
        <w:rPr>
          <w:rFonts w:ascii="Arial" w:cs="Arial" w:eastAsia="Arial" w:hAnsi="Arial"/>
          <w:color w:val="0055A4"/>
          <w:sz w:val="40"/>
          <w:szCs w:val="40"/>
        </w:rPr>
        <w:t xml:space="preserve">Client Architecture Write-Up</w:t>
      </w:r>
    </w:p>
    <w:p>
      <w:pPr>
        <w:pBdr>
          <w:bottom w:val="single" w:color="0055A4" w:sz="12" w:space="1"/>
        </w:pBdr>
        <w:spacing w:before="0" w:after="32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Document Type</w:t>
            </w:r>
          </w:p>
        </w:tc>
        <w:tc>
          <w:tcPr>
            <w:tcW w:type="dxa" w:w="6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Architecture Reference</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Audience</w:t>
            </w:r>
          </w:p>
        </w:tc>
        <w:tc>
          <w:tcPr>
            <w:tcW w:type="dxa" w:w="6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Internal Employees — Report Consumers and Developers</w:t>
            </w:r>
          </w:p>
        </w:tc>
      </w:tr>
      <w:tr>
        <w:tc>
          <w:tcPr>
            <w:tcW w:type="dxa" w:w="3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License</w:t>
            </w:r>
          </w:p>
        </w:tc>
        <w:tc>
          <w:tcPr>
            <w:tcW w:type="dxa" w:w="6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Power BI Pro · $10 per user / month</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Workspace</w:t>
            </w:r>
          </w:p>
        </w:tc>
        <w:tc>
          <w:tcPr>
            <w:tcW w:type="dxa" w:w="6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Single Workspace (scalable to Dev + Prod)</w:t>
            </w:r>
          </w:p>
        </w:tc>
      </w:tr>
      <w:tr>
        <w:tc>
          <w:tcPr>
            <w:tcW w:type="dxa" w:w="3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Data Sources</w:t>
            </w:r>
          </w:p>
        </w:tc>
        <w:tc>
          <w:tcPr>
            <w:tcW w:type="dxa" w:w="6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SAP HANA Data Warehouse · SharePoint Online (Excel)</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Version Control</w:t>
            </w:r>
          </w:p>
        </w:tc>
        <w:tc>
          <w:tcPr>
            <w:tcW w:type="dxa" w:w="6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.pbip + Azure DevOps Git</w:t>
            </w:r>
          </w:p>
        </w:tc>
      </w:tr>
      <w:tr>
        <w:tc>
          <w:tcPr>
            <w:tcW w:type="dxa" w:w="3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Date</w:t>
            </w:r>
          </w:p>
        </w:tc>
        <w:tc>
          <w:tcPr>
            <w:tcW w:type="dxa" w:w="6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March 2026</w:t>
            </w:r>
          </w:p>
        </w:tc>
      </w:tr>
      <w:tr>
        <w:tc>
          <w:tcPr>
            <w:tcW w:type="dxa" w:w="3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Status</w:t>
            </w:r>
          </w:p>
        </w:tc>
        <w:tc>
          <w:tcPr>
            <w:tcW w:type="dxa" w:w="6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Current Architecture — Active</w:t>
            </w:r>
          </w:p>
        </w:tc>
      </w:tr>
    </w:tbl>
    <w:p>
      <w:pPr>
        <w:spacing w:before="0" w:after="40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1. Executive Summary</w:t>
      </w:r>
    </w:p>
    <w:p>
      <w:pPr>
        <w:spacing w:before="60" w:after="100"/>
      </w:pPr>
      <w:r>
        <w:rPr>
          <w:rFonts w:ascii="Arial" w:cs="Arial" w:eastAsia="Arial" w:hAnsi="Arial"/>
          <w:color w:val="374151"/>
          <w:sz w:val="22"/>
          <w:szCs w:val="22"/>
        </w:rPr>
        <w:t xml:space="preserve">This document describes the Power BI Pro reporting architecture designed for internal employee access. The architecture connects two primary data sources — an SAP HANA Data Warehouse and SharePoint Online Excel files — through a structured ingestion, modelling, and distribution pipeline built entirely on Power BI Pro licensing.</w:t>
      </w:r>
    </w:p>
    <w:p>
      <w:pPr>
        <w:spacing w:before="0" w:after="60"/>
      </w:pPr>
      <w:r>
        <w:t xml:space="preserve"/>
      </w:r>
    </w:p>
    <w:p>
      <w:pPr>
        <w:spacing w:before="60" w:after="100"/>
      </w:pPr>
      <w:r>
        <w:rPr>
          <w:rFonts w:ascii="Arial" w:cs="Arial" w:eastAsia="Arial" w:hAnsi="Arial"/>
          <w:color w:val="374151"/>
          <w:sz w:val="22"/>
          <w:szCs w:val="22"/>
        </w:rPr>
        <w:t xml:space="preserve">Reports are published to a single Power BI Workspace and delivered to employees through a Power BI App, Microsoft Teams, and the Power BI Service web interface. All access is governed by Azure Active Directory security groups. Version control is managed through Power BI Project files (.pbip) committed to Azure DevOps Git, enabling code review, rollback, and a clear audit trail without requiring a Premium capacity upgrade.</w:t>
      </w:r>
    </w:p>
    <w:p>
      <w:pPr>
        <w:spacing w:before="0" w:after="60"/>
      </w:pPr>
      <w:r>
        <w:t xml:space="preserve"/>
      </w:r>
    </w:p>
    <w:p>
      <w:pPr>
        <w:spacing w:before="60" w:after="100"/>
      </w:pPr>
      <w:r>
        <w:rPr>
          <w:rFonts w:ascii="Arial" w:cs="Arial" w:eastAsia="Arial" w:hAnsi="Arial"/>
          <w:color w:val="374151"/>
          <w:sz w:val="22"/>
          <w:szCs w:val="22"/>
        </w:rPr>
        <w:t xml:space="preserve">The architecture is designed to be simple and cost-effective at current team size, with a documented scale-up path to a Dev + Prod workspace model as the team or report catalogue grows.</w:t>
      </w:r>
    </w:p>
    <w:p>
      <w:pPr>
        <w:spacing w:before="0" w:after="16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2. Architecture Decisions &amp; Rationale</w:t>
      </w:r>
    </w:p>
    <w:p>
      <w:pPr>
        <w:spacing w:before="60" w:after="100"/>
      </w:pPr>
      <w:r>
        <w:rPr>
          <w:rFonts w:ascii="Arial" w:cs="Arial" w:eastAsia="Arial" w:hAnsi="Arial"/>
          <w:color w:val="374151"/>
          <w:sz w:val="22"/>
          <w:szCs w:val="22"/>
        </w:rPr>
        <w:t xml:space="preserve">The following section documents the key design decisions made in this architecture and the reasoning behind each choice. These decisions should be revisited if team size, data volumes, or licensing constraints change.</w:t>
      </w:r>
    </w:p>
    <w:p>
      <w:pPr>
        <w:spacing w:before="0" w:after="80"/>
      </w:pPr>
      <w:r>
        <w:t xml:space="preserve"/>
      </w:r>
    </w:p>
    <w:p>
      <w:pPr>
        <w:pStyle w:val="Heading2"/>
        <w:spacing w:before="280" w:after="80"/>
      </w:pPr>
      <w:r>
        <w:rPr>
          <w:rFonts w:ascii="Arial" w:cs="Arial" w:eastAsia="Arial" w:hAnsi="Arial"/>
          <w:b/>
          <w:bCs/>
          <w:color w:val="0055A4"/>
          <w:sz w:val="24"/>
          <w:szCs w:val="24"/>
        </w:rPr>
        <w:t xml:space="preserve">2.1  Single Workspace</w:t>
      </w:r>
    </w:p>
    <w:p>
      <w:pPr>
        <w:spacing w:before="60" w:after="100"/>
      </w:pPr>
      <w:r>
        <w:rPr>
          <w:rFonts w:ascii="Arial" w:cs="Arial" w:eastAsia="Arial" w:hAnsi="Arial"/>
          <w:color w:val="374151"/>
          <w:sz w:val="22"/>
          <w:szCs w:val="22"/>
        </w:rPr>
        <w:t xml:space="preserve">A single Power BI workspace is used for this architecture based on current team size and report scope. Additional workspaces in Power BI are free — the cost is per-user, not per-workspace — so there is no financial reason to avoid adding a second workspace when the team grows. The decision to remain on a single workspace is based on simplicity: one workspace reduces the operational overhead of managing promotion, permissions, and refresh schedules across multiple environments.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8CDD8" w:sz="1"/>
              <w:left w:val="single" w:color="C8CDD8" w:sz="1"/>
              <w:bottom w:val="single" w:color="C8CDD8" w:sz="1"/>
              <w:right w:val="single" w:color="C8CDD8" w:sz="1"/>
            </w:tcBorders>
            <w:shd w:fill="0055A4"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NOTE</w:t>
            </w:r>
          </w:p>
        </w:tc>
        <w:tc>
          <w:tcPr>
            <w:tcW w:type="dxa" w:w="9160"/>
            <w:tcBorders>
              <w:top w:val="single" w:color="C8CDD8" w:sz="1"/>
              <w:left w:val="single" w:color="C8CDD8" w:sz="1"/>
              <w:bottom w:val="single" w:color="C8CDD8" w:sz="1"/>
              <w:right w:val="single" w:color="C8CDD8" w:sz="1"/>
            </w:tcBorders>
            <w:shd w:fill="EEF4FB" w:val="clear"/>
            <w:tcMar>
              <w:top w:type="dxa" w:w="100"/>
              <w:left w:type="dxa" w:w="160"/>
              <w:bottom w:type="dxa" w:w="100"/>
              <w:right w:type="dxa" w:w="160"/>
            </w:tcMar>
          </w:tcPr>
          <w:p>
            <w:r>
              <w:rPr>
                <w:rFonts w:ascii="Arial" w:cs="Arial" w:eastAsia="Arial" w:hAnsi="Arial"/>
                <w:color w:val="374151"/>
                <w:sz w:val="20"/>
                <w:szCs w:val="20"/>
              </w:rPr>
              <w:t xml:space="preserve">The Power BI App within this workspace acts as the production gate. End users are given access to the App only and never interact with the workspace directly. This provides a logical separation between development assets and what is published to consumers, without the complexity of a full Dev + Prod workspace split.</w:t>
            </w:r>
          </w:p>
        </w:tc>
      </w:tr>
    </w:tbl>
    <w:p>
      <w:pPr>
        <w:spacing w:before="0" w:after="120"/>
      </w:pPr>
      <w:r>
        <w:t xml:space="preserve"/>
      </w:r>
    </w:p>
    <w:p>
      <w:pPr>
        <w:pStyle w:val="Heading2"/>
        <w:spacing w:before="280" w:after="80"/>
      </w:pPr>
      <w:r>
        <w:rPr>
          <w:rFonts w:ascii="Arial" w:cs="Arial" w:eastAsia="Arial" w:hAnsi="Arial"/>
          <w:b/>
          <w:bCs/>
          <w:color w:val="0055A4"/>
          <w:sz w:val="24"/>
          <w:szCs w:val="24"/>
        </w:rPr>
        <w:t xml:space="preserve">2.2  Import Mode over DirectQuery</w:t>
      </w:r>
    </w:p>
    <w:p>
      <w:pPr>
        <w:spacing w:before="60" w:after="100"/>
      </w:pPr>
      <w:r>
        <w:rPr>
          <w:rFonts w:ascii="Arial" w:cs="Arial" w:eastAsia="Arial" w:hAnsi="Arial"/>
          <w:color w:val="374151"/>
          <w:sz w:val="22"/>
          <w:szCs w:val="22"/>
        </w:rPr>
        <w:t xml:space="preserve">All semantic models are configured in Import Mode rather than DirectQuery. This decision is based on three factors:</w:t>
      </w:r>
    </w:p>
    <w:p>
      <w:pPr>
        <w:pStyle w:val="ListParagraph"/>
        <w:numPr>
          <w:ilvl w:val="0"/>
          <w:numId w:val="2"/>
        </w:numPr>
        <w:spacing w:before="40" w:after="60"/>
      </w:pPr>
      <w:r>
        <w:rPr>
          <w:rFonts w:ascii="Arial" w:cs="Arial" w:eastAsia="Arial" w:hAnsi="Arial"/>
          <w:color w:val="374151"/>
          <w:sz w:val="22"/>
          <w:szCs w:val="22"/>
        </w:rPr>
        <w:t xml:space="preserve">Performance: Import Mode loads data into Power BI's in-memory Analysis Services engine, which is significantly faster for end-user report interaction than DirectQuery, which issues a live query to SAP HANA on every visual render.</w:t>
      </w:r>
    </w:p>
    <w:p>
      <w:pPr>
        <w:pStyle w:val="ListParagraph"/>
        <w:numPr>
          <w:ilvl w:val="0"/>
          <w:numId w:val="2"/>
        </w:numPr>
        <w:spacing w:before="40" w:after="60"/>
      </w:pPr>
      <w:r>
        <w:rPr>
          <w:rFonts w:ascii="Arial" w:cs="Arial" w:eastAsia="Arial" w:hAnsi="Arial"/>
          <w:color w:val="374151"/>
          <w:sz w:val="22"/>
          <w:szCs w:val="22"/>
        </w:rPr>
        <w:t xml:space="preserve">Pro tier constraints: DirectQuery on SAP HANA with row-level security and complex DAX measures can introduce query timeouts and unpredictable performance at Pro tier without Premium query caching.</w:t>
      </w:r>
    </w:p>
    <w:p>
      <w:pPr>
        <w:pStyle w:val="ListParagraph"/>
        <w:numPr>
          <w:ilvl w:val="0"/>
          <w:numId w:val="2"/>
        </w:numPr>
        <w:spacing w:before="40" w:after="60"/>
      </w:pPr>
      <w:r>
        <w:rPr>
          <w:rFonts w:ascii="Arial" w:cs="Arial" w:eastAsia="Arial" w:hAnsi="Arial"/>
          <w:color w:val="374151"/>
          <w:sz w:val="22"/>
          <w:szCs w:val="22"/>
        </w:rPr>
        <w:t xml:space="preserve">Refresh frequency: A 4x daily refresh schedule (every 6 hours) meets the stated reporting requirements. If near-real-time data is needed in future, a Composite Model approach can be introduced for specific tables without restructuring the entire model.</w:t>
      </w:r>
    </w:p>
    <w:p>
      <w:pPr>
        <w:spacing w:before="0" w:after="120"/>
      </w:pPr>
      <w:r>
        <w:t xml:space="preserve"/>
      </w:r>
    </w:p>
    <w:p>
      <w:pPr>
        <w:pStyle w:val="Heading2"/>
        <w:spacing w:before="280" w:after="80"/>
      </w:pPr>
      <w:r>
        <w:rPr>
          <w:rFonts w:ascii="Arial" w:cs="Arial" w:eastAsia="Arial" w:hAnsi="Arial"/>
          <w:b/>
          <w:bCs/>
          <w:color w:val="0055A4"/>
          <w:sz w:val="24"/>
          <w:szCs w:val="24"/>
        </w:rPr>
        <w:t xml:space="preserve">2.3  Dataflow Gen1 as the Ingestion Layer</w:t>
      </w:r>
    </w:p>
    <w:p>
      <w:pPr>
        <w:spacing w:before="60" w:after="100"/>
      </w:pPr>
      <w:r>
        <w:rPr>
          <w:rFonts w:ascii="Arial" w:cs="Arial" w:eastAsia="Arial" w:hAnsi="Arial"/>
          <w:color w:val="374151"/>
          <w:sz w:val="22"/>
          <w:szCs w:val="22"/>
        </w:rPr>
        <w:t xml:space="preserve">Dataflow Gen1 (Power Query in the cloud) is used to merge and transform data from both SAP HANA and SharePoint Online before it reaches the Semantic Model. This decouples the data sources from the model layer, providing several advantages:</w:t>
      </w:r>
    </w:p>
    <w:p>
      <w:pPr>
        <w:pStyle w:val="ListParagraph"/>
        <w:numPr>
          <w:ilvl w:val="0"/>
          <w:numId w:val="2"/>
        </w:numPr>
        <w:spacing w:before="40" w:after="60"/>
      </w:pPr>
      <w:r>
        <w:rPr>
          <w:rFonts w:ascii="Arial" w:cs="Arial" w:eastAsia="Arial" w:hAnsi="Arial"/>
          <w:color w:val="374151"/>
          <w:sz w:val="22"/>
          <w:szCs w:val="22"/>
        </w:rPr>
        <w:t xml:space="preserve">Reusability: Multiple Semantic Models or reports can consume the same Dataflow entities without duplicating M query logic.</w:t>
      </w:r>
    </w:p>
    <w:p>
      <w:pPr>
        <w:pStyle w:val="ListParagraph"/>
        <w:numPr>
          <w:ilvl w:val="0"/>
          <w:numId w:val="2"/>
        </w:numPr>
        <w:spacing w:before="40" w:after="60"/>
      </w:pPr>
      <w:r>
        <w:rPr>
          <w:rFonts w:ascii="Arial" w:cs="Arial" w:eastAsia="Arial" w:hAnsi="Arial"/>
          <w:color w:val="374151"/>
          <w:sz w:val="22"/>
          <w:szCs w:val="22"/>
        </w:rPr>
        <w:t xml:space="preserve">Single source of truth: All SAP HANA and Excel transformations are defined in one place. If a source schema changes, only the Dataflow needs updating — not every individual report.</w:t>
      </w:r>
    </w:p>
    <w:p>
      <w:pPr>
        <w:pStyle w:val="ListParagraph"/>
        <w:numPr>
          <w:ilvl w:val="0"/>
          <w:numId w:val="2"/>
        </w:numPr>
        <w:spacing w:before="40" w:after="60"/>
      </w:pPr>
      <w:r>
        <w:rPr>
          <w:rFonts w:ascii="Arial" w:cs="Arial" w:eastAsia="Arial" w:hAnsi="Arial"/>
          <w:color w:val="374151"/>
          <w:sz w:val="22"/>
          <w:szCs w:val="22"/>
        </w:rPr>
        <w:t xml:space="preserve">Performance: Linked and Computed Entities allow downstream transforms to read from the Dataflow cache rather than re-querying SAP HANA on each refresh, reducing load on the source system.</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8CDD8" w:sz="1"/>
              <w:left w:val="single" w:color="C8CDD8" w:sz="1"/>
              <w:bottom w:val="single" w:color="C8CDD8" w:sz="1"/>
              <w:right w:val="single" w:color="C8CDD8" w:sz="1"/>
            </w:tcBorders>
            <w:shd w:fill="0055A4"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NOTE</w:t>
            </w:r>
          </w:p>
        </w:tc>
        <w:tc>
          <w:tcPr>
            <w:tcW w:type="dxa" w:w="9160"/>
            <w:tcBorders>
              <w:top w:val="single" w:color="C8CDD8" w:sz="1"/>
              <w:left w:val="single" w:color="C8CDD8" w:sz="1"/>
              <w:bottom w:val="single" w:color="C8CDD8" w:sz="1"/>
              <w:right w:val="single" w:color="C8CDD8" w:sz="1"/>
            </w:tcBorders>
            <w:shd w:fill="EEF4FB" w:val="clear"/>
            <w:tcMar>
              <w:top w:type="dxa" w:w="100"/>
              <w:left w:type="dxa" w:w="160"/>
              <w:bottom w:type="dxa" w:w="100"/>
              <w:right w:type="dxa" w:w="160"/>
            </w:tcMar>
          </w:tcPr>
          <w:p>
            <w:r>
              <w:rPr>
                <w:rFonts w:ascii="Arial" w:cs="Arial" w:eastAsia="Arial" w:hAnsi="Arial"/>
                <w:color w:val="374151"/>
                <w:sz w:val="20"/>
                <w:szCs w:val="20"/>
              </w:rPr>
              <w:t xml:space="preserve">The Dataflow refresh is scheduled 30 minutes before the Semantic Model refresh. This offset ensures the Dataflow has completed its SAP HANA and SharePoint queries before the model attempts to read from it, preventing stale data from being loaded into the published dataset.</w:t>
            </w:r>
          </w:p>
        </w:tc>
      </w:tr>
    </w:tbl>
    <w:p>
      <w:pPr>
        <w:spacing w:before="0" w:after="120"/>
      </w:pPr>
      <w:r>
        <w:t xml:space="preserve"/>
      </w:r>
    </w:p>
    <w:p>
      <w:pPr>
        <w:pStyle w:val="Heading2"/>
        <w:spacing w:before="280" w:after="80"/>
      </w:pPr>
      <w:r>
        <w:rPr>
          <w:rFonts w:ascii="Arial" w:cs="Arial" w:eastAsia="Arial" w:hAnsi="Arial"/>
          <w:b/>
          <w:bCs/>
          <w:color w:val="0055A4"/>
          <w:sz w:val="24"/>
          <w:szCs w:val="24"/>
        </w:rPr>
        <w:t xml:space="preserve">2.4  Power BI App as the Distribution Gate</w:t>
      </w:r>
    </w:p>
    <w:p>
      <w:pPr>
        <w:spacing w:before="60" w:after="100"/>
      </w:pPr>
      <w:r>
        <w:rPr>
          <w:rFonts w:ascii="Arial" w:cs="Arial" w:eastAsia="Arial" w:hAnsi="Arial"/>
          <w:color w:val="374151"/>
          <w:sz w:val="22"/>
          <w:szCs w:val="22"/>
        </w:rPr>
        <w:t xml:space="preserve">The Power BI App is the only surface that end users interact with. Workspace access is not granted to report consumers. This separation provides:</w:t>
      </w:r>
    </w:p>
    <w:p>
      <w:pPr>
        <w:pStyle w:val="ListParagraph"/>
        <w:numPr>
          <w:ilvl w:val="0"/>
          <w:numId w:val="2"/>
        </w:numPr>
        <w:spacing w:before="40" w:after="60"/>
      </w:pPr>
      <w:r>
        <w:rPr>
          <w:rFonts w:ascii="Arial" w:cs="Arial" w:eastAsia="Arial" w:hAnsi="Arial"/>
          <w:color w:val="374151"/>
          <w:sz w:val="22"/>
          <w:szCs w:val="22"/>
        </w:rPr>
        <w:t xml:space="preserve">Controlled promotion: Reports are published to the App only when they have passed review. Unpublished or in-development reports remain visible only to workspace members.</w:t>
      </w:r>
    </w:p>
    <w:p>
      <w:pPr>
        <w:pStyle w:val="ListParagraph"/>
        <w:numPr>
          <w:ilvl w:val="0"/>
          <w:numId w:val="2"/>
        </w:numPr>
        <w:spacing w:before="40" w:after="60"/>
      </w:pPr>
      <w:r>
        <w:rPr>
          <w:rFonts w:ascii="Arial" w:cs="Arial" w:eastAsia="Arial" w:hAnsi="Arial"/>
          <w:color w:val="374151"/>
          <w:sz w:val="22"/>
          <w:szCs w:val="22"/>
        </w:rPr>
        <w:t xml:space="preserve">Audience-based access: App audiences map directly to Azure AD security groups. Different employee groups can be shown different sections of the App without creating separate workspaces or reports.</w:t>
      </w:r>
    </w:p>
    <w:p>
      <w:pPr>
        <w:pStyle w:val="ListParagraph"/>
        <w:numPr>
          <w:ilvl w:val="0"/>
          <w:numId w:val="2"/>
        </w:numPr>
        <w:spacing w:before="40" w:after="60"/>
      </w:pPr>
      <w:r>
        <w:rPr>
          <w:rFonts w:ascii="Arial" w:cs="Arial" w:eastAsia="Arial" w:hAnsi="Arial"/>
          <w:color w:val="374151"/>
          <w:sz w:val="22"/>
          <w:szCs w:val="22"/>
        </w:rPr>
        <w:t xml:space="preserve">Consistent branding: Custom App branding, navigation labels, and ordering are maintained independently of the underlying report filenames in the workspace.</w:t>
      </w:r>
    </w:p>
    <w:p>
      <w:pPr>
        <w:spacing w:before="0" w:after="120"/>
      </w:pPr>
      <w:r>
        <w:t xml:space="preserve"/>
      </w:r>
    </w:p>
    <w:p>
      <w:pPr>
        <w:pStyle w:val="Heading2"/>
        <w:spacing w:before="280" w:after="80"/>
      </w:pPr>
      <w:r>
        <w:rPr>
          <w:rFonts w:ascii="Arial" w:cs="Arial" w:eastAsia="Arial" w:hAnsi="Arial"/>
          <w:b/>
          <w:bCs/>
          <w:color w:val="0055A4"/>
          <w:sz w:val="24"/>
          <w:szCs w:val="24"/>
        </w:rPr>
        <w:t xml:space="preserve">2.5  .pbip + Azure DevOps Git for Version Control</w:t>
      </w:r>
    </w:p>
    <w:p>
      <w:pPr>
        <w:spacing w:before="60" w:after="100"/>
      </w:pPr>
      <w:r>
        <w:rPr>
          <w:rFonts w:ascii="Arial" w:cs="Arial" w:eastAsia="Arial" w:hAnsi="Arial"/>
          <w:color w:val="374151"/>
          <w:sz w:val="22"/>
          <w:szCs w:val="22"/>
        </w:rPr>
        <w:t xml:space="preserve">Power BI Project (.pbip) format combined with Azure DevOps Git is the recommended version control approach for this Pro-tier architecture. The key reasons for this choice over alternatives: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8CDD8" w:sz="1"/>
              <w:left w:val="single" w:color="C8CDD8" w:sz="1"/>
              <w:bottom w:val="single" w:color="C8CDD8" w:sz="1"/>
              <w:right w:val="single" w:color="C8CDD8" w:sz="1"/>
            </w:tcBorders>
            <w:shd w:fill="003A73"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280"/>
            <w:tcBorders>
              <w:top w:val="single" w:color="C8CDD8" w:sz="1"/>
              <w:left w:val="single" w:color="C8CDD8" w:sz="1"/>
              <w:bottom w:val="single" w:color="C8CDD8" w:sz="1"/>
              <w:right w:val="single" w:color="C8CDD8" w:sz="1"/>
            </w:tcBorders>
            <w:shd w:fill="003A73"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3280"/>
            <w:tcBorders>
              <w:top w:val="single" w:color="C8CDD8" w:sz="1"/>
              <w:left w:val="single" w:color="C8CDD8" w:sz="1"/>
              <w:bottom w:val="single" w:color="C8CDD8" w:sz="1"/>
              <w:right w:val="single" w:color="C8CDD8" w:sz="1"/>
            </w:tcBorders>
            <w:shd w:fill="003A73"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r>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val="false"/>
                <w:bCs w:val="false"/>
                <w:color w:val="374151"/>
                <w:sz w:val="20"/>
                <w:szCs w:val="20"/>
              </w:rPr>
              <w:t xml:space="preserve">.pbix + Git (binary)</w:t>
            </w:r>
          </w:p>
        </w:tc>
        <w:tc>
          <w:tcPr>
            <w:tcW w:type="dxa" w:w="328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rollback history</w:t>
            </w:r>
          </w:p>
        </w:tc>
        <w:tc>
          <w:tcPr>
            <w:tcW w:type="dxa" w:w="328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readable diff — binary file</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.pbip + Azure DevOps (recommended)</w:t>
            </w:r>
          </w:p>
        </w:tc>
        <w:tc>
          <w:tcPr>
            <w:tcW w:type="dxa" w:w="328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Full diff on DAX, visuals, schema. No Premium required.</w:t>
            </w:r>
          </w:p>
        </w:tc>
        <w:tc>
          <w:tcPr>
            <w:tcW w:type="dxa" w:w="328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Manual push/pull — no auto-sync</w:t>
            </w:r>
          </w:p>
        </w:tc>
      </w:tr>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val="false"/>
                <w:bCs w:val="false"/>
                <w:color w:val="374151"/>
                <w:sz w:val="20"/>
                <w:szCs w:val="20"/>
              </w:rPr>
              <w:t xml:space="preserve">OneDrive / SharePoint versioning</w:t>
            </w:r>
          </w:p>
        </w:tc>
        <w:tc>
          <w:tcPr>
            <w:tcW w:type="dxa" w:w="328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Zero setup, included in M365</w:t>
            </w:r>
          </w:p>
        </w:tc>
        <w:tc>
          <w:tcPr>
            <w:tcW w:type="dxa" w:w="328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branching, no code review</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Premium Deployment Pipelines</w:t>
            </w:r>
          </w:p>
        </w:tc>
        <w:tc>
          <w:tcPr>
            <w:tcW w:type="dxa" w:w="328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Automated Dev → Test → Prod</w:t>
            </w:r>
          </w:p>
        </w:tc>
        <w:tc>
          <w:tcPr>
            <w:tcW w:type="dxa" w:w="328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Requires PPU or Premium capacity (~$20+/user)</w:t>
            </w:r>
          </w:p>
        </w:tc>
      </w:tr>
    </w:tbl>
    <w:p>
      <w:pPr>
        <w:spacing w:before="0" w:after="16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3. Pro Tier Constraints &amp; Assumptions</w:t>
      </w:r>
    </w:p>
    <w:p>
      <w:pPr>
        <w:spacing w:before="60" w:after="100"/>
      </w:pPr>
      <w:r>
        <w:rPr>
          <w:rFonts w:ascii="Arial" w:cs="Arial" w:eastAsia="Arial" w:hAnsi="Arial"/>
          <w:color w:val="374151"/>
          <w:sz w:val="22"/>
          <w:szCs w:val="22"/>
        </w:rPr>
        <w:t xml:space="preserve">The following Pro-tier limits are in effect for this architecture. These are hard platform limits that cannot be exceeded without upgrading to Power BI Premium Per User (PPU at ~$20/user/month) or a Premium capacity SKU.</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Dataset size limit</w:t>
            </w:r>
          </w:p>
        </w:tc>
        <w:tc>
          <w:tcPr>
            <w:tcW w:type="dxa" w:w="65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GB per Semantic Model. Incremental refresh and data reduction strategies are recommended once model size approaches 800 MB.</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Workspace storage</w:t>
            </w:r>
          </w:p>
        </w:tc>
        <w:tc>
          <w:tcPr>
            <w:tcW w:type="dxa" w:w="65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10 GB total per workspace across all datasets, dataflows, and reports.</w:t>
            </w:r>
          </w:p>
        </w:tc>
      </w:tr>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Scheduled refresh limit</w:t>
            </w:r>
          </w:p>
        </w:tc>
        <w:tc>
          <w:tcPr>
            <w:tcW w:type="dxa" w:w="65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8 refreshes per day. Current schedule uses 4x per day (every 6 hours), leaving headroom.</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Sharing requirement</w:t>
            </w:r>
          </w:p>
        </w:tc>
        <w:tc>
          <w:tcPr>
            <w:tcW w:type="dxa" w:w="65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Both the report publisher and all consumers must hold a Power BI Pro licence. There is no guest or free-tier access to Pro workspace content.</w:t>
            </w:r>
          </w:p>
        </w:tc>
      </w:tr>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XMLA endpoint</w:t>
            </w:r>
          </w:p>
        </w:tc>
        <w:tc>
          <w:tcPr>
            <w:tcW w:type="dxa" w:w="65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Read-only on Pro tier. Write operations (external model tools, SSMS deployments) require PPU or Premium.</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Deployment Pipelines</w:t>
            </w:r>
          </w:p>
        </w:tc>
        <w:tc>
          <w:tcPr>
            <w:tcW w:type="dxa" w:w="65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Manual promotion only on Pro. Automated Dev → Test → Prod pipelines require Premium Per User or Premium capacity.</w:t>
            </w:r>
          </w:p>
        </w:tc>
      </w:tr>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API rate limit</w:t>
            </w:r>
          </w:p>
        </w:tc>
        <w:tc>
          <w:tcPr>
            <w:tcW w:type="dxa" w:w="65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Power BI REST API is throttled at 1,000 requests per hour per user.</w:t>
            </w:r>
          </w:p>
        </w:tc>
      </w:tr>
    </w:tbl>
    <w:p>
      <w:pPr>
        <w:spacing w:before="0" w:after="16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4. Scale-Up Trigger Points</w:t>
      </w:r>
    </w:p>
    <w:p>
      <w:pPr>
        <w:spacing w:before="60" w:after="100"/>
      </w:pPr>
      <w:r>
        <w:rPr>
          <w:rFonts w:ascii="Arial" w:cs="Arial" w:eastAsia="Arial" w:hAnsi="Arial"/>
          <w:color w:val="374151"/>
          <w:sz w:val="22"/>
          <w:szCs w:val="22"/>
        </w:rPr>
        <w:t xml:space="preserve">This architecture is designed for a small team working on a defined report catalogue. The following conditions should trigger a formal architecture review and consideration of workspace expansion or licence upgrade:</w:t>
      </w:r>
    </w:p>
    <w:p>
      <w:pPr>
        <w:spacing w:before="0" w:after="80"/>
      </w:pPr>
      <w:r>
        <w:t xml:space="preserve"/>
      </w:r>
    </w:p>
    <w:p>
      <w:pPr>
        <w:pStyle w:val="Heading2"/>
        <w:spacing w:before="280" w:after="80"/>
      </w:pPr>
      <w:r>
        <w:rPr>
          <w:rFonts w:ascii="Arial" w:cs="Arial" w:eastAsia="Arial" w:hAnsi="Arial"/>
          <w:b/>
          <w:bCs/>
          <w:color w:val="0055A4"/>
          <w:sz w:val="24"/>
          <w:szCs w:val="24"/>
        </w:rPr>
        <w:t xml:space="preserve">4.1  Add a Second Workspace (Dev + Prod)</w:t>
      </w:r>
    </w:p>
    <w:p>
      <w:pPr>
        <w:spacing w:before="60" w:after="100"/>
      </w:pPr>
      <w:r>
        <w:rPr>
          <w:rFonts w:ascii="Arial" w:cs="Arial" w:eastAsia="Arial" w:hAnsi="Arial"/>
          <w:color w:val="374151"/>
          <w:sz w:val="22"/>
          <w:szCs w:val="22"/>
        </w:rPr>
        <w:t xml:space="preserve">Introduce a separate Dev and Prod workspace when any of the following occur:</w:t>
      </w:r>
    </w:p>
    <w:p>
      <w:pPr>
        <w:pStyle w:val="ListParagraph"/>
        <w:numPr>
          <w:ilvl w:val="0"/>
          <w:numId w:val="2"/>
        </w:numPr>
        <w:spacing w:before="40" w:after="60"/>
      </w:pPr>
      <w:r>
        <w:rPr>
          <w:rFonts w:ascii="Arial" w:cs="Arial" w:eastAsia="Arial" w:hAnsi="Arial"/>
          <w:color w:val="374151"/>
          <w:sz w:val="22"/>
          <w:szCs w:val="22"/>
        </w:rPr>
        <w:t xml:space="preserve">The development team grows beyond 2–3 active report authors working concurrently.</w:t>
      </w:r>
    </w:p>
    <w:p>
      <w:pPr>
        <w:pStyle w:val="ListParagraph"/>
        <w:numPr>
          <w:ilvl w:val="0"/>
          <w:numId w:val="2"/>
        </w:numPr>
        <w:spacing w:before="40" w:after="60"/>
      </w:pPr>
      <w:r>
        <w:rPr>
          <w:rFonts w:ascii="Arial" w:cs="Arial" w:eastAsia="Arial" w:hAnsi="Arial"/>
          <w:color w:val="374151"/>
          <w:sz w:val="22"/>
          <w:szCs w:val="22"/>
        </w:rPr>
        <w:t xml:space="preserve">Simultaneous publishing by multiple developers creates overwrite risk in the shared workspace.</w:t>
      </w:r>
    </w:p>
    <w:p>
      <w:pPr>
        <w:pStyle w:val="ListParagraph"/>
        <w:numPr>
          <w:ilvl w:val="0"/>
          <w:numId w:val="2"/>
        </w:numPr>
        <w:spacing w:before="40" w:after="60"/>
      </w:pPr>
      <w:r>
        <w:rPr>
          <w:rFonts w:ascii="Arial" w:cs="Arial" w:eastAsia="Arial" w:hAnsi="Arial"/>
          <w:color w:val="374151"/>
          <w:sz w:val="22"/>
          <w:szCs w:val="22"/>
        </w:rPr>
        <w:t xml:space="preserve">A compliance or audit requirement mandates formal environment separation.</w:t>
      </w:r>
    </w:p>
    <w:p>
      <w:pPr>
        <w:pStyle w:val="ListParagraph"/>
        <w:numPr>
          <w:ilvl w:val="0"/>
          <w:numId w:val="2"/>
        </w:numPr>
        <w:spacing w:before="40" w:after="60"/>
      </w:pPr>
      <w:r>
        <w:rPr>
          <w:rFonts w:ascii="Arial" w:cs="Arial" w:eastAsia="Arial" w:hAnsi="Arial"/>
          <w:color w:val="374151"/>
          <w:sz w:val="22"/>
          <w:szCs w:val="22"/>
        </w:rPr>
        <w:t xml:space="preserve">A change management process requires sign-off before reports are made available to end users.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8CDD8" w:sz="1"/>
              <w:left w:val="single" w:color="C8CDD8" w:sz="1"/>
              <w:bottom w:val="single" w:color="C8CDD8" w:sz="1"/>
              <w:right w:val="single" w:color="C8CDD8" w:sz="1"/>
            </w:tcBorders>
            <w:shd w:fill="1A6B40"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COST NOTE</w:t>
            </w:r>
          </w:p>
        </w:tc>
        <w:tc>
          <w:tcPr>
            <w:tcW w:type="dxa" w:w="9160"/>
            <w:tcBorders>
              <w:top w:val="single" w:color="C8CDD8" w:sz="1"/>
              <w:left w:val="single" w:color="C8CDD8" w:sz="1"/>
              <w:bottom w:val="single" w:color="C8CDD8" w:sz="1"/>
              <w:right w:val="single" w:color="C8CDD8" w:sz="1"/>
            </w:tcBorders>
            <w:shd w:fill="EBF6EF" w:val="clear"/>
            <w:tcMar>
              <w:top w:type="dxa" w:w="100"/>
              <w:left w:type="dxa" w:w="160"/>
              <w:bottom w:type="dxa" w:w="100"/>
              <w:right w:type="dxa" w:w="160"/>
            </w:tcMar>
          </w:tcPr>
          <w:p>
            <w:r>
              <w:rPr>
                <w:rFonts w:ascii="Arial" w:cs="Arial" w:eastAsia="Arial" w:hAnsi="Arial"/>
                <w:color w:val="374151"/>
                <w:sz w:val="20"/>
                <w:szCs w:val="20"/>
              </w:rPr>
              <w:t xml:space="preserve">Additional workspaces carry no extra cost. The only cost change is if you add net new users who need Pro licences. Workspaces themselves are free and unlimited.</w:t>
            </w:r>
          </w:p>
        </w:tc>
      </w:tr>
    </w:tbl>
    <w:p>
      <w:pPr>
        <w:spacing w:before="0" w:after="120"/>
      </w:pPr>
      <w:r>
        <w:t xml:space="preserve"/>
      </w:r>
    </w:p>
    <w:p>
      <w:pPr>
        <w:pStyle w:val="Heading2"/>
        <w:spacing w:before="280" w:after="80"/>
      </w:pPr>
      <w:r>
        <w:rPr>
          <w:rFonts w:ascii="Arial" w:cs="Arial" w:eastAsia="Arial" w:hAnsi="Arial"/>
          <w:b/>
          <w:bCs/>
          <w:color w:val="0055A4"/>
          <w:sz w:val="24"/>
          <w:szCs w:val="24"/>
        </w:rPr>
        <w:t xml:space="preserve">4.2  Upgrade to Premium Per User (PPU)</w:t>
      </w:r>
    </w:p>
    <w:p>
      <w:pPr>
        <w:spacing w:before="60" w:after="100"/>
      </w:pPr>
      <w:r>
        <w:rPr>
          <w:rFonts w:ascii="Arial" w:cs="Arial" w:eastAsia="Arial" w:hAnsi="Arial"/>
          <w:color w:val="374151"/>
          <w:sz w:val="22"/>
          <w:szCs w:val="22"/>
        </w:rPr>
        <w:t xml:space="preserve">Consider upgrading to PPU (~$20/user/month) when any of the following apply:</w:t>
      </w:r>
    </w:p>
    <w:p>
      <w:pPr>
        <w:pStyle w:val="ListParagraph"/>
        <w:numPr>
          <w:ilvl w:val="0"/>
          <w:numId w:val="2"/>
        </w:numPr>
        <w:spacing w:before="40" w:after="60"/>
      </w:pPr>
      <w:r>
        <w:rPr>
          <w:rFonts w:ascii="Arial" w:cs="Arial" w:eastAsia="Arial" w:hAnsi="Arial"/>
          <w:color w:val="374151"/>
          <w:sz w:val="22"/>
          <w:szCs w:val="22"/>
        </w:rPr>
        <w:t xml:space="preserve">Automated Deployment Pipelines are required to replace the current manual Dev → Prod publish process.</w:t>
      </w:r>
    </w:p>
    <w:p>
      <w:pPr>
        <w:pStyle w:val="ListParagraph"/>
        <w:numPr>
          <w:ilvl w:val="0"/>
          <w:numId w:val="2"/>
        </w:numPr>
        <w:spacing w:before="40" w:after="60"/>
      </w:pPr>
      <w:r>
        <w:rPr>
          <w:rFonts w:ascii="Arial" w:cs="Arial" w:eastAsia="Arial" w:hAnsi="Arial"/>
          <w:color w:val="374151"/>
          <w:sz w:val="22"/>
          <w:szCs w:val="22"/>
        </w:rPr>
        <w:t xml:space="preserve">Dataset size approaches or exceeds 1 GB and Incremental Refresh alone cannot keep it below the limit.</w:t>
      </w:r>
    </w:p>
    <w:p>
      <w:pPr>
        <w:pStyle w:val="ListParagraph"/>
        <w:numPr>
          <w:ilvl w:val="0"/>
          <w:numId w:val="2"/>
        </w:numPr>
        <w:spacing w:before="40" w:after="60"/>
      </w:pPr>
      <w:r>
        <w:rPr>
          <w:rFonts w:ascii="Arial" w:cs="Arial" w:eastAsia="Arial" w:hAnsi="Arial"/>
          <w:color w:val="374151"/>
          <w:sz w:val="22"/>
          <w:szCs w:val="22"/>
        </w:rPr>
        <w:t xml:space="preserve">XMLA write access is needed for external tooling (Tabular Editor, SSMS, ALM Toolkit).</w:t>
      </w:r>
    </w:p>
    <w:p>
      <w:pPr>
        <w:pStyle w:val="ListParagraph"/>
        <w:numPr>
          <w:ilvl w:val="0"/>
          <w:numId w:val="2"/>
        </w:numPr>
        <w:spacing w:before="40" w:after="60"/>
      </w:pPr>
      <w:r>
        <w:rPr>
          <w:rFonts w:ascii="Arial" w:cs="Arial" w:eastAsia="Arial" w:hAnsi="Arial"/>
          <w:color w:val="374151"/>
          <w:sz w:val="22"/>
          <w:szCs w:val="22"/>
        </w:rPr>
        <w:t xml:space="preserve">Paginated Reports with large data volumes begin timing out under Pro refresh limits.</w:t>
      </w:r>
    </w:p>
    <w:p>
      <w:pPr>
        <w:spacing w:before="0" w:after="120"/>
      </w:pPr>
      <w:r>
        <w:t xml:space="preserve"/>
      </w:r>
    </w:p>
    <w:p>
      <w:pPr>
        <w:pStyle w:val="Heading2"/>
        <w:spacing w:before="280" w:after="80"/>
      </w:pPr>
      <w:r>
        <w:rPr>
          <w:rFonts w:ascii="Arial" w:cs="Arial" w:eastAsia="Arial" w:hAnsi="Arial"/>
          <w:b/>
          <w:bCs/>
          <w:color w:val="0055A4"/>
          <w:sz w:val="24"/>
          <w:szCs w:val="24"/>
        </w:rPr>
        <w:t xml:space="preserve">4.3  Upgrade to Premium Capacity (P-SKU)</w:t>
      </w:r>
    </w:p>
    <w:p>
      <w:pPr>
        <w:spacing w:before="60" w:after="100"/>
      </w:pPr>
      <w:r>
        <w:rPr>
          <w:rFonts w:ascii="Arial" w:cs="Arial" w:eastAsia="Arial" w:hAnsi="Arial"/>
          <w:color w:val="374151"/>
          <w:sz w:val="22"/>
          <w:szCs w:val="22"/>
        </w:rPr>
        <w:t xml:space="preserve">A Premium capacity SKU is warranted if:</w:t>
      </w:r>
    </w:p>
    <w:p>
      <w:pPr>
        <w:pStyle w:val="ListParagraph"/>
        <w:numPr>
          <w:ilvl w:val="0"/>
          <w:numId w:val="2"/>
        </w:numPr>
        <w:spacing w:before="40" w:after="60"/>
      </w:pPr>
      <w:r>
        <w:rPr>
          <w:rFonts w:ascii="Arial" w:cs="Arial" w:eastAsia="Arial" w:hAnsi="Arial"/>
          <w:color w:val="374151"/>
          <w:sz w:val="22"/>
          <w:szCs w:val="22"/>
        </w:rPr>
        <w:t xml:space="preserve">Report consumers do not all hold Pro licences and the organisation cannot justify per-user licensing at scale.</w:t>
      </w:r>
    </w:p>
    <w:p>
      <w:pPr>
        <w:pStyle w:val="ListParagraph"/>
        <w:numPr>
          <w:ilvl w:val="0"/>
          <w:numId w:val="2"/>
        </w:numPr>
        <w:spacing w:before="40" w:after="60"/>
      </w:pPr>
      <w:r>
        <w:rPr>
          <w:rFonts w:ascii="Arial" w:cs="Arial" w:eastAsia="Arial" w:hAnsi="Arial"/>
          <w:color w:val="374151"/>
          <w:sz w:val="22"/>
          <w:szCs w:val="22"/>
        </w:rPr>
        <w:t xml:space="preserve">AI and advanced analytics features (AutoML, Cognitive Services integration) are required.</w:t>
      </w:r>
    </w:p>
    <w:p>
      <w:pPr>
        <w:pStyle w:val="ListParagraph"/>
        <w:numPr>
          <w:ilvl w:val="0"/>
          <w:numId w:val="2"/>
        </w:numPr>
        <w:spacing w:before="40" w:after="60"/>
      </w:pPr>
      <w:r>
        <w:rPr>
          <w:rFonts w:ascii="Arial" w:cs="Arial" w:eastAsia="Arial" w:hAnsi="Arial"/>
          <w:color w:val="374151"/>
          <w:sz w:val="22"/>
          <w:szCs w:val="22"/>
        </w:rPr>
        <w:t xml:space="preserve">Dataflow Gen2 with Direct Lake mode is needed for very large datasets beyond PPU model limits.</w:t>
      </w:r>
    </w:p>
    <w:p>
      <w:pPr>
        <w:spacing w:before="0" w:after="16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5. Security Model</w:t>
      </w:r>
    </w:p>
    <w:p>
      <w:pPr>
        <w:spacing w:before="60" w:after="100"/>
      </w:pPr>
      <w:r>
        <w:rPr>
          <w:rFonts w:ascii="Arial" w:cs="Arial" w:eastAsia="Arial" w:hAnsi="Arial"/>
          <w:color w:val="374151"/>
          <w:sz w:val="22"/>
          <w:szCs w:val="22"/>
        </w:rPr>
        <w:t xml:space="preserve">All access control in this architecture is managed through Azure Active Directory (Entra ID) security groups. Individual user assignments are not used — group membership is the sole access mechanism, ensuring access is managed centrally in AD and not within Power BI directly.</w:t>
      </w:r>
    </w:p>
    <w:p>
      <w:pPr>
        <w:spacing w:before="0" w:after="80"/>
      </w:pPr>
      <w:r>
        <w:t xml:space="preserve"/>
      </w:r>
    </w:p>
    <w:p>
      <w:pPr>
        <w:pStyle w:val="Heading2"/>
        <w:spacing w:before="280" w:after="80"/>
      </w:pPr>
      <w:r>
        <w:rPr>
          <w:rFonts w:ascii="Arial" w:cs="Arial" w:eastAsia="Arial" w:hAnsi="Arial"/>
          <w:b/>
          <w:bCs/>
          <w:color w:val="0055A4"/>
          <w:sz w:val="24"/>
          <w:szCs w:val="24"/>
        </w:rPr>
        <w:t xml:space="preserve">5.1  Workspace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Admin</w:t>
            </w:r>
          </w:p>
        </w:tc>
        <w:tc>
          <w:tcPr>
            <w:tcW w:type="dxa" w:w="77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control. Manages workspace settings, publishes, and assigns roles. Restricted to the Power BI team lead or administrator.</w:t>
            </w:r>
          </w:p>
        </w:tc>
      </w:tr>
      <w:tr>
        <w:tc>
          <w:tcPr>
            <w:tcW w:type="dxa" w:w="16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Member</w:t>
            </w:r>
          </w:p>
        </w:tc>
        <w:tc>
          <w:tcPr>
            <w:tcW w:type="dxa" w:w="77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Can publish, edit, and delete content. Assigned to active report developers.</w:t>
            </w:r>
          </w:p>
        </w:tc>
      </w:tr>
      <w:tr>
        <w:tc>
          <w:tcPr>
            <w:tcW w:type="dxa" w:w="16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Contributor</w:t>
            </w:r>
          </w:p>
        </w:tc>
        <w:tc>
          <w:tcPr>
            <w:tcW w:type="dxa" w:w="77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publish content but cannot delete items created by others. Suitable for junior developers or data owners who maintain specific reports.</w:t>
            </w:r>
          </w:p>
        </w:tc>
      </w:tr>
      <w:tr>
        <w:tc>
          <w:tcPr>
            <w:tcW w:type="dxa" w:w="16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Viewer</w:t>
            </w:r>
          </w:p>
        </w:tc>
        <w:tc>
          <w:tcPr>
            <w:tcW w:type="dxa" w:w="77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Read-only access to workspace content. Not used for end users — end users access the App instead.</w:t>
            </w:r>
          </w:p>
        </w:tc>
      </w:tr>
    </w:tbl>
    <w:p>
      <w:pPr>
        <w:spacing w:before="0" w:after="120"/>
      </w:pPr>
      <w:r>
        <w:t xml:space="preserve"/>
      </w:r>
    </w:p>
    <w:p>
      <w:pPr>
        <w:pStyle w:val="Heading2"/>
        <w:spacing w:before="280" w:after="80"/>
      </w:pPr>
      <w:r>
        <w:rPr>
          <w:rFonts w:ascii="Arial" w:cs="Arial" w:eastAsia="Arial" w:hAnsi="Arial"/>
          <w:b/>
          <w:bCs/>
          <w:color w:val="0055A4"/>
          <w:sz w:val="24"/>
          <w:szCs w:val="24"/>
        </w:rPr>
        <w:t xml:space="preserve">5.2  Row-Level Security (RLS)</w:t>
      </w:r>
    </w:p>
    <w:p>
      <w:pPr>
        <w:spacing w:before="60" w:after="100"/>
      </w:pPr>
      <w:r>
        <w:rPr>
          <w:rFonts w:ascii="Arial" w:cs="Arial" w:eastAsia="Arial" w:hAnsi="Arial"/>
          <w:color w:val="374151"/>
          <w:sz w:val="22"/>
          <w:szCs w:val="22"/>
        </w:rPr>
        <w:t xml:space="preserve">Dynamic Row-Level Security is implemented on the Semantic Model using the USERPRINCIPALNAME() DAX function. This ensures that each employee sees only the data rows they are authorised to view, based on their Active Directory identity, without requiring separate reports or datasets per user group.</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C8CDD8" w:sz="1"/>
              <w:left w:val="single" w:color="C8CDD8" w:sz="1"/>
              <w:bottom w:val="single" w:color="C8CDD8" w:sz="1"/>
              <w:right w:val="single" w:color="C8CDD8" w:sz="1"/>
            </w:tcBorders>
            <w:shd w:fill="9C2C2C" w:val="clear"/>
            <w:tcMar>
              <w:top w:type="dxa" w:w="100"/>
              <w:left w:type="dxa" w:w="120"/>
              <w:bottom w:type="dxa" w:w="100"/>
              <w:right w:type="dxa" w:w="80"/>
            </w:tcMar>
            <w:vAlign w:val="center"/>
          </w:tcPr>
          <w:p>
            <w:pPr>
              <w:jc w:val="center"/>
            </w:pPr>
            <w:r>
              <w:rPr>
                <w:rFonts w:ascii="Arial" w:cs="Arial" w:eastAsia="Arial" w:hAnsi="Arial"/>
                <w:b/>
                <w:bCs/>
                <w:color w:val="FFFFFF"/>
                <w:sz w:val="18"/>
                <w:szCs w:val="18"/>
              </w:rPr>
              <w:t xml:space="preserve">IMPORTANT</w:t>
            </w:r>
          </w:p>
        </w:tc>
        <w:tc>
          <w:tcPr>
            <w:tcW w:type="dxa" w:w="9160"/>
            <w:tcBorders>
              <w:top w:val="single" w:color="C8CDD8" w:sz="1"/>
              <w:left w:val="single" w:color="C8CDD8" w:sz="1"/>
              <w:bottom w:val="single" w:color="C8CDD8" w:sz="1"/>
              <w:right w:val="single" w:color="C8CDD8" w:sz="1"/>
            </w:tcBorders>
            <w:shd w:fill="FDEAEA" w:val="clear"/>
            <w:tcMar>
              <w:top w:type="dxa" w:w="100"/>
              <w:left w:type="dxa" w:w="160"/>
              <w:bottom w:type="dxa" w:w="100"/>
              <w:right w:type="dxa" w:w="160"/>
            </w:tcMar>
          </w:tcPr>
          <w:p>
            <w:r>
              <w:rPr>
                <w:rFonts w:ascii="Arial" w:cs="Arial" w:eastAsia="Arial" w:hAnsi="Arial"/>
                <w:color w:val="374151"/>
                <w:sz w:val="20"/>
                <w:szCs w:val="20"/>
              </w:rPr>
              <w:t xml:space="preserve">RLS is enforced at the dataset level, not the report level. Any report built on a certified dataset inherits its RLS rules automatically. This must be tested thoroughly with representative user accounts before the App is published.</w:t>
            </w:r>
          </w:p>
        </w:tc>
      </w:tr>
    </w:tbl>
    <w:p>
      <w:pPr>
        <w:spacing w:before="0" w:after="120"/>
      </w:pPr>
      <w:r>
        <w:t xml:space="preserve"/>
      </w:r>
    </w:p>
    <w:p>
      <w:pPr>
        <w:pStyle w:val="Heading2"/>
        <w:spacing w:before="280" w:after="80"/>
      </w:pPr>
      <w:r>
        <w:rPr>
          <w:rFonts w:ascii="Arial" w:cs="Arial" w:eastAsia="Arial" w:hAnsi="Arial"/>
          <w:b/>
          <w:bCs/>
          <w:color w:val="0055A4"/>
          <w:sz w:val="24"/>
          <w:szCs w:val="24"/>
        </w:rPr>
        <w:t xml:space="preserve">5.3  App Audience Access</w:t>
      </w:r>
    </w:p>
    <w:p>
      <w:pPr>
        <w:spacing w:before="60" w:after="100"/>
      </w:pPr>
      <w:r>
        <w:rPr>
          <w:rFonts w:ascii="Arial" w:cs="Arial" w:eastAsia="Arial" w:hAnsi="Arial"/>
          <w:color w:val="374151"/>
          <w:sz w:val="22"/>
          <w:szCs w:val="22"/>
        </w:rPr>
        <w:t xml:space="preserve">The Power BI App uses audience-based access control. Each audience is mapped to one or more Azure AD security groups. This allows different employee populations to see different sections of the App — for example, Finance staff seeing Finance reports and HR staff seeing HR reports — from a single App deployment.</w:t>
      </w:r>
    </w:p>
    <w:p>
      <w:pPr>
        <w:spacing w:before="0" w:after="16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6. Version Control Workflow</w:t>
      </w:r>
    </w:p>
    <w:p>
      <w:pPr>
        <w:spacing w:before="60" w:after="100"/>
      </w:pPr>
      <w:r>
        <w:rPr>
          <w:rFonts w:ascii="Arial" w:cs="Arial" w:eastAsia="Arial" w:hAnsi="Arial"/>
          <w:color w:val="374151"/>
          <w:sz w:val="22"/>
          <w:szCs w:val="22"/>
        </w:rPr>
        <w:t xml:space="preserve">The recommended version control workflow uses Power BI Project (.pbip) format saved locally by developers and committed to an Azure DevOps Git repository. This approach provides full version history, readable diffs on DAX measures and report layouts, and a structured review process — without requiring a Premium licence.</w:t>
      </w:r>
    </w:p>
    <w:p>
      <w:pPr>
        <w:spacing w:before="0" w:after="80"/>
      </w:pPr>
      <w:r>
        <w:t xml:space="preserve"/>
      </w:r>
    </w:p>
    <w:p>
      <w:pPr>
        <w:pStyle w:val="Heading2"/>
        <w:spacing w:before="280" w:after="80"/>
      </w:pPr>
      <w:r>
        <w:rPr>
          <w:rFonts w:ascii="Arial" w:cs="Arial" w:eastAsia="Arial" w:hAnsi="Arial"/>
          <w:b/>
          <w:bCs/>
          <w:color w:val="0055A4"/>
          <w:sz w:val="24"/>
          <w:szCs w:val="24"/>
        </w:rPr>
        <w:t xml:space="preserve">6.1  Developer Workflow</w:t>
      </w:r>
    </w:p>
    <w:p>
      <w:pPr>
        <w:pStyle w:val="ListParagraph"/>
        <w:numPr>
          <w:ilvl w:val="0"/>
          <w:numId w:val="3"/>
        </w:numPr>
        <w:spacing w:before="60" w:after="60"/>
      </w:pPr>
      <w:r>
        <w:rPr>
          <w:rFonts w:ascii="Arial" w:cs="Arial" w:eastAsia="Arial" w:hAnsi="Arial"/>
          <w:color w:val="374151"/>
          <w:sz w:val="22"/>
          <w:szCs w:val="22"/>
        </w:rPr>
        <w:t xml:space="preserve">Developer opens Power BI Desktop and enables .pbip format via </w:t>
      </w:r>
      <w:r>
        <w:rPr>
          <w:rFonts w:ascii="Arial" w:cs="Arial" w:eastAsia="Arial" w:hAnsi="Arial"/>
          <w:b/>
          <w:bCs/>
          <w:color w:val="374151"/>
          <w:sz w:val="22"/>
          <w:szCs w:val="22"/>
        </w:rPr>
        <w:t xml:space="preserve">File → Options → Preview Features → Power BI Project.</w:t>
      </w:r>
    </w:p>
    <w:p>
      <w:pPr>
        <w:pStyle w:val="ListParagraph"/>
        <w:numPr>
          <w:ilvl w:val="0"/>
          <w:numId w:val="3"/>
        </w:numPr>
        <w:spacing w:before="60" w:after="60"/>
      </w:pPr>
      <w:r>
        <w:rPr>
          <w:rFonts w:ascii="Arial" w:cs="Arial" w:eastAsia="Arial" w:hAnsi="Arial"/>
          <w:color w:val="374151"/>
          <w:sz w:val="22"/>
          <w:szCs w:val="22"/>
        </w:rPr>
        <w:t xml:space="preserve">Report changes are made in Desktop and saved as a .pbip file, which splits the report into JSON text files (model.bim, definition.json).</w:t>
      </w:r>
    </w:p>
    <w:p>
      <w:pPr>
        <w:pStyle w:val="ListParagraph"/>
        <w:numPr>
          <w:ilvl w:val="0"/>
          <w:numId w:val="3"/>
        </w:numPr>
        <w:spacing w:before="60" w:after="60"/>
      </w:pPr>
      <w:r>
        <w:rPr>
          <w:rFonts w:ascii="Arial" w:cs="Arial" w:eastAsia="Arial" w:hAnsi="Arial"/>
          <w:color w:val="374151"/>
          <w:sz w:val="22"/>
          <w:szCs w:val="22"/>
        </w:rPr>
        <w:t xml:space="preserve">Changes are committed to the </w:t>
      </w:r>
      <w:r>
        <w:rPr>
          <w:rFonts w:ascii="Arial" w:cs="Arial" w:eastAsia="Arial" w:hAnsi="Arial"/>
          <w:b/>
          <w:bCs/>
          <w:color w:val="374151"/>
          <w:sz w:val="22"/>
          <w:szCs w:val="22"/>
        </w:rPr>
        <w:t xml:space="preserve">dev</w:t>
      </w:r>
      <w:r>
        <w:rPr>
          <w:rFonts w:ascii="Arial" w:cs="Arial" w:eastAsia="Arial" w:hAnsi="Arial"/>
          <w:color w:val="374151"/>
          <w:sz w:val="22"/>
          <w:szCs w:val="22"/>
        </w:rPr>
        <w:t xml:space="preserve"> branch in Azure DevOps with a descriptive commit message.</w:t>
      </w:r>
    </w:p>
    <w:p>
      <w:pPr>
        <w:pStyle w:val="ListParagraph"/>
        <w:numPr>
          <w:ilvl w:val="0"/>
          <w:numId w:val="3"/>
        </w:numPr>
        <w:spacing w:before="60" w:after="60"/>
      </w:pPr>
      <w:r>
        <w:rPr>
          <w:rFonts w:ascii="Arial" w:cs="Arial" w:eastAsia="Arial" w:hAnsi="Arial"/>
          <w:color w:val="374151"/>
          <w:sz w:val="22"/>
          <w:szCs w:val="22"/>
        </w:rPr>
        <w:t xml:space="preserve">A Pull Request is raised targeting the </w:t>
      </w:r>
      <w:r>
        <w:rPr>
          <w:rFonts w:ascii="Arial" w:cs="Arial" w:eastAsia="Arial" w:hAnsi="Arial"/>
          <w:b/>
          <w:bCs/>
          <w:color w:val="374151"/>
          <w:sz w:val="22"/>
          <w:szCs w:val="22"/>
        </w:rPr>
        <w:t xml:space="preserve">main</w:t>
      </w:r>
      <w:r>
        <w:rPr>
          <w:rFonts w:ascii="Arial" w:cs="Arial" w:eastAsia="Arial" w:hAnsi="Arial"/>
          <w:color w:val="374151"/>
          <w:sz w:val="22"/>
          <w:szCs w:val="22"/>
        </w:rPr>
        <w:t xml:space="preserve"> branch. A peer reviewer inspects the DAX diff and visual changes.</w:t>
      </w:r>
    </w:p>
    <w:p>
      <w:pPr>
        <w:pStyle w:val="ListParagraph"/>
        <w:numPr>
          <w:ilvl w:val="0"/>
          <w:numId w:val="3"/>
        </w:numPr>
        <w:spacing w:before="60" w:after="60"/>
      </w:pPr>
      <w:r>
        <w:rPr>
          <w:rFonts w:ascii="Arial" w:cs="Arial" w:eastAsia="Arial" w:hAnsi="Arial"/>
          <w:color w:val="374151"/>
          <w:sz w:val="22"/>
          <w:szCs w:val="22"/>
        </w:rPr>
        <w:t xml:space="preserve">On merge to main, an Azure DevOps Pipeline script calls the Power BI REST API to publish the updated .pbix to the workspace automatically.</w:t>
      </w:r>
    </w:p>
    <w:p>
      <w:pPr>
        <w:spacing w:before="0" w:after="120"/>
      </w:pPr>
      <w:r>
        <w:t xml:space="preserve"/>
      </w:r>
    </w:p>
    <w:p>
      <w:pPr>
        <w:pStyle w:val="Heading2"/>
        <w:spacing w:before="280" w:after="80"/>
      </w:pPr>
      <w:r>
        <w:rPr>
          <w:rFonts w:ascii="Arial" w:cs="Arial" w:eastAsia="Arial" w:hAnsi="Arial"/>
          <w:b/>
          <w:bCs/>
          <w:color w:val="0055A4"/>
          <w:sz w:val="24"/>
          <w:szCs w:val="24"/>
        </w:rPr>
        <w:t xml:space="preserve">6.2  What Is and Is Not Version 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  DAX measures &amp; expressions</w:t>
            </w:r>
          </w:p>
        </w:tc>
        <w:tc>
          <w:tcPr>
            <w:tcW w:type="dxa" w:w="65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diff visible in Git. Every measure change is tracked line by line.</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  Report layout &amp; visuals</w:t>
            </w:r>
          </w:p>
        </w:tc>
        <w:tc>
          <w:tcPr>
            <w:tcW w:type="dxa" w:w="65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Visual positions, sizes, and properties stored as JSON in the .pbip folder.</w:t>
            </w:r>
          </w:p>
        </w:tc>
      </w:tr>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  Relationships &amp; model schema</w:t>
            </w:r>
          </w:p>
        </w:tc>
        <w:tc>
          <w:tcPr>
            <w:tcW w:type="dxa" w:w="65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relationships, column types, and table definitions in model.bim.</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  Hierarchies &amp; display folders</w:t>
            </w:r>
          </w:p>
        </w:tc>
        <w:tc>
          <w:tcPr>
            <w:tcW w:type="dxa" w:w="65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Full model metadata including folder structure is version controlled.</w:t>
            </w:r>
          </w:p>
        </w:tc>
      </w:tr>
      <w:tr>
        <w:tc>
          <w:tcPr>
            <w:tcW w:type="dxa" w:w="28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  Data</w:t>
            </w:r>
          </w:p>
        </w:tc>
        <w:tc>
          <w:tcPr>
            <w:tcW w:type="dxa" w:w="65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is never stored in the repository. Only the model definition and report layout.</w:t>
            </w:r>
          </w:p>
        </w:tc>
      </w:tr>
      <w:tr>
        <w:tc>
          <w:tcPr>
            <w:tcW w:type="dxa" w:w="28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  Gateway credentials</w:t>
            </w:r>
          </w:p>
        </w:tc>
        <w:tc>
          <w:tcPr>
            <w:tcW w:type="dxa" w:w="65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Data source credentials are configured in the Power BI Service and are not committed to Git.</w:t>
            </w:r>
          </w:p>
        </w:tc>
      </w:tr>
    </w:tbl>
    <w:p>
      <w:pPr>
        <w:spacing w:before="0" w:after="16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7. Out of Scope</w:t>
      </w:r>
    </w:p>
    <w:p>
      <w:pPr>
        <w:spacing w:before="60" w:after="100"/>
      </w:pPr>
      <w:r>
        <w:rPr>
          <w:rFonts w:ascii="Arial" w:cs="Arial" w:eastAsia="Arial" w:hAnsi="Arial"/>
          <w:color w:val="374151"/>
          <w:sz w:val="22"/>
          <w:szCs w:val="22"/>
        </w:rPr>
        <w:t xml:space="preserve">The following areas are explicitly out of scope for this architecture document. They may be addressed in separate documents or future phases:</w:t>
      </w:r>
    </w:p>
    <w:p>
      <w:pPr>
        <w:spacing w:before="0" w:after="60"/>
      </w:pPr>
      <w:r>
        <w:t xml:space="preserve"/>
      </w:r>
    </w:p>
    <w:p>
      <w:pPr>
        <w:pStyle w:val="ListParagraph"/>
        <w:numPr>
          <w:ilvl w:val="0"/>
          <w:numId w:val="2"/>
        </w:numPr>
        <w:spacing w:before="40" w:after="60"/>
      </w:pPr>
      <w:r>
        <w:rPr>
          <w:rFonts w:ascii="Arial" w:cs="Arial" w:eastAsia="Arial" w:hAnsi="Arial"/>
          <w:color w:val="374151"/>
          <w:sz w:val="22"/>
          <w:szCs w:val="22"/>
        </w:rPr>
        <w:t xml:space="preserve">Individual report design, visual layout standards, or UX guidelines for specific reports.</w:t>
      </w:r>
    </w:p>
    <w:p>
      <w:pPr>
        <w:pStyle w:val="ListParagraph"/>
        <w:numPr>
          <w:ilvl w:val="0"/>
          <w:numId w:val="2"/>
        </w:numPr>
        <w:spacing w:before="40" w:after="60"/>
      </w:pPr>
      <w:r>
        <w:rPr>
          <w:rFonts w:ascii="Arial" w:cs="Arial" w:eastAsia="Arial" w:hAnsi="Arial"/>
          <w:color w:val="374151"/>
          <w:sz w:val="22"/>
          <w:szCs w:val="22"/>
        </w:rPr>
        <w:t xml:space="preserve">SAP HANA query optimisation, calculation view design, or HANA performance tuning.</w:t>
      </w:r>
    </w:p>
    <w:p>
      <w:pPr>
        <w:pStyle w:val="ListParagraph"/>
        <w:numPr>
          <w:ilvl w:val="0"/>
          <w:numId w:val="2"/>
        </w:numPr>
        <w:spacing w:before="40" w:after="60"/>
      </w:pPr>
      <w:r>
        <w:rPr>
          <w:rFonts w:ascii="Arial" w:cs="Arial" w:eastAsia="Arial" w:hAnsi="Arial"/>
          <w:color w:val="374151"/>
          <w:sz w:val="22"/>
          <w:szCs w:val="22"/>
        </w:rPr>
        <w:t xml:space="preserve">DirectQuery model optimisation strategies or Composite Model design patterns.</w:t>
      </w:r>
    </w:p>
    <w:p>
      <w:pPr>
        <w:pStyle w:val="ListParagraph"/>
        <w:numPr>
          <w:ilvl w:val="0"/>
          <w:numId w:val="2"/>
        </w:numPr>
        <w:spacing w:before="40" w:after="60"/>
      </w:pPr>
      <w:r>
        <w:rPr>
          <w:rFonts w:ascii="Arial" w:cs="Arial" w:eastAsia="Arial" w:hAnsi="Arial"/>
          <w:color w:val="374151"/>
          <w:sz w:val="22"/>
          <w:szCs w:val="22"/>
        </w:rPr>
        <w:t xml:space="preserve">Power BI Premium capacity planning, sizing, or cost modelling for P-SKU tiers.</w:t>
      </w:r>
    </w:p>
    <w:p>
      <w:pPr>
        <w:pStyle w:val="ListParagraph"/>
        <w:numPr>
          <w:ilvl w:val="0"/>
          <w:numId w:val="2"/>
        </w:numPr>
        <w:spacing w:before="40" w:after="60"/>
      </w:pPr>
      <w:r>
        <w:rPr>
          <w:rFonts w:ascii="Arial" w:cs="Arial" w:eastAsia="Arial" w:hAnsi="Arial"/>
          <w:color w:val="374151"/>
          <w:sz w:val="22"/>
          <w:szCs w:val="22"/>
        </w:rPr>
        <w:t xml:space="preserve">Paginated Report (.rdl) design standards or Report Builder usage guidelines.</w:t>
      </w:r>
    </w:p>
    <w:p>
      <w:pPr>
        <w:pStyle w:val="ListParagraph"/>
        <w:numPr>
          <w:ilvl w:val="0"/>
          <w:numId w:val="2"/>
        </w:numPr>
        <w:spacing w:before="40" w:after="60"/>
      </w:pPr>
      <w:r>
        <w:rPr>
          <w:rFonts w:ascii="Arial" w:cs="Arial" w:eastAsia="Arial" w:hAnsi="Arial"/>
          <w:color w:val="374151"/>
          <w:sz w:val="22"/>
          <w:szCs w:val="22"/>
        </w:rPr>
        <w:t xml:space="preserve">Power BI Embedded or external-facing portal distribution scenarios.</w:t>
      </w:r>
    </w:p>
    <w:p>
      <w:pPr>
        <w:pStyle w:val="ListParagraph"/>
        <w:numPr>
          <w:ilvl w:val="0"/>
          <w:numId w:val="2"/>
        </w:numPr>
        <w:spacing w:before="40" w:after="60"/>
      </w:pPr>
      <w:r>
        <w:rPr>
          <w:rFonts w:ascii="Arial" w:cs="Arial" w:eastAsia="Arial" w:hAnsi="Arial"/>
          <w:color w:val="374151"/>
          <w:sz w:val="22"/>
          <w:szCs w:val="22"/>
        </w:rPr>
        <w:t xml:space="preserve">Data governance policy, data lineage documentation, or data catalogue integration.</w:t>
      </w:r>
    </w:p>
    <w:p>
      <w:pPr>
        <w:pStyle w:val="ListParagraph"/>
        <w:numPr>
          <w:ilvl w:val="0"/>
          <w:numId w:val="2"/>
        </w:numPr>
        <w:spacing w:before="40" w:after="60"/>
      </w:pPr>
      <w:r>
        <w:rPr>
          <w:rFonts w:ascii="Arial" w:cs="Arial" w:eastAsia="Arial" w:hAnsi="Arial"/>
          <w:color w:val="374151"/>
          <w:sz w:val="22"/>
          <w:szCs w:val="22"/>
        </w:rPr>
        <w:t xml:space="preserve">Azure DevOps pipeline YAML authoring or CI/CD tooling configuration in detail.</w:t>
      </w:r>
    </w:p>
    <w:p>
      <w:pPr>
        <w:spacing w:before="0" w:after="160"/>
      </w:pPr>
      <w:r>
        <w:t xml:space="preserve"/>
      </w:r>
    </w:p>
    <w:p>
      <w:pPr>
        <w:pStyle w:val="Heading1"/>
        <w:pBdr>
          <w:bottom w:val="single" w:color="0055A4" w:sz="6" w:space="6"/>
        </w:pBdr>
        <w:spacing w:before="360" w:after="120"/>
      </w:pPr>
      <w:r>
        <w:rPr>
          <w:rFonts w:ascii="Arial" w:cs="Arial" w:eastAsia="Arial" w:hAnsi="Arial"/>
          <w:b/>
          <w:bCs/>
          <w:color w:val="003A73"/>
          <w:sz w:val="28"/>
          <w:szCs w:val="28"/>
        </w:rPr>
        <w:t xml:space="preserve">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AAD / Entra ID</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Azure Active Directory, now branded as Microsoft Entra ID. The identity and access management service used to control all Power BI access.</w:t>
            </w:r>
          </w:p>
        </w:tc>
      </w:tr>
      <w:tr>
        <w:tc>
          <w:tcPr>
            <w:tcW w:type="dxa" w:w="2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Dataflow Gen1</w:t>
            </w:r>
          </w:p>
        </w:tc>
        <w:tc>
          <w:tcPr>
            <w:tcW w:type="dxa" w:w="7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A Power Query-based data preparation layer in the Power BI Service. Outputs reusable entities that Semantic Models can consume.</w:t>
            </w:r>
          </w:p>
        </w:tc>
      </w:tr>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Import Mode</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dataset storage mode where all data is loaded into Power BI's in-memory engine at refresh time. Faster than DirectQuery for reporting.</w:t>
            </w:r>
          </w:p>
        </w:tc>
      </w:tr>
      <w:tr>
        <w:tc>
          <w:tcPr>
            <w:tcW w:type="dxa" w:w="2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Incremental Refresh</w:t>
            </w:r>
          </w:p>
        </w:tc>
        <w:tc>
          <w:tcPr>
            <w:tcW w:type="dxa" w:w="7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A refresh strategy that only loads new or changed rows rather than reloading the full table, keeping dataset size below the 1 GB Pro limit.</w:t>
            </w:r>
          </w:p>
        </w:tc>
      </w:tr>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Linked Entity</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Dataflow entity that references a table from another Dataflow in the same workspace, enabling reuse without duplicating transformation logic.</w:t>
            </w:r>
          </w:p>
        </w:tc>
      </w:tr>
      <w:tr>
        <w:tc>
          <w:tcPr>
            <w:tcW w:type="dxa" w:w="2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Computed Entity</w:t>
            </w:r>
          </w:p>
        </w:tc>
        <w:tc>
          <w:tcPr>
            <w:tcW w:type="dxa" w:w="7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A Dataflow entity built on top of other entities within the same Dataflow, transforming already-loaded data from the internal cache.</w:t>
            </w:r>
          </w:p>
        </w:tc>
      </w:tr>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.pbip Format</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Power BI Project format. Saves a report as a folder of JSON and text files instead of a single binary .pbix, enabling readable Git diffs.</w:t>
            </w:r>
          </w:p>
        </w:tc>
      </w:tr>
      <w:tr>
        <w:tc>
          <w:tcPr>
            <w:tcW w:type="dxa" w:w="2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PPU</w:t>
            </w:r>
          </w:p>
        </w:tc>
        <w:tc>
          <w:tcPr>
            <w:tcW w:type="dxa" w:w="7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Premium Per User. A Power BI licence tier at ~$20/user/month that unlocks Deployment Pipelines, XMLA write, and larger model limits.</w:t>
            </w:r>
          </w:p>
        </w:tc>
      </w:tr>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RLS</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Row-Level Security. A dataset feature that filters data rows based on the logged-in user's identity, enforced via DAX filter expressions.</w:t>
            </w:r>
          </w:p>
        </w:tc>
      </w:tr>
      <w:tr>
        <w:tc>
          <w:tcPr>
            <w:tcW w:type="dxa" w:w="2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XMLA Endpoint</w:t>
            </w:r>
          </w:p>
        </w:tc>
        <w:tc>
          <w:tcPr>
            <w:tcW w:type="dxa" w:w="7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A protocol endpoint on a Power BI dataset that allows external tools (Tabular Editor, SSMS) to connect to and modify the model directly.</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3A73" w:val="clear"/>
            <w:tcMar>
              <w:top w:type="dxa" w:w="100"/>
              <w:left w:type="dxa" w:w="200"/>
              <w:bottom w:type="dxa" w:w="100"/>
              <w:right w:type="dxa" w:w="200"/>
            </w:tcMar>
          </w:tcPr>
          <w:p>
            <w:r>
              <w:rPr>
                <w:rFonts w:ascii="Arial" w:cs="Arial" w:eastAsia="Arial" w:hAnsi="Arial"/>
                <w:b/>
                <w:bCs/>
                <w:color w:val="FFFFFF"/>
                <w:sz w:val="22"/>
                <w:szCs w:val="22"/>
              </w:rPr>
              <w:t xml:space="preserve">Document Control</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Version</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 — Initial Release</w:t>
            </w:r>
          </w:p>
        </w:tc>
      </w:tr>
      <w:tr>
        <w:tc>
          <w:tcPr>
            <w:tcW w:type="dxa" w:w="2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Date</w:t>
            </w:r>
          </w:p>
        </w:tc>
        <w:tc>
          <w:tcPr>
            <w:tcW w:type="dxa" w:w="7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March 2026</w:t>
            </w:r>
          </w:p>
        </w:tc>
      </w:tr>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Author</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Architecture Team</w:t>
            </w:r>
          </w:p>
        </w:tc>
      </w:tr>
      <w:tr>
        <w:tc>
          <w:tcPr>
            <w:tcW w:type="dxa" w:w="200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b/>
                <w:bCs/>
                <w:color w:val="003A73"/>
                <w:sz w:val="20"/>
                <w:szCs w:val="20"/>
              </w:rPr>
              <w:t xml:space="preserve">Review Cycle</w:t>
            </w:r>
          </w:p>
        </w:tc>
        <w:tc>
          <w:tcPr>
            <w:tcW w:type="dxa" w:w="7360"/>
            <w:tcBorders>
              <w:top w:val="single" w:color="C8CDD8" w:sz="1"/>
              <w:left w:val="single" w:color="C8CDD8" w:sz="1"/>
              <w:bottom w:val="single" w:color="C8CDD8" w:sz="1"/>
              <w:right w:val="single" w:color="C8CDD8" w:sz="1"/>
            </w:tcBorders>
            <w:shd w:fill="F4F6F9" w:val="clear"/>
            <w:tcMar>
              <w:top w:type="dxa" w:w="80"/>
              <w:left w:type="dxa" w:w="120"/>
              <w:bottom w:type="dxa" w:w="80"/>
              <w:right w:type="dxa" w:w="120"/>
            </w:tcMar>
          </w:tcPr>
          <w:p>
            <w:r>
              <w:rPr>
                <w:rFonts w:ascii="Arial" w:cs="Arial" w:eastAsia="Arial" w:hAnsi="Arial"/>
                <w:color w:val="374151"/>
                <w:sz w:val="20"/>
                <w:szCs w:val="20"/>
              </w:rPr>
              <w:t xml:space="preserve">Quarterly or upon licence / team size change</w:t>
            </w:r>
          </w:p>
        </w:tc>
      </w:tr>
      <w:tr>
        <w:tc>
          <w:tcPr>
            <w:tcW w:type="dxa" w:w="2000"/>
            <w:tcBorders>
              <w:top w:val="single" w:color="C8CDD8" w:sz="1"/>
              <w:left w:val="single" w:color="C8CDD8" w:sz="1"/>
              <w:bottom w:val="single" w:color="C8CDD8" w:sz="1"/>
              <w:right w:val="single" w:color="C8CDD8" w:sz="1"/>
            </w:tcBorders>
            <w:shd w:fill="EEF4FB" w:val="clear"/>
            <w:tcMar>
              <w:top w:type="dxa" w:w="80"/>
              <w:left w:type="dxa" w:w="120"/>
              <w:bottom w:type="dxa" w:w="80"/>
              <w:right w:type="dxa" w:w="120"/>
            </w:tcMar>
          </w:tcPr>
          <w:p>
            <w:r>
              <w:rPr>
                <w:rFonts w:ascii="Arial" w:cs="Arial" w:eastAsia="Arial" w:hAnsi="Arial"/>
                <w:b/>
                <w:bCs/>
                <w:color w:val="003A73"/>
                <w:sz w:val="20"/>
                <w:szCs w:val="20"/>
              </w:rPr>
              <w:t xml:space="preserve">Distribution</w:t>
            </w:r>
          </w:p>
        </w:tc>
        <w:tc>
          <w:tcPr>
            <w:tcW w:type="dxa" w:w="7360"/>
            <w:tcBorders>
              <w:top w:val="single" w:color="C8CDD8" w:sz="1"/>
              <w:left w:val="single" w:color="C8CDD8" w:sz="1"/>
              <w:bottom w:val="single" w:color="C8CDD8" w:sz="1"/>
              <w:right w:val="single" w:color="C8CDD8"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Internal — Power BI Team, IT Leadership, Project Stakeholders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DD8" w:sz="4" w:space="4"/>
      </w:pBdr>
      <w:tabs>
        <w:tab w:val="right" w:pos="9026"/>
      </w:tabs>
    </w:pPr>
    <w:r>
      <w:rPr>
        <w:rFonts w:ascii="Arial" w:cs="Arial" w:eastAsia="Arial" w:hAnsi="Arial"/>
        <w:color w:val="6B7280"/>
        <w:sz w:val="16"/>
        <w:szCs w:val="16"/>
      </w:rPr>
      <w:t xml:space="preserve">Internal Use Only · March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5A4" w:sz="6" w:space="4"/>
      </w:pBdr>
      <w:tabs>
        <w:tab w:val="right" w:pos="9026"/>
      </w:tabs>
    </w:pPr>
    <w:r>
      <w:rPr>
        <w:rFonts w:ascii="Arial" w:cs="Arial" w:eastAsia="Arial" w:hAnsi="Arial"/>
        <w:b/>
        <w:bCs/>
        <w:color w:val="0055A4"/>
        <w:sz w:val="18"/>
        <w:szCs w:val="18"/>
      </w:rPr>
      <w:t xml:space="preserve">Power BI Pro — Client Architecture</w:t>
    </w:r>
    <w:r>
      <w:rPr>
        <w:rFonts w:ascii="Arial" w:cs="Arial" w:eastAsia="Arial" w:hAnsi="Arial"/>
        <w:sz w:val="18"/>
        <w:szCs w:val="18"/>
      </w:rPr>
      <w:t xml:space="preserve">	</w:t>
    </w: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03A73"/>
      <w:sz w:val="28"/>
      <w:szCs w:val="28"/>
    </w:rPr>
  </w:style>
  <w:style w:type="paragraph" w:styleId="Heading2">
    <w:name w:val="Heading 2"/>
    <w:basedOn w:val="Normal"/>
    <w:next w:val="Normal"/>
    <w:qFormat/>
    <w:pPr>
      <w:spacing w:before="280" w:after="80"/>
      <w:outlineLvl w:val="1"/>
    </w:pPr>
    <w:rPr>
      <w:rFonts w:ascii="Arial" w:cs="Arial" w:eastAsia="Arial" w:hAnsi="Arial"/>
      <w:b/>
      <w:bCs/>
      <w:color w:val="0055A4"/>
      <w:sz w:val="24"/>
      <w:szCs w:val="24"/>
    </w:rPr>
  </w:style>
  <w:style w:type="paragraph" w:styleId="Heading3">
    <w:name w:val="Heading 3"/>
    <w:basedOn w:val="Normal"/>
    <w:next w:val="Normal"/>
    <w:qFormat/>
    <w:pPr>
      <w:spacing w:before="20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2026-03-06T17:32:14.712Z</dcterms:created>
  <dcterms:modified xsi:type="dcterms:W3CDTF">2026-03-06T17:32:14.713Z</dcterms:modified>
</cp:coreProperties>
</file>

<file path=docProps/custom.xml><?xml version="1.0" encoding="utf-8"?>
<Properties xmlns="http://schemas.openxmlformats.org/officeDocument/2006/custom-properties" xmlns:vt="http://schemas.openxmlformats.org/officeDocument/2006/docPropsVTypes"/>
</file>