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b/>
          <w:bCs/>
          <w:color w:val="2E5496"/>
          <w:sz w:val="24"/>
          <w:szCs w:val="24"/>
        </w:rPr>
        <w:t xml:space="preserve">StandICT.eu 2029 — 1st Open Call</w:t>
      </w:r>
    </w:p>
    <w:p>
      <w:pPr>
        <w:pBdr>
          <w:bottom w:val="single" w:color="1F3864" w:sz="8" w:space="6"/>
        </w:pBdr>
        <w:spacing w:after="480"/>
      </w:pPr>
      <w:r>
        <w:rPr>
          <w:color w:val="595959"/>
          <w:sz w:val="22"/>
          <w:szCs w:val="22"/>
        </w:rPr>
        <w:t xml:space="preserve">Fellowship Project 2029-01-1530</w:t>
      </w:r>
    </w:p>
    <w:p>
      <w:pPr>
        <w:spacing w:after="120"/>
      </w:pPr>
      <w:r>
        <w:rPr>
          <w:b/>
          <w:bCs/>
          <w:color w:val="1F3864"/>
          <w:sz w:val="44"/>
          <w:szCs w:val="44"/>
        </w:rPr>
        <w:t xml:space="preserve">Draft Standards Contributions:</w:t>
      </w:r>
    </w:p>
    <w:p>
      <w:pPr>
        <w:spacing w:after="360"/>
      </w:pPr>
      <w:r>
        <w:rPr>
          <w:b/>
          <w:bCs/>
          <w:color w:val="1F3864"/>
          <w:sz w:val="38"/>
          <w:szCs w:val="38"/>
        </w:rPr>
        <w:t xml:space="preserve">Use Cases, Requirements and Technical Notes for Non-Custodial Tourism Wallets</w:t>
      </w:r>
    </w:p>
    <w:p>
      <w:pPr>
        <w:spacing w:after="80"/>
      </w:pPr>
      <w:r>
        <w:rPr>
          <w:b/>
          <w:bCs/>
          <w:sz w:val="24"/>
          <w:szCs w:val="24"/>
        </w:rPr>
        <w:t xml:space="preserve">Project: Standardizing Non-Custodial Wallet Infrastructure for Tourism</w:t>
      </w:r>
    </w:p>
    <w:p>
      <w:pPr>
        <w:spacing w:after="80"/>
      </w:pPr>
      <w:r>
        <w:rPr>
          <w:color w:val="595959"/>
          <w:sz w:val="22"/>
          <w:szCs w:val="22"/>
        </w:rPr>
        <w:t xml:space="preserve">Phase 2 — Standards Contribution and Technical Drafting · Deliverable D2.1</w:t>
      </w:r>
    </w:p>
    <w:p>
      <w:pPr>
        <w:spacing w:after="480"/>
      </w:pPr>
      <w:r>
        <w:rPr>
          <w:color w:val="595959"/>
          <w:sz w:val="22"/>
          <w:szCs w:val="22"/>
        </w:rPr>
        <w:t xml:space="preserve">Mid-term reporting period · May 2026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Value</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Fellow</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Organisation</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KODE de Hugo A Perez S. SL (Spain)</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Application ID</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2029-01-1530</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Companion deliverables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D1.1 (state of the art &amp; gaps); D1.2 (requirements for SDO submission)</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Contents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Six self-contained draft contributions: one use-cases note, one requirements input, three technical notes, one profile proposal</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Dissemination level</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Public</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Deliverable type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Draft standards contributions (drafts for discussion; not yet submitted)</w:t>
            </w:r>
          </w:p>
        </w:tc>
      </w:tr>
    </w:tbl>
    <w:p>
      <w:pPr>
        <w:pageBreakBefore/>
      </w:pPr>
    </w:p>
    <w:p>
      <w:pPr>
        <w:pStyle w:val="Heading1"/>
        <w:spacing w:after="140" w:before="32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Item</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Detail</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Document title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Draft Standards Contributions for Non-Custodial Tourism Wallets</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Deliverable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D2.1 (Phase 2 — Standards Contribution and Technical Drafting)</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Version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1.0</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Author</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 (KODE de Hugo A Perez S. SL)</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Status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Drafts for discussion — prepared for submission to the named bodies</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Basis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Derived from D1.1 (gaps G1–G14) and D1.2 (requirements TW-…)</w:t>
            </w:r>
          </w:p>
        </w:tc>
      </w:tr>
    </w:tbl>
    <w:p>
      <w:pPr>
        <w:spacing w:after="60"/>
      </w:pPr>
    </w:p>
    <w:p>
      <w:pPr>
        <w:spacing w:after="80" w:before="120"/>
      </w:pPr>
      <w:r>
        <w:rPr>
          <w:b/>
          <w:bCs/>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cantSplit/>
          <w:tblHeader/>
        </w:trPr>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Version</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Date</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Notes</w:t>
            </w:r>
          </w:p>
        </w:tc>
      </w:tr>
      <w:tr>
        <w:trPr>
          <w:cantSplit/>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0.5</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Initial drafts of the five contributions</w:t>
            </w:r>
          </w:p>
        </w:tc>
      </w:tr>
      <w:tr>
        <w:trPr>
          <w:cantSplit/>
        </w:trPr>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1.0</w:t>
            </w:r>
          </w:p>
        </w:tc>
        <w:tc>
          <w:tcPr>
            <w:tcW w:type="dxa" w:w="1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Consolidated for mid-term reporting period</w:t>
            </w:r>
          </w:p>
        </w:tc>
      </w:tr>
    </w:tbl>
    <w:p>
      <w:pPr>
        <w:pageBreakBefore/>
      </w:pPr>
    </w:p>
    <w:p>
      <w:pPr>
        <w:pStyle w:val="Heading1"/>
        <w:spacing w:after="140" w:before="320"/>
      </w:pPr>
      <w:r>
        <w:t xml:space="preserve">Table of contents</w:t>
      </w:r>
    </w:p>
    <w:p>
      <w:pPr>
        <w:tabs>
          <w:tab w:val="right" w:pos="9360" w:leader="dot"/>
        </w:tabs>
        <w:spacing w:after="40" w:line="264" w:lineRule="auto"/>
        <w:ind w:left="0"/>
      </w:pPr>
      <w:r>
        <w:rPr>
          <w:b/>
          <w:bCs/>
          <w:color w:val="1F3864"/>
          <w:sz w:val="22"/>
          <w:szCs w:val="22"/>
        </w:rPr>
        <w:t xml:space="preserve">About this contribution package</w:t>
      </w:r>
      <w:r>
        <w:rPr>
          <w:sz w:val="21"/>
          <w:szCs w:val="21"/>
        </w:rPr>
        <w:t xml:space="preserve">	4</w:t>
      </w:r>
    </w:p>
    <w:p>
      <w:pPr>
        <w:tabs>
          <w:tab w:val="right" w:pos="9360" w:leader="dot"/>
        </w:tabs>
        <w:spacing w:after="40" w:line="264" w:lineRule="auto"/>
        <w:ind w:left="0"/>
      </w:pPr>
      <w:r>
        <w:rPr>
          <w:b/>
          <w:bCs/>
          <w:color w:val="1F3864"/>
          <w:sz w:val="22"/>
          <w:szCs w:val="22"/>
        </w:rPr>
        <w:t xml:space="preserve">C1. W3C — Tourism Entitlements: Use Cases and Requirements</w:t>
      </w:r>
      <w:r>
        <w:rPr>
          <w:sz w:val="21"/>
          <w:szCs w:val="21"/>
        </w:rPr>
        <w:t xml:space="preserve">	5</w:t>
      </w:r>
    </w:p>
    <w:p>
      <w:pPr>
        <w:tabs>
          <w:tab w:val="right" w:pos="9360" w:leader="dot"/>
        </w:tabs>
        <w:spacing w:after="40" w:line="264" w:lineRule="auto"/>
        <w:ind w:left="360"/>
      </w:pPr>
      <w:r>
        <w:rPr>
          <w:b w:val="false"/>
          <w:bCs w:val="false"/>
          <w:color w:val="000000"/>
          <w:sz w:val="21"/>
          <w:szCs w:val="21"/>
        </w:rPr>
        <w:t xml:space="preserve">C1.1 Abstract and status</w:t>
      </w:r>
      <w:r>
        <w:rPr>
          <w:sz w:val="21"/>
          <w:szCs w:val="21"/>
        </w:rPr>
        <w:t xml:space="preserve">	5</w:t>
      </w:r>
    </w:p>
    <w:p>
      <w:pPr>
        <w:tabs>
          <w:tab w:val="right" w:pos="9360" w:leader="dot"/>
        </w:tabs>
        <w:spacing w:after="40" w:line="264" w:lineRule="auto"/>
        <w:ind w:left="360"/>
      </w:pPr>
      <w:r>
        <w:rPr>
          <w:b w:val="false"/>
          <w:bCs w:val="false"/>
          <w:color w:val="000000"/>
          <w:sz w:val="21"/>
          <w:szCs w:val="21"/>
        </w:rPr>
        <w:t xml:space="preserve">C1.2 Introduction</w:t>
      </w:r>
      <w:r>
        <w:rPr>
          <w:sz w:val="21"/>
          <w:szCs w:val="21"/>
        </w:rPr>
        <w:t xml:space="preserve">	5</w:t>
      </w:r>
    </w:p>
    <w:p>
      <w:pPr>
        <w:tabs>
          <w:tab w:val="right" w:pos="9360" w:leader="dot"/>
        </w:tabs>
        <w:spacing w:after="40" w:line="264" w:lineRule="auto"/>
        <w:ind w:left="360"/>
      </w:pPr>
      <w:r>
        <w:rPr>
          <w:b w:val="false"/>
          <w:bCs w:val="false"/>
          <w:color w:val="000000"/>
          <w:sz w:val="21"/>
          <w:szCs w:val="21"/>
        </w:rPr>
        <w:t xml:space="preserve">C1.3 Use cases</w:t>
      </w:r>
      <w:r>
        <w:rPr>
          <w:sz w:val="21"/>
          <w:szCs w:val="21"/>
        </w:rPr>
        <w:t xml:space="preserve">	5</w:t>
      </w:r>
    </w:p>
    <w:p>
      <w:pPr>
        <w:tabs>
          <w:tab w:val="right" w:pos="9360" w:leader="dot"/>
        </w:tabs>
        <w:spacing w:after="40" w:line="264" w:lineRule="auto"/>
        <w:ind w:left="360"/>
      </w:pPr>
      <w:r>
        <w:rPr>
          <w:b w:val="false"/>
          <w:bCs w:val="false"/>
          <w:color w:val="000000"/>
          <w:sz w:val="21"/>
          <w:szCs w:val="21"/>
        </w:rPr>
        <w:t xml:space="preserve">C1.4 Derived requirements on Verifiable Credentials</w:t>
      </w:r>
      <w:r>
        <w:rPr>
          <w:sz w:val="21"/>
          <w:szCs w:val="21"/>
        </w:rPr>
        <w:t xml:space="preserve">	6</w:t>
      </w:r>
    </w:p>
    <w:p>
      <w:pPr>
        <w:tabs>
          <w:tab w:val="right" w:pos="9360" w:leader="dot"/>
        </w:tabs>
        <w:spacing w:after="40" w:line="264" w:lineRule="auto"/>
        <w:ind w:left="360"/>
      </w:pPr>
      <w:r>
        <w:rPr>
          <w:b w:val="false"/>
          <w:bCs w:val="false"/>
          <w:color w:val="000000"/>
          <w:sz w:val="21"/>
          <w:szCs w:val="21"/>
        </w:rPr>
        <w:t xml:space="preserve">C1.5 Proposed next steps for the Working Group</w:t>
      </w:r>
      <w:r>
        <w:rPr>
          <w:sz w:val="21"/>
          <w:szCs w:val="21"/>
        </w:rPr>
        <w:t xml:space="preserve">	7</w:t>
      </w:r>
    </w:p>
    <w:p>
      <w:pPr>
        <w:tabs>
          <w:tab w:val="right" w:pos="9360" w:leader="dot"/>
        </w:tabs>
        <w:spacing w:after="40" w:line="264" w:lineRule="auto"/>
        <w:ind w:left="0"/>
      </w:pPr>
      <w:r>
        <w:rPr>
          <w:b/>
          <w:bCs/>
          <w:color w:val="1F3864"/>
          <w:sz w:val="22"/>
          <w:szCs w:val="22"/>
        </w:rPr>
        <w:t xml:space="preserve">C2. ISO/TC 307 — Interoperability Requirements for Tourism Entitlements</w:t>
      </w:r>
      <w:r>
        <w:rPr>
          <w:sz w:val="21"/>
          <w:szCs w:val="21"/>
        </w:rPr>
        <w:t xml:space="preserve">	8</w:t>
      </w:r>
    </w:p>
    <w:p>
      <w:pPr>
        <w:tabs>
          <w:tab w:val="right" w:pos="9360" w:leader="dot"/>
        </w:tabs>
        <w:spacing w:after="40" w:line="264" w:lineRule="auto"/>
        <w:ind w:left="360"/>
      </w:pPr>
      <w:r>
        <w:rPr>
          <w:b w:val="false"/>
          <w:bCs w:val="false"/>
          <w:color w:val="000000"/>
          <w:sz w:val="21"/>
          <w:szCs w:val="21"/>
        </w:rPr>
        <w:t xml:space="preserve">C2.1 Scope</w:t>
      </w:r>
      <w:r>
        <w:rPr>
          <w:sz w:val="21"/>
          <w:szCs w:val="21"/>
        </w:rPr>
        <w:t xml:space="preserve">	8</w:t>
      </w:r>
    </w:p>
    <w:p>
      <w:pPr>
        <w:tabs>
          <w:tab w:val="right" w:pos="9360" w:leader="dot"/>
        </w:tabs>
        <w:spacing w:after="40" w:line="264" w:lineRule="auto"/>
        <w:ind w:left="360"/>
      </w:pPr>
      <w:r>
        <w:rPr>
          <w:b w:val="false"/>
          <w:bCs w:val="false"/>
          <w:color w:val="000000"/>
          <w:sz w:val="21"/>
          <w:szCs w:val="21"/>
        </w:rPr>
        <w:t xml:space="preserve">C2.2 References and terms</w:t>
      </w:r>
      <w:r>
        <w:rPr>
          <w:sz w:val="21"/>
          <w:szCs w:val="21"/>
        </w:rPr>
        <w:t xml:space="preserve">	8</w:t>
      </w:r>
    </w:p>
    <w:p>
      <w:pPr>
        <w:tabs>
          <w:tab w:val="right" w:pos="9360" w:leader="dot"/>
        </w:tabs>
        <w:spacing w:after="40" w:line="264" w:lineRule="auto"/>
        <w:ind w:left="360"/>
      </w:pPr>
      <w:r>
        <w:rPr>
          <w:b w:val="false"/>
          <w:bCs w:val="false"/>
          <w:color w:val="000000"/>
          <w:sz w:val="21"/>
          <w:szCs w:val="21"/>
        </w:rPr>
        <w:t xml:space="preserve">C2.3 Requirements</w:t>
      </w:r>
      <w:r>
        <w:rPr>
          <w:sz w:val="21"/>
          <w:szCs w:val="21"/>
        </w:rPr>
        <w:t xml:space="preserve">	8</w:t>
      </w:r>
    </w:p>
    <w:p>
      <w:pPr>
        <w:tabs>
          <w:tab w:val="right" w:pos="9360" w:leader="dot"/>
        </w:tabs>
        <w:spacing w:after="40" w:line="264" w:lineRule="auto"/>
        <w:ind w:left="360"/>
      </w:pPr>
      <w:r>
        <w:rPr>
          <w:b w:val="false"/>
          <w:bCs w:val="false"/>
          <w:color w:val="000000"/>
          <w:sz w:val="21"/>
          <w:szCs w:val="21"/>
        </w:rPr>
        <w:t xml:space="preserve">C2.4 Note to ISO/AWI 7603</w:t>
      </w:r>
      <w:r>
        <w:rPr>
          <w:sz w:val="21"/>
          <w:szCs w:val="21"/>
        </w:rPr>
        <w:t xml:space="preserve">	9</w:t>
      </w:r>
    </w:p>
    <w:p>
      <w:pPr>
        <w:tabs>
          <w:tab w:val="right" w:pos="9360" w:leader="dot"/>
        </w:tabs>
        <w:spacing w:after="40" w:line="264" w:lineRule="auto"/>
        <w:ind w:left="0"/>
      </w:pPr>
      <w:r>
        <w:rPr>
          <w:b/>
          <w:bCs/>
          <w:color w:val="1F3864"/>
          <w:sz w:val="22"/>
          <w:szCs w:val="22"/>
        </w:rPr>
        <w:t xml:space="preserve">C3. Technical Note — Credential–Token Binding</w:t>
      </w:r>
      <w:r>
        <w:rPr>
          <w:sz w:val="21"/>
          <w:szCs w:val="21"/>
        </w:rPr>
        <w:t xml:space="preserve">	10</w:t>
      </w:r>
    </w:p>
    <w:p>
      <w:pPr>
        <w:tabs>
          <w:tab w:val="right" w:pos="9360" w:leader="dot"/>
        </w:tabs>
        <w:spacing w:after="40" w:line="264" w:lineRule="auto"/>
        <w:ind w:left="360"/>
      </w:pPr>
      <w:r>
        <w:rPr>
          <w:b w:val="false"/>
          <w:bCs w:val="false"/>
          <w:color w:val="000000"/>
          <w:sz w:val="21"/>
          <w:szCs w:val="21"/>
        </w:rPr>
        <w:t xml:space="preserve">C3.1 Problem and design goals</w:t>
      </w:r>
      <w:r>
        <w:rPr>
          <w:sz w:val="21"/>
          <w:szCs w:val="21"/>
        </w:rPr>
        <w:t xml:space="preserve">	10</w:t>
      </w:r>
    </w:p>
    <w:p>
      <w:pPr>
        <w:tabs>
          <w:tab w:val="right" w:pos="9360" w:leader="dot"/>
        </w:tabs>
        <w:spacing w:after="40" w:line="264" w:lineRule="auto"/>
        <w:ind w:left="360"/>
      </w:pPr>
      <w:r>
        <w:rPr>
          <w:b w:val="false"/>
          <w:bCs w:val="false"/>
          <w:color w:val="000000"/>
          <w:sz w:val="21"/>
          <w:szCs w:val="21"/>
        </w:rPr>
        <w:t xml:space="preserve">C3.2 Binding mechanism</w:t>
      </w:r>
      <w:r>
        <w:rPr>
          <w:sz w:val="21"/>
          <w:szCs w:val="21"/>
        </w:rPr>
        <w:t xml:space="preserve">	10</w:t>
      </w:r>
    </w:p>
    <w:p>
      <w:pPr>
        <w:tabs>
          <w:tab w:val="right" w:pos="9360" w:leader="dot"/>
        </w:tabs>
        <w:spacing w:after="40" w:line="264" w:lineRule="auto"/>
        <w:ind w:left="360"/>
      </w:pPr>
      <w:r>
        <w:rPr>
          <w:b w:val="false"/>
          <w:bCs w:val="false"/>
          <w:color w:val="000000"/>
          <w:sz w:val="21"/>
          <w:szCs w:val="21"/>
        </w:rPr>
        <w:t xml:space="preserve">C3.3 Illustrative example</w:t>
      </w:r>
      <w:r>
        <w:rPr>
          <w:sz w:val="21"/>
          <w:szCs w:val="21"/>
        </w:rPr>
        <w:t xml:space="preserve">	11</w:t>
      </w:r>
    </w:p>
    <w:p>
      <w:pPr>
        <w:tabs>
          <w:tab w:val="right" w:pos="9360" w:leader="dot"/>
        </w:tabs>
        <w:spacing w:after="40" w:line="264" w:lineRule="auto"/>
        <w:ind w:left="360"/>
      </w:pPr>
      <w:r>
        <w:rPr>
          <w:b w:val="false"/>
          <w:bCs w:val="false"/>
          <w:color w:val="000000"/>
          <w:sz w:val="21"/>
          <w:szCs w:val="21"/>
        </w:rPr>
        <w:t xml:space="preserve">C3.4 Verification procedure</w:t>
      </w:r>
      <w:r>
        <w:rPr>
          <w:sz w:val="21"/>
          <w:szCs w:val="21"/>
        </w:rPr>
        <w:t xml:space="preserve">	11</w:t>
      </w:r>
    </w:p>
    <w:p>
      <w:pPr>
        <w:tabs>
          <w:tab w:val="right" w:pos="9360" w:leader="dot"/>
        </w:tabs>
        <w:spacing w:after="40" w:line="264" w:lineRule="auto"/>
        <w:ind w:left="360"/>
      </w:pPr>
      <w:r>
        <w:rPr>
          <w:b w:val="false"/>
          <w:bCs w:val="false"/>
          <w:color w:val="000000"/>
          <w:sz w:val="21"/>
          <w:szCs w:val="21"/>
        </w:rPr>
        <w:t xml:space="preserve">C3.5 Security and privacy considerations</w:t>
      </w:r>
      <w:r>
        <w:rPr>
          <w:sz w:val="21"/>
          <w:szCs w:val="21"/>
        </w:rPr>
        <w:t xml:space="preserve">	12</w:t>
      </w:r>
    </w:p>
    <w:p>
      <w:pPr>
        <w:tabs>
          <w:tab w:val="right" w:pos="9360" w:leader="dot"/>
        </w:tabs>
        <w:spacing w:after="40" w:line="264" w:lineRule="auto"/>
        <w:ind w:left="360"/>
      </w:pPr>
      <w:r>
        <w:rPr>
          <w:b w:val="false"/>
          <w:bCs w:val="false"/>
          <w:color w:val="000000"/>
          <w:sz w:val="21"/>
          <w:szCs w:val="21"/>
        </w:rPr>
        <w:t xml:space="preserve">C3.6 Standards alignment and open questions</w:t>
      </w:r>
      <w:r>
        <w:rPr>
          <w:sz w:val="21"/>
          <w:szCs w:val="21"/>
        </w:rPr>
        <w:t xml:space="preserve">	12</w:t>
      </w:r>
    </w:p>
    <w:p>
      <w:pPr>
        <w:tabs>
          <w:tab w:val="right" w:pos="9360" w:leader="dot"/>
        </w:tabs>
        <w:spacing w:after="40" w:line="264" w:lineRule="auto"/>
        <w:ind w:left="0"/>
      </w:pPr>
      <w:r>
        <w:rPr>
          <w:b/>
          <w:bCs/>
          <w:color w:val="1F3864"/>
          <w:sz w:val="22"/>
          <w:szCs w:val="22"/>
        </w:rPr>
        <w:t xml:space="preserve">C4. Technical Note — Offline Verification Profile</w:t>
      </w:r>
      <w:r>
        <w:rPr>
          <w:sz w:val="21"/>
          <w:szCs w:val="21"/>
        </w:rPr>
        <w:t xml:space="preserve">	13</w:t>
      </w:r>
    </w:p>
    <w:p>
      <w:pPr>
        <w:tabs>
          <w:tab w:val="right" w:pos="9360" w:leader="dot"/>
        </w:tabs>
        <w:spacing w:after="40" w:line="264" w:lineRule="auto"/>
        <w:ind w:left="360"/>
      </w:pPr>
      <w:r>
        <w:rPr>
          <w:b w:val="false"/>
          <w:bCs w:val="false"/>
          <w:color w:val="000000"/>
          <w:sz w:val="21"/>
          <w:szCs w:val="21"/>
        </w:rPr>
        <w:t xml:space="preserve">C4.1 Problem and design goals</w:t>
      </w:r>
      <w:r>
        <w:rPr>
          <w:sz w:val="21"/>
          <w:szCs w:val="21"/>
        </w:rPr>
        <w:t xml:space="preserve">	13</w:t>
      </w:r>
    </w:p>
    <w:p>
      <w:pPr>
        <w:tabs>
          <w:tab w:val="right" w:pos="9360" w:leader="dot"/>
        </w:tabs>
        <w:spacing w:after="40" w:line="264" w:lineRule="auto"/>
        <w:ind w:left="360"/>
      </w:pPr>
      <w:r>
        <w:rPr>
          <w:b w:val="false"/>
          <w:bCs w:val="false"/>
          <w:color w:val="000000"/>
          <w:sz w:val="21"/>
          <w:szCs w:val="21"/>
        </w:rPr>
        <w:t xml:space="preserve">C4.2 Assurance tiers</w:t>
      </w:r>
      <w:r>
        <w:rPr>
          <w:sz w:val="21"/>
          <w:szCs w:val="21"/>
        </w:rPr>
        <w:t xml:space="preserve">	13</w:t>
      </w:r>
    </w:p>
    <w:p>
      <w:pPr>
        <w:tabs>
          <w:tab w:val="right" w:pos="9360" w:leader="dot"/>
        </w:tabs>
        <w:spacing w:after="40" w:line="264" w:lineRule="auto"/>
        <w:ind w:left="360"/>
      </w:pPr>
      <w:r>
        <w:rPr>
          <w:b w:val="false"/>
          <w:bCs w:val="false"/>
          <w:color w:val="000000"/>
          <w:sz w:val="21"/>
          <w:szCs w:val="21"/>
        </w:rPr>
        <w:t xml:space="preserve">C4.3 Verification procedure</w:t>
      </w:r>
      <w:r>
        <w:rPr>
          <w:sz w:val="21"/>
          <w:szCs w:val="21"/>
        </w:rPr>
        <w:t xml:space="preserve">	14</w:t>
      </w:r>
    </w:p>
    <w:p>
      <w:pPr>
        <w:tabs>
          <w:tab w:val="right" w:pos="9360" w:leader="dot"/>
        </w:tabs>
        <w:spacing w:after="40" w:line="264" w:lineRule="auto"/>
        <w:ind w:left="360"/>
      </w:pPr>
      <w:r>
        <w:rPr>
          <w:b w:val="false"/>
          <w:bCs w:val="false"/>
          <w:color w:val="000000"/>
          <w:sz w:val="21"/>
          <w:szCs w:val="21"/>
        </w:rPr>
        <w:t xml:space="preserve">C4.4 Security and privacy considerations</w:t>
      </w:r>
      <w:r>
        <w:rPr>
          <w:sz w:val="21"/>
          <w:szCs w:val="21"/>
        </w:rPr>
        <w:t xml:space="preserve">	14</w:t>
      </w:r>
    </w:p>
    <w:p>
      <w:pPr>
        <w:tabs>
          <w:tab w:val="right" w:pos="9360" w:leader="dot"/>
        </w:tabs>
        <w:spacing w:after="40" w:line="264" w:lineRule="auto"/>
        <w:ind w:left="360"/>
      </w:pPr>
      <w:r>
        <w:rPr>
          <w:b w:val="false"/>
          <w:bCs w:val="false"/>
          <w:color w:val="000000"/>
          <w:sz w:val="21"/>
          <w:szCs w:val="21"/>
        </w:rPr>
        <w:t xml:space="preserve">C4.5 Standards alignment and open questions</w:t>
      </w:r>
      <w:r>
        <w:rPr>
          <w:sz w:val="21"/>
          <w:szCs w:val="21"/>
        </w:rPr>
        <w:t xml:space="preserve">	14</w:t>
      </w:r>
    </w:p>
    <w:p>
      <w:pPr>
        <w:tabs>
          <w:tab w:val="right" w:pos="9360" w:leader="dot"/>
        </w:tabs>
        <w:spacing w:after="40" w:line="264" w:lineRule="auto"/>
        <w:ind w:left="0"/>
      </w:pPr>
      <w:r>
        <w:rPr>
          <w:b/>
          <w:bCs/>
          <w:color w:val="1F3864"/>
          <w:sz w:val="22"/>
          <w:szCs w:val="22"/>
        </w:rPr>
        <w:t xml:space="preserve">C5. Profile Proposal — Tourism Attestation for the EU Digital Identity Wallet</w:t>
      </w:r>
      <w:r>
        <w:rPr>
          <w:sz w:val="21"/>
          <w:szCs w:val="21"/>
        </w:rPr>
        <w:t xml:space="preserve">	15</w:t>
      </w:r>
    </w:p>
    <w:p>
      <w:pPr>
        <w:tabs>
          <w:tab w:val="right" w:pos="9360" w:leader="dot"/>
        </w:tabs>
        <w:spacing w:after="40" w:line="264" w:lineRule="auto"/>
        <w:ind w:left="360"/>
      </w:pPr>
      <w:r>
        <w:rPr>
          <w:b w:val="false"/>
          <w:bCs w:val="false"/>
          <w:color w:val="000000"/>
          <w:sz w:val="21"/>
          <w:szCs w:val="21"/>
        </w:rPr>
        <w:t xml:space="preserve">C5.1 Problem and design goals</w:t>
      </w:r>
      <w:r>
        <w:rPr>
          <w:sz w:val="21"/>
          <w:szCs w:val="21"/>
        </w:rPr>
        <w:t xml:space="preserve">	15</w:t>
      </w:r>
    </w:p>
    <w:p>
      <w:pPr>
        <w:tabs>
          <w:tab w:val="right" w:pos="9360" w:leader="dot"/>
        </w:tabs>
        <w:spacing w:after="40" w:line="264" w:lineRule="auto"/>
        <w:ind w:left="360"/>
      </w:pPr>
      <w:r>
        <w:rPr>
          <w:b w:val="false"/>
          <w:bCs w:val="false"/>
          <w:color w:val="000000"/>
          <w:sz w:val="21"/>
          <w:szCs w:val="21"/>
        </w:rPr>
        <w:t xml:space="preserve">C5.2 Attestation profile</w:t>
      </w:r>
      <w:r>
        <w:rPr>
          <w:sz w:val="21"/>
          <w:szCs w:val="21"/>
        </w:rPr>
        <w:t xml:space="preserve">	15</w:t>
      </w:r>
    </w:p>
    <w:p>
      <w:pPr>
        <w:tabs>
          <w:tab w:val="right" w:pos="9360" w:leader="dot"/>
        </w:tabs>
        <w:spacing w:after="40" w:line="264" w:lineRule="auto"/>
        <w:ind w:left="360"/>
      </w:pPr>
      <w:r>
        <w:rPr>
          <w:b w:val="false"/>
          <w:bCs w:val="false"/>
          <w:color w:val="000000"/>
          <w:sz w:val="21"/>
          <w:szCs w:val="21"/>
        </w:rPr>
        <w:t xml:space="preserve">C5.3 Issuance and presentation</w:t>
      </w:r>
      <w:r>
        <w:rPr>
          <w:sz w:val="21"/>
          <w:szCs w:val="21"/>
        </w:rPr>
        <w:t xml:space="preserve">	16</w:t>
      </w:r>
    </w:p>
    <w:p>
      <w:pPr>
        <w:tabs>
          <w:tab w:val="right" w:pos="9360" w:leader="dot"/>
        </w:tabs>
        <w:spacing w:after="40" w:line="264" w:lineRule="auto"/>
        <w:ind w:left="360"/>
      </w:pPr>
      <w:r>
        <w:rPr>
          <w:b w:val="false"/>
          <w:bCs w:val="false"/>
          <w:color w:val="000000"/>
          <w:sz w:val="21"/>
          <w:szCs w:val="21"/>
        </w:rPr>
        <w:t xml:space="preserve">C5.4 Trust and assurance</w:t>
      </w:r>
      <w:r>
        <w:rPr>
          <w:sz w:val="21"/>
          <w:szCs w:val="21"/>
        </w:rPr>
        <w:t xml:space="preserve">	16</w:t>
      </w:r>
    </w:p>
    <w:p>
      <w:pPr>
        <w:tabs>
          <w:tab w:val="right" w:pos="9360" w:leader="dot"/>
        </w:tabs>
        <w:spacing w:after="40" w:line="264" w:lineRule="auto"/>
        <w:ind w:left="360"/>
      </w:pPr>
      <w:r>
        <w:rPr>
          <w:b w:val="false"/>
          <w:bCs w:val="false"/>
          <w:color w:val="000000"/>
          <w:sz w:val="21"/>
          <w:szCs w:val="21"/>
        </w:rPr>
        <w:t xml:space="preserve">C5.5 Standards alignment and open questions</w:t>
      </w:r>
      <w:r>
        <w:rPr>
          <w:sz w:val="21"/>
          <w:szCs w:val="21"/>
        </w:rPr>
        <w:t xml:space="preserve">	16</w:t>
      </w:r>
    </w:p>
    <w:p>
      <w:pPr>
        <w:tabs>
          <w:tab w:val="right" w:pos="9360" w:leader="dot"/>
        </w:tabs>
        <w:spacing w:after="40" w:line="264" w:lineRule="auto"/>
        <w:ind w:left="0"/>
      </w:pPr>
      <w:r>
        <w:rPr>
          <w:b/>
          <w:bCs/>
          <w:color w:val="1F3864"/>
          <w:sz w:val="22"/>
          <w:szCs w:val="22"/>
        </w:rPr>
        <w:t xml:space="preserve">C6. Technical Note — Tourism Data-Minimisation Profile</w:t>
      </w:r>
      <w:r>
        <w:rPr>
          <w:sz w:val="21"/>
          <w:szCs w:val="21"/>
        </w:rPr>
        <w:t xml:space="preserve">	17</w:t>
      </w:r>
    </w:p>
    <w:p>
      <w:pPr>
        <w:tabs>
          <w:tab w:val="right" w:pos="9360" w:leader="dot"/>
        </w:tabs>
        <w:spacing w:after="40" w:line="264" w:lineRule="auto"/>
        <w:ind w:left="360"/>
      </w:pPr>
      <w:r>
        <w:rPr>
          <w:b w:val="false"/>
          <w:bCs w:val="false"/>
          <w:color w:val="000000"/>
          <w:sz w:val="21"/>
          <w:szCs w:val="21"/>
        </w:rPr>
        <w:t xml:space="preserve">C6.1 Problem and design goals</w:t>
      </w:r>
      <w:r>
        <w:rPr>
          <w:sz w:val="21"/>
          <w:szCs w:val="21"/>
        </w:rPr>
        <w:t xml:space="preserve">	17</w:t>
      </w:r>
    </w:p>
    <w:p>
      <w:pPr>
        <w:tabs>
          <w:tab w:val="right" w:pos="9360" w:leader="dot"/>
        </w:tabs>
        <w:spacing w:after="40" w:line="264" w:lineRule="auto"/>
        <w:ind w:left="360"/>
      </w:pPr>
      <w:r>
        <w:rPr>
          <w:b w:val="false"/>
          <w:bCs w:val="false"/>
          <w:color w:val="000000"/>
          <w:sz w:val="21"/>
          <w:szCs w:val="21"/>
        </w:rPr>
        <w:t xml:space="preserve">C6.2 Purpose-to-attribute profile</w:t>
      </w:r>
      <w:r>
        <w:rPr>
          <w:sz w:val="21"/>
          <w:szCs w:val="21"/>
        </w:rPr>
        <w:t xml:space="preserve">	17</w:t>
      </w:r>
    </w:p>
    <w:p>
      <w:pPr>
        <w:tabs>
          <w:tab w:val="right" w:pos="9360" w:leader="dot"/>
        </w:tabs>
        <w:spacing w:after="40" w:line="264" w:lineRule="auto"/>
        <w:ind w:left="360"/>
      </w:pPr>
      <w:r>
        <w:rPr>
          <w:b w:val="false"/>
          <w:bCs w:val="false"/>
          <w:color w:val="000000"/>
          <w:sz w:val="21"/>
          <w:szCs w:val="21"/>
        </w:rPr>
        <w:t xml:space="preserve">C6.3 Predicates and unlinkability</w:t>
      </w:r>
      <w:r>
        <w:rPr>
          <w:sz w:val="21"/>
          <w:szCs w:val="21"/>
        </w:rPr>
        <w:t xml:space="preserve">	18</w:t>
      </w:r>
    </w:p>
    <w:p>
      <w:pPr>
        <w:tabs>
          <w:tab w:val="right" w:pos="9360" w:leader="dot"/>
        </w:tabs>
        <w:spacing w:after="40" w:line="264" w:lineRule="auto"/>
        <w:ind w:left="360"/>
      </w:pPr>
      <w:r>
        <w:rPr>
          <w:b w:val="false"/>
          <w:bCs w:val="false"/>
          <w:color w:val="000000"/>
          <w:sz w:val="21"/>
          <w:szCs w:val="21"/>
        </w:rPr>
        <w:t xml:space="preserve">C6.4 Standards alignment and open questions</w:t>
      </w:r>
      <w:r>
        <w:rPr>
          <w:sz w:val="21"/>
          <w:szCs w:val="21"/>
        </w:rPr>
        <w:t xml:space="preserve">	18</w:t>
      </w:r>
    </w:p>
    <w:p>
      <w:pPr>
        <w:tabs>
          <w:tab w:val="right" w:pos="9360" w:leader="dot"/>
        </w:tabs>
        <w:spacing w:after="40" w:line="264" w:lineRule="auto"/>
        <w:ind w:left="0"/>
      </w:pPr>
      <w:r>
        <w:rPr>
          <w:b/>
          <w:bCs/>
          <w:color w:val="1F3864"/>
          <w:sz w:val="22"/>
          <w:szCs w:val="22"/>
        </w:rPr>
        <w:t xml:space="preserve">Annex — Mapping of contributions to requirements and gaps</w:t>
      </w:r>
      <w:r>
        <w:rPr>
          <w:sz w:val="21"/>
          <w:szCs w:val="21"/>
        </w:rPr>
        <w:t xml:space="preserve">	19</w:t>
      </w:r>
    </w:p>
    <w:p>
      <w:pPr>
        <w:pageBreakBefore/>
      </w:pPr>
    </w:p>
    <w:p>
      <w:pPr>
        <w:pStyle w:val="Heading1"/>
        <w:spacing w:after="140" w:before="320"/>
      </w:pPr>
      <w:r>
        <w:t xml:space="preserve">About this contribution package</w:t>
      </w:r>
    </w:p>
    <w:p>
      <w:pPr>
        <w:spacing w:after="120" w:line="276" w:lineRule="auto"/>
        <w:jc w:val="both"/>
      </w:pPr>
      <w:r>
        <w:rPr>
          <w:sz w:val="24"/>
          <w:szCs w:val="24"/>
        </w:rPr>
        <w:t xml:space="preserve">This deliverable presents the draft standards contributions produced in Phase 2 of the fellowship. It turns the gap analysis of D1.1 and the requirements of D1.2 into concrete artifacts written for specific standards-development organisations. Six contributions are included, spanning the three contribution types called for in the workplan: a use-cases and requirements note, a requirements input, three technical notes, and a profile proposal. Together they provide a dedicated artifact for each of the five Phase-2 priority gaps identified in D1.1.</w:t>
      </w:r>
    </w:p>
    <w:p>
      <w:pPr>
        <w:spacing w:after="120" w:line="276" w:lineRule="auto"/>
        <w:jc w:val="both"/>
      </w:pPr>
      <w:r>
        <w:rPr>
          <w:sz w:val="24"/>
          <w:szCs w:val="24"/>
        </w:rPr>
        <w:t xml:space="preserve">Each contribution is self-contained. It opens with a submission cover block giving its target body, document type, status and intellectual-property terms, and it is written in the idiom that the receiving body expects — W3C-style use cases and requirements, ISO-style requirements using the verbal forms of the ISO/IEC Directives, and engineering technical notes. They can therefore be extracted from this compendium and submitted individually. All are drafts offered for discussion; none has yet been formally submitted. Where a contribution sits at a seam between bodies (notably the credential–token binding note), it is addressed to more than one venue and is intended to be coordinated through liaison.</w:t>
      </w:r>
    </w:p>
    <w:p>
      <w:pPr>
        <w:spacing w:after="120" w:line="276" w:lineRule="auto"/>
        <w:jc w:val="both"/>
      </w:pPr>
      <w:r>
        <w:rPr>
          <w:sz w:val="24"/>
          <w:szCs w:val="24"/>
        </w:rPr>
        <w:t xml:space="preserve">The contributions are intentionally non-custodial and vendor-neutral: they reference existing standards as targets and alignment points and do not mandate any specific ledger, wallet or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900"/>
        <w:gridCol w:w="2660"/>
      </w:tblGrid>
      <w:tr>
        <w:trPr>
          <w:cantSplit/>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Ref</w:t>
            </w:r>
          </w:p>
        </w:tc>
        <w:tc>
          <w:tcPr>
            <w:tcW w:type="dxa" w:w="3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Title</w:t>
            </w:r>
          </w:p>
        </w:tc>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Type</w:t>
            </w:r>
          </w:p>
        </w:tc>
        <w:tc>
          <w:tcPr>
            <w:tcW w:type="dxa" w:w="2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Primary target</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C1</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Tourism Entitlements: Use Cases and Requirements</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Use cases &amp; requirements</w:t>
            </w:r>
          </w:p>
        </w:tc>
        <w:tc>
          <w:tcPr>
            <w:tcW w:type="dxa" w:w="2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VCWG / CCG</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C2</w:t>
            </w:r>
          </w:p>
        </w:tc>
        <w:tc>
          <w:tcPr>
            <w:tcW w:type="dxa" w:w="3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Interoperability Requirements for Tourism Entitlements</w:t>
            </w:r>
          </w:p>
        </w:tc>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Requirements input</w:t>
            </w:r>
          </w:p>
        </w:tc>
        <w:tc>
          <w:tcPr>
            <w:tcW w:type="dxa" w:w="2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 (TS 23516)</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C3</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Credential–Token Binding</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Technical note</w:t>
            </w:r>
          </w:p>
        </w:tc>
        <w:tc>
          <w:tcPr>
            <w:tcW w:type="dxa" w:w="2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CCG; ETSI PDL; ISO 23516</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C4</w:t>
            </w:r>
          </w:p>
        </w:tc>
        <w:tc>
          <w:tcPr>
            <w:tcW w:type="dxa" w:w="3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Offline Verification Profile</w:t>
            </w:r>
          </w:p>
        </w:tc>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Technical note</w:t>
            </w:r>
          </w:p>
        </w:tc>
        <w:tc>
          <w:tcPr>
            <w:tcW w:type="dxa" w:w="2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 Foundation; ISO 18013</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C5</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Tourism Attestation for the EUDI Wallet</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Profile proposal</w:t>
            </w:r>
          </w:p>
        </w:tc>
        <w:tc>
          <w:tcPr>
            <w:tcW w:type="dxa" w:w="2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eIDAS group; ETSI ESI</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C6</w:t>
            </w:r>
          </w:p>
        </w:tc>
        <w:tc>
          <w:tcPr>
            <w:tcW w:type="dxa" w:w="3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Tourism Data-Minimisation Profile</w:t>
            </w:r>
          </w:p>
        </w:tc>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Technical note</w:t>
            </w:r>
          </w:p>
        </w:tc>
        <w:tc>
          <w:tcPr>
            <w:tcW w:type="dxa" w:w="2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 JWG 4; W3C</w:t>
            </w:r>
          </w:p>
        </w:tc>
      </w:tr>
    </w:tbl>
    <w:p>
      <w:pPr>
        <w:pageBreakBefore/>
      </w:pPr>
    </w:p>
    <w:p>
      <w:pPr>
        <w:pStyle w:val="Heading1"/>
        <w:spacing w:after="140" w:before="320"/>
      </w:pPr>
      <w:r>
        <w:t xml:space="preserve">C1. W3C — Tourism Entitlements: Use Cases and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Submission field</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Detail</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Target body</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 Verifiable Credentials Working Group (VCWG) and Credentials Community Group (CCG)</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Document type</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Use cases and requirements (community input)</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Contributor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 KODE de Hugo A Perez S. SL</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Date / status</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 / Draft for discussion</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Related</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D1.1, D1.2; Technical Note C3 (binding)</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IPR / contribution</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Offered as input under the contribution and IPR policies of the W3C (W3C Patent Policy; royalty-free). The author asserts no patent claims over the mechanisms proposed and intends any resulting normative work to be available on royalty-free terms.</w:t>
            </w:r>
          </w:p>
        </w:tc>
      </w:tr>
    </w:tbl>
    <w:p>
      <w:pPr>
        <w:pStyle w:val="Heading2"/>
        <w:spacing w:after="100" w:before="220"/>
      </w:pPr>
      <w:r>
        <w:t xml:space="preserve">C1.1 Abstract and status</w:t>
      </w:r>
    </w:p>
    <w:p>
      <w:pPr>
        <w:spacing w:after="120" w:line="276" w:lineRule="auto"/>
        <w:jc w:val="both"/>
      </w:pPr>
      <w:r>
        <w:rPr>
          <w:sz w:val="24"/>
          <w:szCs w:val="24"/>
        </w:rPr>
        <w:t xml:space="preserve">This document presents four tourism use cases and the requirements they place on the Verifiable Credentials data model, and proposes that the Working Group and Community Group consider (a) adopting the use cases, (b) developing a tourism-entitlement credential profile, and (c) incubating a credential–token binding pattern. It is non-normative community input and does not change any W3C specification.</w:t>
      </w:r>
    </w:p>
    <w:p>
      <w:pPr>
        <w:pStyle w:val="Heading2"/>
        <w:spacing w:after="100" w:before="220"/>
      </w:pPr>
      <w:r>
        <w:t xml:space="preserve">C1.2 Introduction</w:t>
      </w:r>
    </w:p>
    <w:p>
      <w:pPr>
        <w:spacing w:after="120" w:line="276" w:lineRule="auto"/>
        <w:jc w:val="both"/>
      </w:pPr>
      <w:r>
        <w:rPr>
          <w:sz w:val="24"/>
          <w:szCs w:val="24"/>
        </w:rPr>
        <w:t xml:space="preserve">Verifiable Credentials 2.0 provide a mature, royalty-free basis for user-controlled digital credentials. Tourism, however, places demands on credentials that the deliberately generic data model does not address directly: entitlements that are time- and venue-bound, verified at high throughput and often offline, held on behalf of a group, and frequently represented in parallel as ledger tokens. This input describes those demands as use cases and requirements so the community can assess whether a sector profile and a small number of extensions are warranted. The work is positioned to interoperate with the EU Digital Identity Wallet rather than to compete with it.</w:t>
      </w:r>
    </w:p>
    <w:p>
      <w:pPr>
        <w:pStyle w:val="Heading2"/>
        <w:spacing w:after="100" w:before="220"/>
      </w:pPr>
      <w:r>
        <w:t xml:space="preserve">C1.3 Use cases</w:t>
      </w:r>
    </w:p>
    <w:p>
      <w:pPr>
        <w:spacing w:after="120" w:line="276" w:lineRule="auto"/>
        <w:jc w:val="both"/>
      </w:pPr>
      <w:r>
        <w:rPr>
          <w:sz w:val="24"/>
          <w:szCs w:val="24"/>
        </w:rPr>
        <w:t xml:space="preserve">Each use case is given as a short background-and-need statement followed by the requirements it raises. Full formal versions are in D1.2.</w:t>
      </w:r>
    </w:p>
    <w:p>
      <w:pPr>
        <w:pStyle w:val="Heading3"/>
        <w:spacing w:after="80" w:before="160"/>
      </w:pPr>
      <w:r>
        <w:t xml:space="preserve">UC-A — Multi-entry city attractions pass</w:t>
      </w:r>
    </w:p>
    <w:p>
      <w:pPr>
        <w:spacing w:after="120" w:line="276" w:lineRule="auto"/>
        <w:jc w:val="both"/>
      </w:pPr>
      <w:r>
        <w:rPr>
          <w:b/>
          <w:bCs/>
          <w:sz w:val="24"/>
          <w:szCs w:val="24"/>
        </w:rPr>
        <w:t xml:space="preserve">Background and need. </w:t>
      </w:r>
      <w:r>
        <w:rPr>
          <w:sz w:val="24"/>
          <w:szCs w:val="24"/>
        </w:rPr>
        <w:t xml:space="preserve">A traveller holds a multi-day pass covering several attractions, used over time, sometimes where connectivity is poor, and shared within a family but not resold.</w:t>
      </w:r>
    </w:p>
    <w:p>
      <w:pPr>
        <w:spacing w:after="120" w:line="276" w:lineRule="auto"/>
        <w:jc w:val="both"/>
      </w:pPr>
      <w:r>
        <w:rPr>
          <w:b/>
          <w:bCs/>
          <w:sz w:val="24"/>
          <w:szCs w:val="24"/>
        </w:rPr>
        <w:t xml:space="preserve">Raises. </w:t>
      </w:r>
      <w:r>
        <w:rPr>
          <w:sz w:val="24"/>
          <w:szCs w:val="24"/>
        </w:rPr>
        <w:t xml:space="preserve">Platform-independent entitlement credentials; time/venue-bound validity that can be evaluated offline; group holding; non-transferability; privacy-preserving status.</w:t>
      </w:r>
    </w:p>
    <w:p>
      <w:pPr>
        <w:pStyle w:val="Heading3"/>
        <w:spacing w:after="80" w:before="160"/>
      </w:pPr>
      <w:r>
        <w:t xml:space="preserve">UC-B — Cross-border multi-day transport entitlement</w:t>
      </w:r>
    </w:p>
    <w:p>
      <w:pPr>
        <w:spacing w:after="120" w:line="276" w:lineRule="auto"/>
        <w:jc w:val="both"/>
      </w:pPr>
      <w:r>
        <w:rPr>
          <w:b/>
          <w:bCs/>
          <w:sz w:val="24"/>
          <w:szCs w:val="24"/>
        </w:rPr>
        <w:t xml:space="preserve">Background and need. </w:t>
      </w:r>
      <w:r>
        <w:rPr>
          <w:sz w:val="24"/>
          <w:szCs w:val="24"/>
        </w:rPr>
        <w:t xml:space="preserve">A multi-operator, two-country transport entitlement is checked by inspectors, sometimes offline, and must be honoured regardless of issuing operator.</w:t>
      </w:r>
    </w:p>
    <w:p>
      <w:pPr>
        <w:spacing w:after="120" w:line="276" w:lineRule="auto"/>
        <w:jc w:val="both"/>
      </w:pPr>
      <w:r>
        <w:rPr>
          <w:b/>
          <w:bCs/>
          <w:sz w:val="24"/>
          <w:szCs w:val="24"/>
        </w:rPr>
        <w:t xml:space="preserve">Raises. </w:t>
      </w:r>
      <w:r>
        <w:rPr>
          <w:sz w:val="24"/>
          <w:szCs w:val="24"/>
        </w:rPr>
        <w:t xml:space="preserve">Coded, language-independent semantics; cross-border verifiability; offline status; issuer trust at operator scale.</w:t>
      </w:r>
    </w:p>
    <w:p>
      <w:pPr>
        <w:pStyle w:val="Heading3"/>
        <w:spacing w:after="80" w:before="160"/>
      </w:pPr>
      <w:r>
        <w:t xml:space="preserve">UC-C — Hotel check-in with minimal disclosure</w:t>
      </w:r>
    </w:p>
    <w:p>
      <w:pPr>
        <w:spacing w:after="120" w:line="276" w:lineRule="auto"/>
        <w:jc w:val="both"/>
      </w:pPr>
      <w:r>
        <w:rPr>
          <w:b/>
          <w:bCs/>
          <w:sz w:val="24"/>
          <w:szCs w:val="24"/>
        </w:rPr>
        <w:t xml:space="preserve">Background and need. </w:t>
      </w:r>
      <w:r>
        <w:rPr>
          <w:sz w:val="24"/>
          <w:szCs w:val="24"/>
        </w:rPr>
        <w:t xml:space="preserve">At check-in a guest proves identity, legal age and a valid reservation, disclosing only what is necessary, in alignment with the EUDI Wallet.</w:t>
      </w:r>
    </w:p>
    <w:p>
      <w:pPr>
        <w:spacing w:after="120" w:line="276" w:lineRule="auto"/>
        <w:jc w:val="both"/>
      </w:pPr>
      <w:r>
        <w:rPr>
          <w:b/>
          <w:bCs/>
          <w:sz w:val="24"/>
          <w:szCs w:val="24"/>
        </w:rPr>
        <w:t xml:space="preserve">Raises. </w:t>
      </w:r>
      <w:r>
        <w:rPr>
          <w:sz w:val="24"/>
          <w:szCs w:val="24"/>
        </w:rPr>
        <w:t xml:space="preserve">Selective disclosure; minimal attribute sets per purpose; eIDAS-aligned issuer trust.</w:t>
      </w:r>
    </w:p>
    <w:p>
      <w:pPr>
        <w:pStyle w:val="Heading3"/>
        <w:spacing w:after="80" w:before="160"/>
      </w:pPr>
      <w:r>
        <w:t xml:space="preserve">UC-D — Cross-border festival with group tickets</w:t>
      </w:r>
    </w:p>
    <w:p>
      <w:pPr>
        <w:spacing w:after="120" w:line="276" w:lineRule="auto"/>
        <w:jc w:val="both"/>
      </w:pPr>
      <w:r>
        <w:rPr>
          <w:b/>
          <w:bCs/>
          <w:sz w:val="24"/>
          <w:szCs w:val="24"/>
        </w:rPr>
        <w:t xml:space="preserve">Background and need. </w:t>
      </w:r>
      <w:r>
        <w:rPr>
          <w:sz w:val="24"/>
          <w:szCs w:val="24"/>
        </w:rPr>
        <w:t xml:space="preserve">One buyer holds a group’s tickets, redeemed at the gate and again for on-site benefits, with resale constrained and disputes resolvable.</w:t>
      </w:r>
    </w:p>
    <w:p>
      <w:pPr>
        <w:spacing w:after="120" w:line="276" w:lineRule="auto"/>
        <w:jc w:val="both"/>
      </w:pPr>
      <w:r>
        <w:rPr>
          <w:b/>
          <w:bCs/>
          <w:sz w:val="24"/>
          <w:szCs w:val="24"/>
        </w:rPr>
        <w:t xml:space="preserve">Raises. </w:t>
      </w:r>
      <w:r>
        <w:rPr>
          <w:sz w:val="24"/>
          <w:szCs w:val="24"/>
        </w:rPr>
        <w:t xml:space="preserve">Group holding; multi-step redemption; binding between a credential and a ledger token (see C3); auditable, privacy-preserving evidence.</w:t>
      </w:r>
    </w:p>
    <w:p>
      <w:pPr>
        <w:pStyle w:val="Heading2"/>
        <w:spacing w:after="100" w:before="220"/>
      </w:pPr>
      <w:r>
        <w:t xml:space="preserve">C1.4 Derived requirements on Verifiable Credentials</w:t>
      </w:r>
    </w:p>
    <w:p>
      <w:pPr>
        <w:spacing w:after="120" w:line="276" w:lineRule="auto"/>
        <w:jc w:val="both"/>
      </w:pPr>
      <w:r>
        <w:rPr>
          <w:sz w:val="24"/>
          <w:szCs w:val="24"/>
        </w:rPr>
        <w:t xml:space="preserve">The use cases imply the following requirements on the data model or on a tourism profile of it (RFC 2119 key words):</w:t>
      </w:r>
    </w:p>
    <w:p>
      <w:pPr>
        <w:pStyle w:val="ListParagraph"/>
        <w:numPr>
          <w:ilvl w:val="0"/>
          <w:numId w:val="2"/>
        </w:numPr>
        <w:spacing w:after="80" w:line="276" w:lineRule="auto"/>
        <w:jc w:val="both"/>
      </w:pPr>
      <w:r>
        <w:rPr>
          <w:b/>
          <w:bCs/>
          <w:sz w:val="24"/>
          <w:szCs w:val="24"/>
        </w:rPr>
        <w:t xml:space="preserve">R-W3C-1. </w:t>
      </w:r>
      <w:r>
        <w:rPr>
          <w:sz w:val="24"/>
          <w:szCs w:val="24"/>
        </w:rPr>
        <w:t xml:space="preserve">A tourism profile MUST define how an entitlement (ticket, reservation, access right, loyalty) is expressed as a credential type with the attributes the use cases require. (D1.2 TW-F-01.)</w:t>
      </w:r>
    </w:p>
    <w:p>
      <w:pPr>
        <w:pStyle w:val="ListParagraph"/>
        <w:numPr>
          <w:ilvl w:val="0"/>
          <w:numId w:val="2"/>
        </w:numPr>
        <w:spacing w:after="80" w:line="276" w:lineRule="auto"/>
        <w:jc w:val="both"/>
      </w:pPr>
      <w:r>
        <w:rPr>
          <w:b/>
          <w:bCs/>
          <w:sz w:val="24"/>
          <w:szCs w:val="24"/>
        </w:rPr>
        <w:t xml:space="preserve">R-W3C-2. </w:t>
      </w:r>
      <w:r>
        <w:rPr>
          <w:sz w:val="24"/>
          <w:szCs w:val="24"/>
        </w:rPr>
        <w:t xml:space="preserve">An entitlement MUST be able to carry machine-evaluable validity constraints — a time window and a venue or scope — that a verifier can evaluate deterministically and offline. (TW-F-04.)</w:t>
      </w:r>
    </w:p>
    <w:p>
      <w:pPr>
        <w:pStyle w:val="ListParagraph"/>
        <w:numPr>
          <w:ilvl w:val="0"/>
          <w:numId w:val="2"/>
        </w:numPr>
        <w:spacing w:after="80" w:line="276" w:lineRule="auto"/>
        <w:jc w:val="both"/>
      </w:pPr>
      <w:r>
        <w:rPr>
          <w:b/>
          <w:bCs/>
          <w:sz w:val="24"/>
          <w:szCs w:val="24"/>
        </w:rPr>
        <w:t xml:space="preserve">R-W3C-3. </w:t>
      </w:r>
      <w:r>
        <w:rPr>
          <w:sz w:val="24"/>
          <w:szCs w:val="24"/>
        </w:rPr>
        <w:t xml:space="preserve">Presentation MUST support selective disclosure of only the attributes required for a stated purpose. (TW-F-07.)</w:t>
      </w:r>
    </w:p>
    <w:p>
      <w:pPr>
        <w:pStyle w:val="ListParagraph"/>
        <w:numPr>
          <w:ilvl w:val="0"/>
          <w:numId w:val="2"/>
        </w:numPr>
        <w:spacing w:after="80" w:line="276" w:lineRule="auto"/>
        <w:jc w:val="both"/>
      </w:pPr>
      <w:r>
        <w:rPr>
          <w:b/>
          <w:bCs/>
          <w:sz w:val="24"/>
          <w:szCs w:val="24"/>
        </w:rPr>
        <w:t xml:space="preserve">R-W3C-4. </w:t>
      </w:r>
      <w:r>
        <w:rPr>
          <w:sz w:val="24"/>
          <w:szCs w:val="24"/>
        </w:rPr>
        <w:t xml:space="preserve">The model SHOULD support a holder presenting entitlements bound to other beneficiaries, with verifiable linkage. (TW-F-06.)</w:t>
      </w:r>
    </w:p>
    <w:p>
      <w:pPr>
        <w:pStyle w:val="ListParagraph"/>
        <w:numPr>
          <w:ilvl w:val="0"/>
          <w:numId w:val="2"/>
        </w:numPr>
        <w:spacing w:after="80" w:line="276" w:lineRule="auto"/>
        <w:jc w:val="both"/>
      </w:pPr>
      <w:r>
        <w:rPr>
          <w:b/>
          <w:bCs/>
          <w:sz w:val="24"/>
          <w:szCs w:val="24"/>
        </w:rPr>
        <w:t xml:space="preserve">R-W3C-5. </w:t>
      </w:r>
      <w:r>
        <w:rPr>
          <w:sz w:val="24"/>
          <w:szCs w:val="24"/>
        </w:rPr>
        <w:t xml:space="preserve">Status (revocation/suspension) SHOULD be checkable in a privacy-preserving and offline-tolerant way; Bitstring Status List is the natural basis. (TW-SP-04, TW-SP-02.)</w:t>
      </w:r>
    </w:p>
    <w:p>
      <w:pPr>
        <w:pStyle w:val="ListParagraph"/>
        <w:numPr>
          <w:ilvl w:val="0"/>
          <w:numId w:val="2"/>
        </w:numPr>
        <w:spacing w:after="80" w:line="276" w:lineRule="auto"/>
        <w:jc w:val="both"/>
      </w:pPr>
      <w:r>
        <w:rPr>
          <w:b/>
          <w:bCs/>
          <w:sz w:val="24"/>
          <w:szCs w:val="24"/>
        </w:rPr>
        <w:t xml:space="preserve">R-W3C-6. </w:t>
      </w:r>
      <w:r>
        <w:rPr>
          <w:sz w:val="24"/>
          <w:szCs w:val="24"/>
        </w:rPr>
        <w:t xml:space="preserve">Where an entitlement also exists as a ledger token, a standard binding SHOULD allow a verifier to confirm both representations refer to the same entitlement (incubation item; see C3). (TW-F-03.)</w:t>
      </w:r>
    </w:p>
    <w:p>
      <w:pPr>
        <w:pStyle w:val="Heading2"/>
        <w:spacing w:after="100" w:before="220"/>
      </w:pPr>
      <w:r>
        <w:t xml:space="preserve">C1.5 Proposed next steps for the Working Group</w:t>
      </w:r>
    </w:p>
    <w:p>
      <w:pPr>
        <w:spacing w:after="120" w:line="276" w:lineRule="auto"/>
        <w:jc w:val="both"/>
      </w:pPr>
      <w:r>
        <w:rPr>
          <w:sz w:val="24"/>
          <w:szCs w:val="24"/>
        </w:rPr>
        <w:t xml:space="preserve">The contributor proposes that the community: adopt UC-A to UC-D into the use-case material; open discussion on a TourismEntitlement credential type and the expression of validity and venue scope; consider whether group/delegated holding needs data-model support or can be met by profiling; and incubate the credential–token binding pattern in the CCG, with liaison to ETSI ISG PDL and ISO/TC 307. The contributor is available to edit a use-case note and to provide a reference implementation as evidence.</w:t>
      </w:r>
    </w:p>
    <w:p>
      <w:pPr>
        <w:pageBreakBefore/>
      </w:pPr>
    </w:p>
    <w:p>
      <w:pPr>
        <w:pStyle w:val="Heading1"/>
        <w:spacing w:after="140" w:before="320"/>
      </w:pPr>
      <w:r>
        <w:t xml:space="preserve">C2. ISO/TC 307 — Interoperability Requirements for Tourism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Submission field</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Detail</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Target body</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 — WG 7 (Interoperability), targeting ISO/TS 23516; with a note to ISO/AWI 7603</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Document type</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Requirements contribution (input to a work item)</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Contributor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 KODE de Hugo A Perez S. SL</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Date / status</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 / Draft for discussion</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Drafting convention</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ISO/IEC Directives Part 2 verbal forms (shall/should/may)</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IPR / contribution</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Offered as input under the contribution and IPR policies of ISO/TC 307 (national-body contribution process). The author asserts no patent claims over the mechanisms proposed and intends any resulting normative work to be available on royalty-free terms.</w:t>
            </w:r>
          </w:p>
        </w:tc>
      </w:tr>
    </w:tbl>
    <w:p>
      <w:pPr>
        <w:pStyle w:val="Heading2"/>
        <w:spacing w:after="100" w:before="220"/>
      </w:pPr>
      <w:r>
        <w:t xml:space="preserve">C2.1 Scope</w:t>
      </w:r>
    </w:p>
    <w:p>
      <w:pPr>
        <w:spacing w:after="120" w:line="276" w:lineRule="auto"/>
        <w:jc w:val="both"/>
      </w:pPr>
      <w:r>
        <w:rPr>
          <w:sz w:val="24"/>
          <w:szCs w:val="24"/>
        </w:rPr>
        <w:t xml:space="preserve">This contribution specifies interoperability requirements for representing and verifying tourism entitlements across distributed-ledger and credential systems and across national borders. It is offered as input to the interoperability framework (ISO/TS 23516). It does not specify a ledger, a wallet, or a credential format; it states the interoperability properties that conforming systems are required to exhibit.</w:t>
      </w:r>
    </w:p>
    <w:p>
      <w:pPr>
        <w:pStyle w:val="Heading2"/>
        <w:spacing w:after="100" w:before="220"/>
      </w:pPr>
      <w:r>
        <w:t xml:space="preserve">C2.2 References and terms</w:t>
      </w:r>
    </w:p>
    <w:p>
      <w:pPr>
        <w:spacing w:after="120" w:line="276" w:lineRule="auto"/>
        <w:jc w:val="both"/>
      </w:pPr>
      <w:r>
        <w:rPr>
          <w:sz w:val="24"/>
          <w:szCs w:val="24"/>
        </w:rPr>
        <w:t xml:space="preserve">Normative references include ISO 22739 (vocabulary) and ISO 23257 (reference architecture); informative references include the W3C Verifiable Credentials Data Model 2.0, the Chain Agnostic Improvement Proposals (CAIP) for ledger-agnostic identifiers, and Regulation (EU) 2024/1183. The terms entitlement, holder, issuer, verifier, binding and entitlement identifier are used as defined in D1.2, clause 3.</w:t>
      </w:r>
    </w:p>
    <w:p>
      <w:pPr>
        <w:pStyle w:val="Heading2"/>
        <w:spacing w:after="100" w:before="220"/>
      </w:pPr>
      <w:r>
        <w:t xml:space="preserve">C2.3 Requirements</w:t>
      </w:r>
    </w:p>
    <w:p>
      <w:pPr>
        <w:spacing w:after="120" w:line="276" w:lineRule="auto"/>
        <w:jc w:val="both"/>
      </w:pPr>
      <w:r>
        <w:rPr>
          <w:b/>
          <w:bCs/>
          <w:sz w:val="24"/>
          <w:szCs w:val="24"/>
        </w:rPr>
        <w:t xml:space="preserve">INT-1. </w:t>
      </w:r>
      <w:r>
        <w:rPr>
          <w:sz w:val="24"/>
          <w:szCs w:val="24"/>
        </w:rPr>
        <w:t xml:space="preserve">The interoperability framework shall define a ledger-agnostic identifier for an entitlement, such that the same entitlement can be referenced independently of the system in which it is recorded.</w:t>
      </w:r>
    </w:p>
    <w:p>
      <w:pPr>
        <w:spacing w:after="120" w:line="276" w:lineRule="auto"/>
        <w:jc w:val="both"/>
      </w:pPr>
      <w:r>
        <w:rPr>
          <w:b/>
          <w:bCs/>
          <w:sz w:val="24"/>
          <w:szCs w:val="24"/>
        </w:rPr>
        <w:t xml:space="preserve">INT-2. </w:t>
      </w:r>
      <w:r>
        <w:rPr>
          <w:sz w:val="24"/>
          <w:szCs w:val="24"/>
        </w:rPr>
        <w:t xml:space="preserve">The framework shall define a verifiable binding between a credential representation and a ledger-token representation of the same entitlement, enabling a verifier to confirm equivalence without trusting a single system (see Technical Note C3).</w:t>
      </w:r>
    </w:p>
    <w:p>
      <w:pPr>
        <w:spacing w:after="120" w:line="276" w:lineRule="auto"/>
        <w:jc w:val="both"/>
      </w:pPr>
      <w:r>
        <w:rPr>
          <w:b/>
          <w:bCs/>
          <w:sz w:val="24"/>
          <w:szCs w:val="24"/>
        </w:rPr>
        <w:t xml:space="preserve">INT-3. </w:t>
      </w:r>
      <w:r>
        <w:rPr>
          <w:sz w:val="24"/>
          <w:szCs w:val="24"/>
        </w:rPr>
        <w:t xml:space="preserve">An entitlement shall carry validity constraints (time window and venue or scope) that a verifier can evaluate deterministically, including without network connectivity.</w:t>
      </w:r>
    </w:p>
    <w:p>
      <w:pPr>
        <w:spacing w:after="120" w:line="276" w:lineRule="auto"/>
        <w:jc w:val="both"/>
      </w:pPr>
      <w:r>
        <w:rPr>
          <w:b/>
          <w:bCs/>
          <w:sz w:val="24"/>
          <w:szCs w:val="24"/>
        </w:rPr>
        <w:t xml:space="preserve">INT-4. </w:t>
      </w:r>
      <w:r>
        <w:rPr>
          <w:sz w:val="24"/>
          <w:szCs w:val="24"/>
        </w:rPr>
        <w:t xml:space="preserve">Cross-system verification shall not require the verifier to use a specific ledger, vendor or proprietary interface.</w:t>
      </w:r>
    </w:p>
    <w:p>
      <w:pPr>
        <w:spacing w:after="120" w:line="276" w:lineRule="auto"/>
        <w:jc w:val="both"/>
      </w:pPr>
      <w:r>
        <w:rPr>
          <w:b/>
          <w:bCs/>
          <w:sz w:val="24"/>
          <w:szCs w:val="24"/>
        </w:rPr>
        <w:t xml:space="preserve">INT-5. </w:t>
      </w:r>
      <w:r>
        <w:rPr>
          <w:sz w:val="24"/>
          <w:szCs w:val="24"/>
        </w:rPr>
        <w:t xml:space="preserve">Entitlement semantics should be coded and language-independent so that an entitlement issued under one national scheme can be verified, unchanged, under another.</w:t>
      </w:r>
    </w:p>
    <w:p>
      <w:pPr>
        <w:spacing w:after="120" w:line="276" w:lineRule="auto"/>
        <w:jc w:val="both"/>
      </w:pPr>
      <w:r>
        <w:rPr>
          <w:b/>
          <w:bCs/>
          <w:sz w:val="24"/>
          <w:szCs w:val="24"/>
        </w:rPr>
        <w:t xml:space="preserve">INT-6. </w:t>
      </w:r>
      <w:r>
        <w:rPr>
          <w:sz w:val="24"/>
          <w:szCs w:val="24"/>
        </w:rPr>
        <w:t xml:space="preserve">Status information (revocation, suspension, redemption) should be verifiable in a privacy-preserving and offline-tolerant manner.</w:t>
      </w:r>
    </w:p>
    <w:p>
      <w:pPr>
        <w:spacing w:after="120" w:line="276" w:lineRule="auto"/>
        <w:jc w:val="both"/>
      </w:pPr>
      <w:r>
        <w:rPr>
          <w:b/>
          <w:bCs/>
          <w:sz w:val="24"/>
          <w:szCs w:val="24"/>
        </w:rPr>
        <w:t xml:space="preserve">INT-7. </w:t>
      </w:r>
      <w:r>
        <w:rPr>
          <w:sz w:val="24"/>
          <w:szCs w:val="24"/>
        </w:rPr>
        <w:t xml:space="preserve">The framework should define conformance criteria and a test approach by which an implementation can be assessed against INT-1 to INT-6.</w:t>
      </w:r>
    </w:p>
    <w:p>
      <w:pPr>
        <w:pStyle w:val="Heading2"/>
        <w:spacing w:after="100" w:before="220"/>
      </w:pPr>
      <w:r>
        <w:t xml:space="preserve">C2.4 Note to ISO/AWI 7603</w:t>
      </w:r>
    </w:p>
    <w:p>
      <w:pPr>
        <w:spacing w:after="120" w:line="276" w:lineRule="auto"/>
        <w:jc w:val="both"/>
      </w:pPr>
      <w:r>
        <w:rPr>
          <w:sz w:val="24"/>
          <w:szCs w:val="24"/>
        </w:rPr>
        <w:t xml:space="preserve">ISO/AWI 7603 (decentralized identity for the identification of subjects and objects, developed in conjunction with W3C Verifiable Credentials) is a natural home for the identity aspects of tourism wallets. The contributor proposes that tourism be considered as an application domain, and that the standard reflect two properties the sector requires: that the holder shall retain sole, revocable control of keys and credentials (non-custodial control), and that recovery after device loss shall be possible without transferring custody to a third party. These correspond to D1.2 requirements TW-TL-01 and TW-TL-02.</w:t>
      </w:r>
    </w:p>
    <w:p>
      <w:pPr>
        <w:pageBreakBefore/>
      </w:pPr>
    </w:p>
    <w:p>
      <w:pPr>
        <w:pStyle w:val="Heading1"/>
        <w:spacing w:after="140" w:before="320"/>
      </w:pPr>
      <w:r>
        <w:t xml:space="preserve">C3. Technical Note — Credential–Token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Submission field</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Detail</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Target body</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Credentials Community Group (incubation); ETSI ISG PDL; ISO/TC 307 (ISO/TS 23516)</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Document type</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Technical note</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Contributor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 KODE de Hugo A Perez S. SL</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Date / status</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 / Draft for discussion</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Addresses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D1.1 gap G1; D1.2 requirement TW-F-03 (Phase-2 priority)</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IPR / contribution</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Offered as input under the contribution and IPR policies of the receiving bodies (royalty-free intent). The author asserts no patent claims over the mechanisms proposed and intends any resulting normative work to be available on royalty-free terms.</w:t>
            </w:r>
          </w:p>
        </w:tc>
      </w:tr>
    </w:tbl>
    <w:p>
      <w:pPr>
        <w:pStyle w:val="Heading2"/>
        <w:spacing w:after="100" w:before="220"/>
      </w:pPr>
      <w:r>
        <w:t xml:space="preserve">C3.1 Problem and design goals</w:t>
      </w:r>
    </w:p>
    <w:p>
      <w:pPr>
        <w:spacing w:after="120" w:line="276" w:lineRule="auto"/>
        <w:jc w:val="both"/>
      </w:pPr>
      <w:r>
        <w:rPr>
          <w:sz w:val="24"/>
          <w:szCs w:val="24"/>
        </w:rPr>
        <w:t xml:space="preserve">A tourism entitlement is often represented twice: as a Verifiable Credential, which carries issuer trust, selective disclosure and revocation, and as a ledger token (for example an ERC-721 or ERC-6672), which carries programmable transfer and on-chain redemption. No standard ties the two, so an entitlement is forced into one representation and loses the benefits of the other, and a verifier cannot confirm that a credential and a token denote the same right. This note proposes a verifiable, ledger-agnostic binding between the two representations.</w:t>
      </w:r>
    </w:p>
    <w:p>
      <w:pPr>
        <w:spacing w:after="120" w:line="276" w:lineRule="auto"/>
        <w:jc w:val="both"/>
      </w:pPr>
      <w:r>
        <w:rPr>
          <w:sz w:val="24"/>
          <w:szCs w:val="24"/>
        </w:rPr>
        <w:t xml:space="preserve">Design goals: the binding shall be (1) ledger-agnostic — not tied to a specific chain or vendor; (2) mutual — each representation commits to the other; (3) issuer-authoritative — a verifier can confirm the same issuer authored both; (4) offline-friendly — the credential alone suffices for an entry decision, with token reconciliation deferred; (5) privacy-preserving — the binding does not introduce a stable cross-context identifier for the holder; and (6) economical — minimal data is placed on-chain.</w:t>
      </w:r>
    </w:p>
    <w:p>
      <w:pPr>
        <w:pStyle w:val="Heading2"/>
        <w:spacing w:after="100" w:before="220"/>
      </w:pPr>
      <w:r>
        <w:t xml:space="preserve">C3.2 Binding mechanism</w:t>
      </w:r>
    </w:p>
    <w:p>
      <w:pPr>
        <w:spacing w:after="120" w:line="276" w:lineRule="auto"/>
        <w:jc w:val="both"/>
      </w:pPr>
      <w:r>
        <w:rPr>
          <w:sz w:val="24"/>
          <w:szCs w:val="24"/>
        </w:rPr>
        <w:t xml:space="preserve">The mechanism has four elements.</w:t>
      </w:r>
    </w:p>
    <w:p>
      <w:pPr>
        <w:pStyle w:val="ListParagraph"/>
        <w:numPr>
          <w:ilvl w:val="0"/>
          <w:numId w:val="2"/>
        </w:numPr>
        <w:spacing w:after="80" w:line="276" w:lineRule="auto"/>
        <w:jc w:val="both"/>
      </w:pPr>
      <w:r>
        <w:rPr>
          <w:b/>
          <w:bCs/>
          <w:sz w:val="24"/>
          <w:szCs w:val="24"/>
        </w:rPr>
        <w:t xml:space="preserve">Entitlement identifier (EID). </w:t>
      </w:r>
      <w:r>
        <w:rPr>
          <w:sz w:val="24"/>
          <w:szCs w:val="24"/>
        </w:rPr>
        <w:t xml:space="preserve">A stable, ledger-agnostic identifier for the entitlement (for example a URN), generated per entitlement and not derived from holder identity.</w:t>
      </w:r>
    </w:p>
    <w:p>
      <w:pPr>
        <w:pStyle w:val="ListParagraph"/>
        <w:numPr>
          <w:ilvl w:val="0"/>
          <w:numId w:val="2"/>
        </w:numPr>
        <w:spacing w:after="80" w:line="276" w:lineRule="auto"/>
        <w:jc w:val="both"/>
      </w:pPr>
      <w:r>
        <w:rPr>
          <w:b/>
          <w:bCs/>
          <w:sz w:val="24"/>
          <w:szCs w:val="24"/>
        </w:rPr>
        <w:t xml:space="preserve">Credential-to-token reference. </w:t>
      </w:r>
      <w:r>
        <w:rPr>
          <w:sz w:val="24"/>
          <w:szCs w:val="24"/>
        </w:rPr>
        <w:t xml:space="preserve">The credential carries the token’s ledger-agnostic locator using a CAIP-19 asset identifier, together with a cryptographic digest (a commitment) of the token’s canonical descriptor. This lets a verifier locate and check the token, but the credential remains usable offline without doing so.</w:t>
      </w:r>
    </w:p>
    <w:p>
      <w:pPr>
        <w:pStyle w:val="ListParagraph"/>
        <w:numPr>
          <w:ilvl w:val="0"/>
          <w:numId w:val="2"/>
        </w:numPr>
        <w:spacing w:after="80" w:line="276" w:lineRule="auto"/>
        <w:jc w:val="both"/>
      </w:pPr>
      <w:r>
        <w:rPr>
          <w:b/>
          <w:bCs/>
          <w:sz w:val="24"/>
          <w:szCs w:val="24"/>
        </w:rPr>
        <w:t xml:space="preserve">Token-to-credential commitment. </w:t>
      </w:r>
      <w:r>
        <w:rPr>
          <w:sz w:val="24"/>
          <w:szCs w:val="24"/>
        </w:rPr>
        <w:t xml:space="preserve">The token carries, on-chain or in its token metadata, the EID and a digest of the credential (its identifier plus a hash of its canonical form) and the issuer identifier. Only a fixed-size digest is stored, keeping the on-chain footprint minimal and avoiding personal data on-chain.</w:t>
      </w:r>
    </w:p>
    <w:p>
      <w:pPr>
        <w:pStyle w:val="ListParagraph"/>
        <w:numPr>
          <w:ilvl w:val="0"/>
          <w:numId w:val="2"/>
        </w:numPr>
        <w:spacing w:after="80" w:line="276" w:lineRule="auto"/>
        <w:jc w:val="both"/>
      </w:pPr>
      <w:r>
        <w:rPr>
          <w:b/>
          <w:bCs/>
          <w:sz w:val="24"/>
          <w:szCs w:val="24"/>
        </w:rPr>
        <w:t xml:space="preserve">Issuer-authority linkage. </w:t>
      </w:r>
      <w:r>
        <w:rPr>
          <w:sz w:val="24"/>
          <w:szCs w:val="24"/>
        </w:rPr>
        <w:t xml:space="preserve">The issuer’s DID is linked to the on-chain minting account so a verifier can confirm a single authority produced both representations — for example by the issuer publishing, in its DID document or a signed statement, the CAIP-10 account identifier of the minter (a did:pkh-style assertion).</w:t>
      </w:r>
    </w:p>
    <w:p>
      <w:pPr>
        <w:pStyle w:val="Heading2"/>
        <w:spacing w:after="100" w:before="220"/>
      </w:pPr>
      <w:r>
        <w:t xml:space="preserve">C3.3 Illustrative example</w:t>
      </w:r>
    </w:p>
    <w:p>
      <w:pPr>
        <w:spacing w:after="120" w:line="276" w:lineRule="auto"/>
        <w:jc w:val="both"/>
      </w:pPr>
      <w:r>
        <w:rPr>
          <w:sz w:val="24"/>
          <w:szCs w:val="24"/>
        </w:rPr>
        <w:t xml:space="preserve">The following non-normative excerpts show the binding fields. Identifiers are abbreviated.</w:t>
      </w:r>
    </w:p>
    <w:p>
      <w:pPr>
        <w:shd w:fill="F1F3F5" w:val="clear"/>
        <w:spacing w:after="0" w:line="240" w:lineRule="auto"/>
        <w:ind w:left="160" w:right="160"/>
      </w:pPr>
      <w:r>
        <w:rPr>
          <w:rFonts w:ascii="Courier New" w:cs="Courier New" w:eastAsia="Courier New" w:hAnsi="Courier New"/>
          <w:sz w:val="17"/>
          <w:szCs w:val="17"/>
        </w:rPr>
        <w:t xml:space="preserve">// Verifiable Credential (excerpt) — W3C VC Data Model 2.0</w:t>
      </w:r>
    </w:p>
    <w:p>
      <w:pPr>
        <w:shd w:fill="F1F3F5" w:val="clear"/>
        <w:spacing w:after="0" w:line="240" w:lineRule="auto"/>
        <w:ind w:left="160" w:right="160"/>
      </w:pPr>
      <w:r>
        <w:rPr>
          <w:rFonts w:ascii="Courier New" w:cs="Courier New" w:eastAsia="Courier New" w:hAnsi="Courier New"/>
          <w:sz w:val="17"/>
          <w:szCs w:val="17"/>
        </w:rPr>
        <w:t xml:space="preserve">{</w:t>
      </w:r>
    </w:p>
    <w:p>
      <w:pPr>
        <w:shd w:fill="F1F3F5" w:val="clear"/>
        <w:spacing w:after="0" w:line="240" w:lineRule="auto"/>
        <w:ind w:left="160" w:right="160"/>
      </w:pPr>
      <w:r>
        <w:rPr>
          <w:rFonts w:ascii="Courier New" w:cs="Courier New" w:eastAsia="Courier New" w:hAnsi="Courier New"/>
          <w:sz w:val="17"/>
          <w:szCs w:val="17"/>
        </w:rPr>
        <w:t xml:space="preserve">  "@context": ["https://www.w3.org/ns/credentials/v2"],</w:t>
      </w:r>
    </w:p>
    <w:p>
      <w:pPr>
        <w:shd w:fill="F1F3F5" w:val="clear"/>
        <w:spacing w:after="0" w:line="240" w:lineRule="auto"/>
        <w:ind w:left="160" w:right="160"/>
      </w:pPr>
      <w:r>
        <w:rPr>
          <w:rFonts w:ascii="Courier New" w:cs="Courier New" w:eastAsia="Courier New" w:hAnsi="Courier New"/>
          <w:sz w:val="17"/>
          <w:szCs w:val="17"/>
        </w:rPr>
        <w:t xml:space="preserve">  "type": ["VerifiableCredential", "TourismEntitlement"],</w:t>
      </w:r>
    </w:p>
    <w:p>
      <w:pPr>
        <w:shd w:fill="F1F3F5" w:val="clear"/>
        <w:spacing w:after="0" w:line="240" w:lineRule="auto"/>
        <w:ind w:left="160" w:right="160"/>
      </w:pPr>
      <w:r>
        <w:rPr>
          <w:rFonts w:ascii="Courier New" w:cs="Courier New" w:eastAsia="Courier New" w:hAnsi="Courier New"/>
          <w:sz w:val="17"/>
          <w:szCs w:val="17"/>
        </w:rPr>
        <w:t xml:space="preserve">  "issuer": "did:web:passes.example-city.eu",</w:t>
      </w:r>
    </w:p>
    <w:p>
      <w:pPr>
        <w:shd w:fill="F1F3F5" w:val="clear"/>
        <w:spacing w:after="0" w:line="240" w:lineRule="auto"/>
        <w:ind w:left="160" w:right="160"/>
      </w:pPr>
      <w:r>
        <w:rPr>
          <w:rFonts w:ascii="Courier New" w:cs="Courier New" w:eastAsia="Courier New" w:hAnsi="Courier New"/>
          <w:sz w:val="17"/>
          <w:szCs w:val="17"/>
        </w:rPr>
        <w:t xml:space="preserve">  "validFrom":  "2026-06-01T00:00:00Z",</w:t>
      </w:r>
    </w:p>
    <w:p>
      <w:pPr>
        <w:shd w:fill="F1F3F5" w:val="clear"/>
        <w:spacing w:after="0" w:line="240" w:lineRule="auto"/>
        <w:ind w:left="160" w:right="160"/>
      </w:pPr>
      <w:r>
        <w:rPr>
          <w:rFonts w:ascii="Courier New" w:cs="Courier New" w:eastAsia="Courier New" w:hAnsi="Courier New"/>
          <w:sz w:val="17"/>
          <w:szCs w:val="17"/>
        </w:rPr>
        <w:t xml:space="preserve">  "validUntil": "2026-06-04T00:00:00Z",</w:t>
      </w:r>
    </w:p>
    <w:p>
      <w:pPr>
        <w:shd w:fill="F1F3F5" w:val="clear"/>
        <w:spacing w:after="0" w:line="240" w:lineRule="auto"/>
        <w:ind w:left="160" w:right="160"/>
      </w:pPr>
      <w:r>
        <w:rPr>
          <w:rFonts w:ascii="Courier New" w:cs="Courier New" w:eastAsia="Courier New" w:hAnsi="Courier New"/>
          <w:sz w:val="17"/>
          <w:szCs w:val="17"/>
        </w:rPr>
        <w:t xml:space="preserve">  "credentialSubject": {</w:t>
      </w:r>
    </w:p>
    <w:p>
      <w:pPr>
        <w:shd w:fill="F1F3F5" w:val="clear"/>
        <w:spacing w:after="0" w:line="240" w:lineRule="auto"/>
        <w:ind w:left="160" w:right="160"/>
      </w:pPr>
      <w:r>
        <w:rPr>
          <w:rFonts w:ascii="Courier New" w:cs="Courier New" w:eastAsia="Courier New" w:hAnsi="Courier New"/>
          <w:sz w:val="17"/>
          <w:szCs w:val="17"/>
        </w:rPr>
        <w:t xml:space="preserve">    "entitlementId": "urn:tw:eid:5f3a-...-c91",</w:t>
      </w:r>
    </w:p>
    <w:p>
      <w:pPr>
        <w:shd w:fill="F1F3F5" w:val="clear"/>
        <w:spacing w:after="0" w:line="240" w:lineRule="auto"/>
        <w:ind w:left="160" w:right="160"/>
      </w:pPr>
      <w:r>
        <w:rPr>
          <w:rFonts w:ascii="Courier New" w:cs="Courier New" w:eastAsia="Courier New" w:hAnsi="Courier New"/>
          <w:sz w:val="17"/>
          <w:szCs w:val="17"/>
        </w:rPr>
        <w:t xml:space="preserve">    "entitlementType": "city-attractions-pass",</w:t>
      </w:r>
    </w:p>
    <w:p>
      <w:pPr>
        <w:shd w:fill="F1F3F5" w:val="clear"/>
        <w:spacing w:after="0" w:line="240" w:lineRule="auto"/>
        <w:ind w:left="160" w:right="160"/>
      </w:pPr>
      <w:r>
        <w:rPr>
          <w:rFonts w:ascii="Courier New" w:cs="Courier New" w:eastAsia="Courier New" w:hAnsi="Courier New"/>
          <w:sz w:val="17"/>
          <w:szCs w:val="17"/>
        </w:rPr>
        <w:t xml:space="preserve">    "venueScope": ["museum-a", "museum-b", "gallery-c"],</w:t>
      </w:r>
    </w:p>
    <w:p>
      <w:pPr>
        <w:shd w:fill="F1F3F5" w:val="clear"/>
        <w:spacing w:after="0" w:line="240" w:lineRule="auto"/>
        <w:ind w:left="160" w:right="160"/>
      </w:pPr>
      <w:r>
        <w:rPr>
          <w:rFonts w:ascii="Courier New" w:cs="Courier New" w:eastAsia="Courier New" w:hAnsi="Courier New"/>
          <w:sz w:val="17"/>
          <w:szCs w:val="17"/>
        </w:rPr>
        <w:t xml:space="preserve">    "boundToken": {</w:t>
      </w:r>
    </w:p>
    <w:p>
      <w:pPr>
        <w:shd w:fill="F1F3F5" w:val="clear"/>
        <w:spacing w:after="0" w:line="240" w:lineRule="auto"/>
        <w:ind w:left="160" w:right="160"/>
      </w:pPr>
      <w:r>
        <w:rPr>
          <w:rFonts w:ascii="Courier New" w:cs="Courier New" w:eastAsia="Courier New" w:hAnsi="Courier New"/>
          <w:sz w:val="17"/>
          <w:szCs w:val="17"/>
        </w:rPr>
        <w:t xml:space="preserve">      "asset": "eip155:1/erc721:0xABCD...1234/77",  // CAIP-19</w:t>
      </w:r>
    </w:p>
    <w:p>
      <w:pPr>
        <w:shd w:fill="F1F3F5" w:val="clear"/>
        <w:spacing w:after="0" w:line="240" w:lineRule="auto"/>
        <w:ind w:left="160" w:right="160"/>
      </w:pPr>
      <w:r>
        <w:rPr>
          <w:rFonts w:ascii="Courier New" w:cs="Courier New" w:eastAsia="Courier New" w:hAnsi="Courier New"/>
          <w:sz w:val="17"/>
          <w:szCs w:val="17"/>
        </w:rPr>
        <w:t xml:space="preserve">      "descriptorDigest": "sha-256:9f86d0...c0e8"   // commitment</w:t>
      </w:r>
    </w:p>
    <w:p>
      <w:pPr>
        <w:shd w:fill="F1F3F5" w:val="clear"/>
        <w:spacing w:after="0" w:line="240" w:lineRule="auto"/>
        <w:ind w:left="160" w:right="160"/>
      </w:pPr>
      <w:r>
        <w:rPr>
          <w:rFonts w:ascii="Courier New" w:cs="Courier New" w:eastAsia="Courier New" w:hAnsi="Courier New"/>
          <w:sz w:val="17"/>
          <w:szCs w:val="17"/>
        </w:rPr>
        <w:t xml:space="preserve">    }</w:t>
      </w:r>
    </w:p>
    <w:p>
      <w:pPr>
        <w:shd w:fill="F1F3F5" w:val="clear"/>
        <w:spacing w:after="0" w:line="240" w:lineRule="auto"/>
        <w:ind w:left="160" w:right="160"/>
      </w:pPr>
      <w:r>
        <w:rPr>
          <w:rFonts w:ascii="Courier New" w:cs="Courier New" w:eastAsia="Courier New" w:hAnsi="Courier New"/>
          <w:sz w:val="17"/>
          <w:szCs w:val="17"/>
        </w:rPr>
        <w:t xml:space="preserve">  },</w:t>
      </w:r>
    </w:p>
    <w:p>
      <w:pPr>
        <w:shd w:fill="F1F3F5" w:val="clear"/>
        <w:spacing w:after="0" w:line="240" w:lineRule="auto"/>
        <w:ind w:left="160" w:right="160"/>
      </w:pPr>
      <w:r>
        <w:rPr>
          <w:rFonts w:ascii="Courier New" w:cs="Courier New" w:eastAsia="Courier New" w:hAnsi="Courier New"/>
          <w:sz w:val="17"/>
          <w:szCs w:val="17"/>
        </w:rPr>
        <w:t xml:space="preserve">  "credentialStatus": { "type": "BitstringStatusListEntry", "...": "..." }</w:t>
      </w:r>
    </w:p>
    <w:p>
      <w:pPr>
        <w:shd w:fill="F1F3F5" w:val="clear"/>
        <w:spacing w:after="0" w:line="240" w:lineRule="auto"/>
        <w:ind w:left="160" w:right="160"/>
      </w:pPr>
      <w:r>
        <w:rPr>
          <w:rFonts w:ascii="Courier New" w:cs="Courier New" w:eastAsia="Courier New" w:hAnsi="Courier New"/>
          <w:sz w:val="17"/>
          <w:szCs w:val="17"/>
        </w:rPr>
        <w:t xml:space="preserve">}</w:t>
      </w:r>
    </w:p>
    <w:p>
      <w:pPr>
        <w:spacing w:after="60"/>
      </w:pPr>
    </w:p>
    <w:p>
      <w:pPr>
        <w:shd w:fill="F1F3F5" w:val="clear"/>
        <w:spacing w:after="0" w:line="240" w:lineRule="auto"/>
        <w:ind w:left="160" w:right="160"/>
      </w:pPr>
      <w:r>
        <w:rPr>
          <w:rFonts w:ascii="Courier New" w:cs="Courier New" w:eastAsia="Courier New" w:hAnsi="Courier New"/>
          <w:sz w:val="17"/>
          <w:szCs w:val="17"/>
        </w:rPr>
        <w:t xml:space="preserve">// Token descriptor (on-chain field or token metadata)</w:t>
      </w:r>
    </w:p>
    <w:p>
      <w:pPr>
        <w:shd w:fill="F1F3F5" w:val="clear"/>
        <w:spacing w:after="0" w:line="240" w:lineRule="auto"/>
        <w:ind w:left="160" w:right="160"/>
      </w:pPr>
      <w:r>
        <w:rPr>
          <w:rFonts w:ascii="Courier New" w:cs="Courier New" w:eastAsia="Courier New" w:hAnsi="Courier New"/>
          <w:sz w:val="17"/>
          <w:szCs w:val="17"/>
        </w:rPr>
        <w:t xml:space="preserve">{</w:t>
      </w:r>
    </w:p>
    <w:p>
      <w:pPr>
        <w:shd w:fill="F1F3F5" w:val="clear"/>
        <w:spacing w:after="0" w:line="240" w:lineRule="auto"/>
        <w:ind w:left="160" w:right="160"/>
      </w:pPr>
      <w:r>
        <w:rPr>
          <w:rFonts w:ascii="Courier New" w:cs="Courier New" w:eastAsia="Courier New" w:hAnsi="Courier New"/>
          <w:sz w:val="17"/>
          <w:szCs w:val="17"/>
        </w:rPr>
        <w:t xml:space="preserve">  "entitlementId": "urn:tw:eid:5f3a-...-c91",</w:t>
      </w:r>
    </w:p>
    <w:p>
      <w:pPr>
        <w:shd w:fill="F1F3F5" w:val="clear"/>
        <w:spacing w:after="0" w:line="240" w:lineRule="auto"/>
        <w:ind w:left="160" w:right="160"/>
      </w:pPr>
      <w:r>
        <w:rPr>
          <w:rFonts w:ascii="Courier New" w:cs="Courier New" w:eastAsia="Courier New" w:hAnsi="Courier New"/>
          <w:sz w:val="17"/>
          <w:szCs w:val="17"/>
        </w:rPr>
        <w:t xml:space="preserve">  "boundCredential": {</w:t>
      </w:r>
    </w:p>
    <w:p>
      <w:pPr>
        <w:shd w:fill="F1F3F5" w:val="clear"/>
        <w:spacing w:after="0" w:line="240" w:lineRule="auto"/>
        <w:ind w:left="160" w:right="160"/>
      </w:pPr>
      <w:r>
        <w:rPr>
          <w:rFonts w:ascii="Courier New" w:cs="Courier New" w:eastAsia="Courier New" w:hAnsi="Courier New"/>
          <w:sz w:val="17"/>
          <w:szCs w:val="17"/>
        </w:rPr>
        <w:t xml:space="preserve">    "id":     "urn:uuid:1c2f...-a7",</w:t>
      </w:r>
    </w:p>
    <w:p>
      <w:pPr>
        <w:shd w:fill="F1F3F5" w:val="clear"/>
        <w:spacing w:after="0" w:line="240" w:lineRule="auto"/>
        <w:ind w:left="160" w:right="160"/>
      </w:pPr>
      <w:r>
        <w:rPr>
          <w:rFonts w:ascii="Courier New" w:cs="Courier New" w:eastAsia="Courier New" w:hAnsi="Courier New"/>
          <w:sz w:val="17"/>
          <w:szCs w:val="17"/>
        </w:rPr>
        <w:t xml:space="preserve">    "digest": "sha-256:7d793037...",          // commitment to the VC</w:t>
      </w:r>
    </w:p>
    <w:p>
      <w:pPr>
        <w:shd w:fill="F1F3F5" w:val="clear"/>
        <w:spacing w:after="0" w:line="240" w:lineRule="auto"/>
        <w:ind w:left="160" w:right="160"/>
      </w:pPr>
      <w:r>
        <w:rPr>
          <w:rFonts w:ascii="Courier New" w:cs="Courier New" w:eastAsia="Courier New" w:hAnsi="Courier New"/>
          <w:sz w:val="17"/>
          <w:szCs w:val="17"/>
        </w:rPr>
        <w:t xml:space="preserve">    "issuer": "did:web:passes.example-city.eu"</w:t>
      </w:r>
    </w:p>
    <w:p>
      <w:pPr>
        <w:shd w:fill="F1F3F5" w:val="clear"/>
        <w:spacing w:after="0" w:line="240" w:lineRule="auto"/>
        <w:ind w:left="160" w:right="160"/>
      </w:pPr>
      <w:r>
        <w:rPr>
          <w:rFonts w:ascii="Courier New" w:cs="Courier New" w:eastAsia="Courier New" w:hAnsi="Courier New"/>
          <w:sz w:val="17"/>
          <w:szCs w:val="17"/>
        </w:rPr>
        <w:t xml:space="preserve">  }</w:t>
      </w:r>
    </w:p>
    <w:p>
      <w:pPr>
        <w:shd w:fill="F1F3F5" w:val="clear"/>
        <w:spacing w:after="0" w:line="240" w:lineRule="auto"/>
        <w:ind w:left="160" w:right="160"/>
      </w:pPr>
      <w:r>
        <w:rPr>
          <w:rFonts w:ascii="Courier New" w:cs="Courier New" w:eastAsia="Courier New" w:hAnsi="Courier New"/>
          <w:sz w:val="17"/>
          <w:szCs w:val="17"/>
        </w:rPr>
        <w:t xml:space="preserve">}</w:t>
      </w:r>
    </w:p>
    <w:p>
      <w:pPr>
        <w:spacing w:after="60"/>
      </w:pPr>
    </w:p>
    <w:p>
      <w:pPr>
        <w:pStyle w:val="Heading2"/>
        <w:spacing w:after="100" w:before="220"/>
      </w:pPr>
      <w:r>
        <w:t xml:space="preserve">C3.4 Verification procedure</w:t>
      </w:r>
    </w:p>
    <w:p>
      <w:pPr>
        <w:spacing w:after="120" w:line="276" w:lineRule="auto"/>
        <w:jc w:val="both"/>
      </w:pPr>
      <w:r>
        <w:rPr>
          <w:sz w:val="24"/>
          <w:szCs w:val="24"/>
        </w:rPr>
        <w:t xml:space="preserve">A verifier performs the following steps; steps 3 to 5 are optional in offline mode (see C4):</w:t>
      </w:r>
    </w:p>
    <w:p>
      <w:pPr>
        <w:pStyle w:val="ListParagraph"/>
        <w:numPr>
          <w:ilvl w:val="0"/>
          <w:numId w:val="3"/>
        </w:numPr>
        <w:spacing w:after="60" w:line="276" w:lineRule="auto"/>
        <w:jc w:val="both"/>
      </w:pPr>
      <w:r>
        <w:rPr>
          <w:sz w:val="24"/>
          <w:szCs w:val="24"/>
        </w:rPr>
        <w:t xml:space="preserve">Verify the credential’s signature and the issuer, per VC 2.0 and the securing mechanism in use.</w:t>
      </w:r>
    </w:p>
    <w:p>
      <w:pPr>
        <w:pStyle w:val="ListParagraph"/>
        <w:numPr>
          <w:ilvl w:val="0"/>
          <w:numId w:val="3"/>
        </w:numPr>
        <w:spacing w:after="60" w:line="276" w:lineRule="auto"/>
        <w:jc w:val="both"/>
      </w:pPr>
      <w:r>
        <w:rPr>
          <w:sz w:val="24"/>
          <w:szCs w:val="24"/>
        </w:rPr>
        <w:t xml:space="preserve">Read the EID, the bound-token locator and the token descriptor digest from the credential.</w:t>
      </w:r>
    </w:p>
    <w:p>
      <w:pPr>
        <w:pStyle w:val="ListParagraph"/>
        <w:numPr>
          <w:ilvl w:val="0"/>
          <w:numId w:val="3"/>
        </w:numPr>
        <w:spacing w:after="60" w:line="276" w:lineRule="auto"/>
        <w:jc w:val="both"/>
      </w:pPr>
      <w:r>
        <w:rPr>
          <w:sz w:val="24"/>
          <w:szCs w:val="24"/>
        </w:rPr>
        <w:t xml:space="preserve">Resolve the token via its CAIP-19 locator; confirm it exists and read its descriptor and state (for example ownerOf / userOf for ERC-721/4907, redemption state for ERC-6672).</w:t>
      </w:r>
    </w:p>
    <w:p>
      <w:pPr>
        <w:pStyle w:val="ListParagraph"/>
        <w:numPr>
          <w:ilvl w:val="0"/>
          <w:numId w:val="3"/>
        </w:numPr>
        <w:spacing w:after="60" w:line="276" w:lineRule="auto"/>
        <w:jc w:val="both"/>
      </w:pPr>
      <w:r>
        <w:rPr>
          <w:sz w:val="24"/>
          <w:szCs w:val="24"/>
        </w:rPr>
        <w:t xml:space="preserve">Confirm the token’s descriptor hashes to the digest carried in the credential, and that the token’s bound-credential digest matches the presented credential — establishing the mutual binding.</w:t>
      </w:r>
    </w:p>
    <w:p>
      <w:pPr>
        <w:pStyle w:val="ListParagraph"/>
        <w:numPr>
          <w:ilvl w:val="0"/>
          <w:numId w:val="3"/>
        </w:numPr>
        <w:spacing w:after="60" w:line="276" w:lineRule="auto"/>
        <w:jc w:val="both"/>
      </w:pPr>
      <w:r>
        <w:rPr>
          <w:sz w:val="24"/>
          <w:szCs w:val="24"/>
        </w:rPr>
        <w:t xml:space="preserve">Confirm the issuer’s authority over the minting account (DID-to-account linkage), so the same issuer authored both.</w:t>
      </w:r>
    </w:p>
    <w:p>
      <w:pPr>
        <w:pStyle w:val="ListParagraph"/>
        <w:numPr>
          <w:ilvl w:val="0"/>
          <w:numId w:val="3"/>
        </w:numPr>
        <w:spacing w:after="60" w:line="276" w:lineRule="auto"/>
        <w:jc w:val="both"/>
      </w:pPr>
      <w:r>
        <w:rPr>
          <w:sz w:val="24"/>
          <w:szCs w:val="24"/>
        </w:rPr>
        <w:t xml:space="preserve">Apply the entitlement decision using validity window, venue scope and status.</w:t>
      </w:r>
    </w:p>
    <w:p>
      <w:pPr>
        <w:pStyle w:val="Heading2"/>
        <w:spacing w:after="100" w:before="220"/>
      </w:pPr>
      <w:r>
        <w:t xml:space="preserve">C3.5 Security and privacy considerations</w:t>
      </w:r>
    </w:p>
    <w:p>
      <w:pPr>
        <w:spacing w:after="120" w:line="276" w:lineRule="auto"/>
        <w:jc w:val="both"/>
      </w:pPr>
      <w:r>
        <w:rPr>
          <w:sz w:val="24"/>
          <w:szCs w:val="24"/>
        </w:rPr>
        <w:t xml:space="preserve">Cloning and replay are addressed by holder key-binding in the presentation (the holder proves possession of the key the credential was issued to) and, for proximity presentation, a per-interaction nonce or transcript. Forgery is addressed by the two independent signatures (the credential signature and the on-chain minting authority) plus the mutual digests. Privacy requires that the EID be per-entitlement and not a stable identifier for the holder, that the on-chain commitment contain no personal data (only digests), and that the bound-token locator be presentable selectively, so a holder can decline to reveal the on-chain link where it is not needed. The interplay with revocation is that status is authoritative at the credential layer (Bitstring Status List); the token state is reconciled where available but is not required for an offline entry decision.</w:t>
      </w:r>
    </w:p>
    <w:p>
      <w:pPr>
        <w:pStyle w:val="Heading2"/>
        <w:spacing w:after="100" w:before="220"/>
      </w:pPr>
      <w:r>
        <w:t xml:space="preserve">C3.6 Standards alignment and open questions</w:t>
      </w:r>
    </w:p>
    <w:p>
      <w:pPr>
        <w:spacing w:after="120" w:line="276" w:lineRule="auto"/>
        <w:jc w:val="both"/>
      </w:pPr>
      <w:r>
        <w:rPr>
          <w:sz w:val="24"/>
          <w:szCs w:val="24"/>
        </w:rPr>
        <w:t xml:space="preserve">The mechanism aligns with the W3C Verifiable Credentials Data Model 2.0 and Bitstring Status List, the Chain Agnostic Improvement Proposals (CAIP-2, CAIP-10, CAIP-19), the did:pkh approach to linking DIDs and blockchain accounts, and the ERC-721, ERC-4907 and ERC-6672 token behaviours. Open questions for the receiving bodies: the canonicalisation rule for the token descriptor (so digests are reproducible); whether the binding vocabulary should be owned by W3C (credential side) or ETSI ISG PDL (token side), with ISO/TS 23516 referencing both; and whether the token-to-credential commitment should be mandatory on-chain or permitted in token metadata.</w:t>
      </w:r>
    </w:p>
    <w:p>
      <w:pPr>
        <w:pageBreakBefore/>
      </w:pPr>
    </w:p>
    <w:p>
      <w:pPr>
        <w:pStyle w:val="Heading1"/>
        <w:spacing w:after="140" w:before="320"/>
      </w:pPr>
      <w:r>
        <w:t xml:space="preserve">C4. Technical Note — Offline Verification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Submission field</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Detail</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Target body</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 Foundation (presentation layer); ISO/IEC 18013 community (mdoc); tourism requirements via W3C and ISO/TC 307</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Document type</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Technical note (profile)</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Contributor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 KODE de Hugo A Perez S. SL</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Date / status</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 / Draft for discussion</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Addresses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D1.1 gap G2; D1.2 requirements TW-NF-01 (Phase-2 priority), TW-NF-02, TW-SP-04</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IPR / contribution</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Offered as input under the contribution and IPR policies of the receiving bodies (royalty-free intent). The author asserts no patent claims over the mechanisms proposed and intends any resulting normative work to be available on royalty-free terms.</w:t>
            </w:r>
          </w:p>
        </w:tc>
      </w:tr>
    </w:tbl>
    <w:p>
      <w:pPr>
        <w:pStyle w:val="Heading2"/>
        <w:spacing w:after="100" w:before="220"/>
      </w:pPr>
      <w:r>
        <w:t xml:space="preserve">C4.1 Problem and design goals</w:t>
      </w:r>
    </w:p>
    <w:p>
      <w:pPr>
        <w:spacing w:after="120" w:line="276" w:lineRule="auto"/>
        <w:jc w:val="both"/>
      </w:pPr>
      <w:r>
        <w:rPr>
          <w:sz w:val="24"/>
          <w:szCs w:val="24"/>
        </w:rPr>
        <w:t xml:space="preserve">Tourism entitlements are verified at physical gates where connectivity is often poor or absent and arrival is peaked. The dominant presentation protocol, OpenID4VP, generally assumes connectivity at the moment of presentation, while the mdoc family (ISO/IEC 18013-5) defines an offline device-retrieval model for identity documents but not for tourism entitlements. This note proposes an offline verification profile with explicit assurance tiers, so operators can choose a defensible point on the trade-off between freshness and availability.</w:t>
      </w:r>
    </w:p>
    <w:p>
      <w:pPr>
        <w:spacing w:after="120" w:line="276" w:lineRule="auto"/>
        <w:jc w:val="both"/>
      </w:pPr>
      <w:r>
        <w:rPr>
          <w:sz w:val="24"/>
          <w:szCs w:val="24"/>
        </w:rPr>
        <w:t xml:space="preserve">Design goals: verification shall be possible with no connectivity at the point of presentation; the staleness of any offline decision shall be bounded and stated; verification shall not require per-presentation network round-trips whose cost grows with the queue; and presentations shall resist cloning and replay.</w:t>
      </w:r>
    </w:p>
    <w:p>
      <w:pPr>
        <w:pStyle w:val="Heading2"/>
        <w:spacing w:after="100" w:before="220"/>
      </w:pPr>
      <w:r>
        <w:t xml:space="preserve">C4.2 Assurance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cantSplit/>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Tier</w:t>
            </w:r>
          </w:p>
        </w:tc>
        <w:tc>
          <w:tcPr>
            <w:tcW w:type="dxa" w:w="4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What is checked offline</w:t>
            </w:r>
          </w:p>
        </w:tc>
        <w:tc>
          <w:tcPr>
            <w:tcW w:type="dxa" w:w="3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Bounded staleness</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Tier 0</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Credential signature, validity window and venue scope; holder key-binding</w:t>
            </w:r>
          </w:p>
        </w:tc>
        <w:tc>
          <w:tcPr>
            <w:tcW w:type="dxa" w:w="3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None beyond the validity window</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Tier 1</w:t>
            </w:r>
          </w:p>
        </w:tc>
        <w:tc>
          <w:tcPr>
            <w:tcW w:type="dxa" w:w="4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Tier 0 plus status against a cached Bitstring Status List</w:t>
            </w:r>
          </w:p>
        </w:tc>
        <w:tc>
          <w:tcPr>
            <w:tcW w:type="dxa" w:w="3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Status no older than the cache freshness window</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Tier 2</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Tier 0 with short-lived, frequently re-issued entitlements</w:t>
            </w:r>
          </w:p>
        </w:tc>
        <w:tc>
          <w:tcPr>
            <w:tcW w:type="dxa" w:w="3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Bounded by the entitlement lifetime</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Tier 3</w:t>
            </w:r>
          </w:p>
        </w:tc>
        <w:tc>
          <w:tcPr>
            <w:tcW w:type="dxa" w:w="4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Full online status and token reconciliation (see C3)</w:t>
            </w:r>
          </w:p>
        </w:tc>
        <w:tc>
          <w:tcPr>
            <w:tcW w:type="dxa" w:w="3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Real-time</w:t>
            </w:r>
          </w:p>
        </w:tc>
      </w:tr>
    </w:tbl>
    <w:p>
      <w:pPr>
        <w:spacing w:after="120" w:line="276" w:lineRule="auto"/>
        <w:jc w:val="both"/>
      </w:pPr>
      <w:r>
        <w:rPr>
          <w:sz w:val="24"/>
          <w:szCs w:val="24"/>
        </w:rPr>
        <w:t xml:space="preserve">An operator selects a tier per scenario: a high-volume museum gate may accept Tier 1, while a cross-border transport inspection may require Tier 2 or Tier 3. The tier and its freshness parameters are part of the entitlement’s acceptance policy.</w:t>
      </w:r>
    </w:p>
    <w:p>
      <w:pPr>
        <w:pStyle w:val="Heading2"/>
        <w:spacing w:after="100" w:before="220"/>
      </w:pPr>
      <w:r>
        <w:t xml:space="preserve">C4.3 Verification procedure</w:t>
      </w:r>
    </w:p>
    <w:p>
      <w:pPr>
        <w:pStyle w:val="ListParagraph"/>
        <w:numPr>
          <w:ilvl w:val="0"/>
          <w:numId w:val="3"/>
        </w:numPr>
        <w:spacing w:after="60" w:line="276" w:lineRule="auto"/>
        <w:jc w:val="both"/>
      </w:pPr>
      <w:r>
        <w:rPr>
          <w:sz w:val="24"/>
          <w:szCs w:val="24"/>
        </w:rPr>
        <w:t xml:space="preserve">The holder presents the entitlement over a local channel (QR, NFC or Bluetooth Low Energy proximity), with a per-interaction nonce or session transcript.</w:t>
      </w:r>
    </w:p>
    <w:p>
      <w:pPr>
        <w:pStyle w:val="ListParagraph"/>
        <w:numPr>
          <w:ilvl w:val="0"/>
          <w:numId w:val="3"/>
        </w:numPr>
        <w:spacing w:after="60" w:line="276" w:lineRule="auto"/>
        <w:jc w:val="both"/>
      </w:pPr>
      <w:r>
        <w:rPr>
          <w:sz w:val="24"/>
          <w:szCs w:val="24"/>
        </w:rPr>
        <w:t xml:space="preserve">The verifier validates the credential signature using cached issuer trust anchors synchronised in advance from an eIDAS-aligned trust list.</w:t>
      </w:r>
    </w:p>
    <w:p>
      <w:pPr>
        <w:pStyle w:val="ListParagraph"/>
        <w:numPr>
          <w:ilvl w:val="0"/>
          <w:numId w:val="3"/>
        </w:numPr>
        <w:spacing w:after="60" w:line="276" w:lineRule="auto"/>
        <w:jc w:val="both"/>
      </w:pPr>
      <w:r>
        <w:rPr>
          <w:sz w:val="24"/>
          <w:szCs w:val="24"/>
        </w:rPr>
        <w:t xml:space="preserve">The verifier evaluates the validity window and venue scope locally, and checks status to the selected tier (cached status list for Tier 1; lifetime for Tier 2).</w:t>
      </w:r>
    </w:p>
    <w:p>
      <w:pPr>
        <w:pStyle w:val="ListParagraph"/>
        <w:numPr>
          <w:ilvl w:val="0"/>
          <w:numId w:val="3"/>
        </w:numPr>
        <w:spacing w:after="60" w:line="276" w:lineRule="auto"/>
        <w:jc w:val="both"/>
      </w:pPr>
      <w:r>
        <w:rPr>
          <w:sz w:val="24"/>
          <w:szCs w:val="24"/>
        </w:rPr>
        <w:t xml:space="preserve">The verifier checks holder key-binding to resist replay and cloning.</w:t>
      </w:r>
    </w:p>
    <w:p>
      <w:pPr>
        <w:pStyle w:val="ListParagraph"/>
        <w:numPr>
          <w:ilvl w:val="0"/>
          <w:numId w:val="3"/>
        </w:numPr>
        <w:spacing w:after="60" w:line="276" w:lineRule="auto"/>
        <w:jc w:val="both"/>
      </w:pPr>
      <w:r>
        <w:rPr>
          <w:sz w:val="24"/>
          <w:szCs w:val="24"/>
        </w:rPr>
        <w:t xml:space="preserve">Where redemption applies, the verifier records it locally and reconciles it with the ledger or issuer when connectivity returns.</w:t>
      </w:r>
    </w:p>
    <w:p>
      <w:pPr>
        <w:pStyle w:val="Heading2"/>
        <w:spacing w:after="100" w:before="220"/>
      </w:pPr>
      <w:r>
        <w:t xml:space="preserve">C4.4 Security and privacy considerations</w:t>
      </w:r>
    </w:p>
    <w:p>
      <w:pPr>
        <w:spacing w:after="120" w:line="276" w:lineRule="auto"/>
        <w:jc w:val="both"/>
      </w:pPr>
      <w:r>
        <w:rPr>
          <w:sz w:val="24"/>
          <w:szCs w:val="24"/>
        </w:rPr>
        <w:t xml:space="preserve">Offline operation must not become a privacy regression: verification shall not phone home, and local verifier logs shall retain the minimum necessary and no more. Replay and cloning are addressed by holder key-binding and the per-interaction nonce/transcript. The principal residual risk is double-spend of a redeemable entitlement across two offline verifiers before reconciliation; this is bounded by recording redemptions locally and reconciling promptly, and by reserving multi-redeemable high-value entitlements for higher tiers. Status staleness is the explicit cost of Tier 1 and is bounded by the cache freshness window, which should be short for high-value entitlements.</w:t>
      </w:r>
    </w:p>
    <w:p>
      <w:pPr>
        <w:pStyle w:val="Heading2"/>
        <w:spacing w:after="100" w:before="220"/>
      </w:pPr>
      <w:r>
        <w:t xml:space="preserve">C4.5 Standards alignment and open questions</w:t>
      </w:r>
    </w:p>
    <w:p>
      <w:pPr>
        <w:spacing w:after="120" w:line="276" w:lineRule="auto"/>
        <w:jc w:val="both"/>
      </w:pPr>
      <w:r>
        <w:rPr>
          <w:sz w:val="24"/>
          <w:szCs w:val="24"/>
        </w:rPr>
        <w:t xml:space="preserve">The profile aligns with ISO/IEC 18013-5 (and 18013-7 for the online tier), SD-JWT VC with key binding, the W3C Bitstring Status List (for cached status), and OpenID4VP (for Tier 3). Open questions: default freshness windows per entitlement value band; a standard representation of the acceptance policy (tier and freshness) inside the entitlement; and the reconciliation protocol for offline redemptions, including double-spend handling under eventual consistency.</w:t>
      </w:r>
    </w:p>
    <w:p>
      <w:pPr>
        <w:pageBreakBefore/>
      </w:pPr>
    </w:p>
    <w:p>
      <w:pPr>
        <w:pStyle w:val="Heading1"/>
        <w:spacing w:after="140" w:before="320"/>
      </w:pPr>
      <w:r>
        <w:t xml:space="preserve">C5. Profile Proposal — Tourism Attestation for the EU Digital Identity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Submission field</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Detail</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Target body</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eIDAS expert group (EU Digital Identity Wallet / ARF); ETSI TC ESI</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Document type</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Profile proposal</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Contributor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 KODE de Hugo A Perez S. SL</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Date / status</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 / Draft for discussion</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Addresses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D1.1 gap G10; D1.2 requirement TW-TL-04 (Phase-2 priority), TW-SP-03, TW-NF-03</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IPR / contribution</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Offered as input under the contribution and IPR policies of the eIDAS expert process / ETSI TC ESI. The author asserts no patent claims over the mechanisms proposed and intends any resulting normative work to be available on royalty-free terms.</w:t>
            </w:r>
          </w:p>
        </w:tc>
      </w:tr>
    </w:tbl>
    <w:p>
      <w:pPr>
        <w:pStyle w:val="Heading2"/>
        <w:spacing w:after="100" w:before="220"/>
      </w:pPr>
      <w:r>
        <w:t xml:space="preserve">C5.1 Problem and design goals</w:t>
      </w:r>
    </w:p>
    <w:p>
      <w:pPr>
        <w:spacing w:after="120" w:line="276" w:lineRule="auto"/>
        <w:jc w:val="both"/>
      </w:pPr>
      <w:r>
        <w:rPr>
          <w:sz w:val="24"/>
          <w:szCs w:val="24"/>
        </w:rPr>
        <w:t xml:space="preserve">The EU Digital Identity Wallet is the European centre of gravity for user-controlled credentials, but its Architecture and Reference Framework is centred on identity (person-identification data) rather than sectoral entitlements. A tourism entitlement — a museum pass, a regional transport entitlement, a hotel reservation — is naturally an electronic attestation of attributes (EAA), yet there is no profile for issuing and verifying one through the EUDI ecosystem. This proposal sketches such a profile so tourism entitlements can be carried in the EUDI Wallet and verified by EUDI relying parties.</w:t>
      </w:r>
    </w:p>
    <w:p>
      <w:pPr>
        <w:spacing w:after="120" w:line="276" w:lineRule="auto"/>
        <w:jc w:val="both"/>
      </w:pPr>
      <w:r>
        <w:rPr>
          <w:sz w:val="24"/>
          <w:szCs w:val="24"/>
        </w:rPr>
        <w:t xml:space="preserve">Design goals: a tourism attestation shall be expressible as an EAA (or a qualified EAA where higher assurance is justified); it shall be issued and presented using the ecosystem’s existing protocols; it shall support selective disclosure and the data-minimisation profile of D1.2; and it shall align with the binding and offline mechanisms of C3 and C4 where the entitlement is also token-backed or verified offline.</w:t>
      </w:r>
    </w:p>
    <w:p>
      <w:pPr>
        <w:pStyle w:val="Heading2"/>
        <w:spacing w:after="100" w:before="220"/>
      </w:pPr>
      <w:r>
        <w:t xml:space="preserve">C5.2 Attestation profile</w:t>
      </w:r>
    </w:p>
    <w:p>
      <w:pPr>
        <w:spacing w:after="120" w:line="276" w:lineRule="auto"/>
        <w:jc w:val="both"/>
      </w:pPr>
      <w:r>
        <w:rPr>
          <w:sz w:val="24"/>
          <w:szCs w:val="24"/>
        </w:rPr>
        <w:t xml:space="preserve">The attestation carries a small, purpose-built attribute set, expressible as an SD-JWT VC or as an mdoc attestation:</w:t>
      </w:r>
    </w:p>
    <w:p>
      <w:pPr>
        <w:shd w:fill="F1F3F5" w:val="clear"/>
        <w:spacing w:after="0" w:line="240" w:lineRule="auto"/>
        <w:ind w:left="160" w:right="160"/>
      </w:pPr>
      <w:r>
        <w:rPr>
          <w:rFonts w:ascii="Courier New" w:cs="Courier New" w:eastAsia="Courier New" w:hAnsi="Courier New"/>
          <w:sz w:val="17"/>
          <w:szCs w:val="17"/>
        </w:rPr>
        <w:t xml:space="preserve">// Tourism attestation — attribute set (illustrative)</w:t>
      </w:r>
    </w:p>
    <w:p>
      <w:pPr>
        <w:shd w:fill="F1F3F5" w:val="clear"/>
        <w:spacing w:after="0" w:line="240" w:lineRule="auto"/>
        <w:ind w:left="160" w:right="160"/>
      </w:pPr>
      <w:r>
        <w:rPr>
          <w:rFonts w:ascii="Courier New" w:cs="Courier New" w:eastAsia="Courier New" w:hAnsi="Courier New"/>
          <w:sz w:val="17"/>
          <w:szCs w:val="17"/>
        </w:rPr>
        <w:t xml:space="preserve">entitlement_type      : "regional-transport-pass"</w:t>
      </w:r>
    </w:p>
    <w:p>
      <w:pPr>
        <w:shd w:fill="F1F3F5" w:val="clear"/>
        <w:spacing w:after="0" w:line="240" w:lineRule="auto"/>
        <w:ind w:left="160" w:right="160"/>
      </w:pPr>
      <w:r>
        <w:rPr>
          <w:rFonts w:ascii="Courier New" w:cs="Courier New" w:eastAsia="Courier New" w:hAnsi="Courier New"/>
          <w:sz w:val="17"/>
          <w:szCs w:val="17"/>
        </w:rPr>
        <w:t xml:space="preserve">entitlement_id        : "urn:tw:eid:..."</w:t>
      </w:r>
    </w:p>
    <w:p>
      <w:pPr>
        <w:shd w:fill="F1F3F5" w:val="clear"/>
        <w:spacing w:after="0" w:line="240" w:lineRule="auto"/>
        <w:ind w:left="160" w:right="160"/>
      </w:pPr>
      <w:r>
        <w:rPr>
          <w:rFonts w:ascii="Courier New" w:cs="Courier New" w:eastAsia="Courier New" w:hAnsi="Courier New"/>
          <w:sz w:val="17"/>
          <w:szCs w:val="17"/>
        </w:rPr>
        <w:t xml:space="preserve">valid_from            : "2026-06-01"</w:t>
      </w:r>
    </w:p>
    <w:p>
      <w:pPr>
        <w:shd w:fill="F1F3F5" w:val="clear"/>
        <w:spacing w:after="0" w:line="240" w:lineRule="auto"/>
        <w:ind w:left="160" w:right="160"/>
      </w:pPr>
      <w:r>
        <w:rPr>
          <w:rFonts w:ascii="Courier New" w:cs="Courier New" w:eastAsia="Courier New" w:hAnsi="Courier New"/>
          <w:sz w:val="17"/>
          <w:szCs w:val="17"/>
        </w:rPr>
        <w:t xml:space="preserve">valid_until           : "2026-06-08"</w:t>
      </w:r>
    </w:p>
    <w:p>
      <w:pPr>
        <w:shd w:fill="F1F3F5" w:val="clear"/>
        <w:spacing w:after="0" w:line="240" w:lineRule="auto"/>
        <w:ind w:left="160" w:right="160"/>
      </w:pPr>
      <w:r>
        <w:rPr>
          <w:rFonts w:ascii="Courier New" w:cs="Courier New" w:eastAsia="Courier New" w:hAnsi="Courier New"/>
          <w:sz w:val="17"/>
          <w:szCs w:val="17"/>
        </w:rPr>
        <w:t xml:space="preserve">scope                 : ["zone-1", "zone-2"]        // coded, language-independent</w:t>
      </w:r>
    </w:p>
    <w:p>
      <w:pPr>
        <w:shd w:fill="F1F3F5" w:val="clear"/>
        <w:spacing w:after="0" w:line="240" w:lineRule="auto"/>
        <w:ind w:left="160" w:right="160"/>
      </w:pPr>
      <w:r>
        <w:rPr>
          <w:rFonts w:ascii="Courier New" w:cs="Courier New" w:eastAsia="Courier New" w:hAnsi="Courier New"/>
          <w:sz w:val="17"/>
          <w:szCs w:val="17"/>
        </w:rPr>
        <w:t xml:space="preserve">beneficiary_binding   : "holder" | "named"          // group support</w:t>
      </w:r>
    </w:p>
    <w:p>
      <w:pPr>
        <w:shd w:fill="F1F3F5" w:val="clear"/>
        <w:spacing w:after="0" w:line="240" w:lineRule="auto"/>
        <w:ind w:left="160" w:right="160"/>
      </w:pPr>
      <w:r>
        <w:rPr>
          <w:rFonts w:ascii="Courier New" w:cs="Courier New" w:eastAsia="Courier New" w:hAnsi="Courier New"/>
          <w:sz w:val="17"/>
          <w:szCs w:val="17"/>
        </w:rPr>
        <w:t xml:space="preserve">transfer_policy       : "non-transferable"</w:t>
      </w:r>
    </w:p>
    <w:p>
      <w:pPr>
        <w:shd w:fill="F1F3F5" w:val="clear"/>
        <w:spacing w:after="0" w:line="240" w:lineRule="auto"/>
        <w:ind w:left="160" w:right="160"/>
      </w:pPr>
      <w:r>
        <w:rPr>
          <w:rFonts w:ascii="Courier New" w:cs="Courier New" w:eastAsia="Courier New" w:hAnsi="Courier New"/>
          <w:sz w:val="17"/>
          <w:szCs w:val="17"/>
        </w:rPr>
        <w:t xml:space="preserve">issuer                : "did:web:transport.example-region.eu"</w:t>
      </w:r>
    </w:p>
    <w:p>
      <w:pPr>
        <w:shd w:fill="F1F3F5" w:val="clear"/>
        <w:spacing w:after="0" w:line="240" w:lineRule="auto"/>
        <w:ind w:left="160" w:right="160"/>
      </w:pPr>
      <w:r>
        <w:rPr>
          <w:rFonts w:ascii="Courier New" w:cs="Courier New" w:eastAsia="Courier New" w:hAnsi="Courier New"/>
          <w:sz w:val="17"/>
          <w:szCs w:val="17"/>
        </w:rPr>
        <w:t xml:space="preserve">bound_token           : { ... }                       // optional; see C3</w:t>
      </w:r>
    </w:p>
    <w:p>
      <w:pPr>
        <w:spacing w:after="60"/>
      </w:pPr>
    </w:p>
    <w:p>
      <w:pPr>
        <w:spacing w:after="120" w:line="276" w:lineRule="auto"/>
        <w:jc w:val="both"/>
      </w:pPr>
      <w:r>
        <w:rPr>
          <w:sz w:val="24"/>
          <w:szCs w:val="24"/>
        </w:rPr>
        <w:t xml:space="preserve">A qualified EAA (QEAA) is proposed where cross-border legal reliance is needed (for example, regional transport subject to inspection); a plain EAA is sufficient for lower-risk entitlements such as an attraction pass.</w:t>
      </w:r>
    </w:p>
    <w:p>
      <w:pPr>
        <w:pStyle w:val="Heading2"/>
        <w:spacing w:after="100" w:before="220"/>
      </w:pPr>
      <w:r>
        <w:t xml:space="preserve">C5.3 Issuance and presentation</w:t>
      </w:r>
    </w:p>
    <w:p>
      <w:pPr>
        <w:spacing w:after="120" w:line="276" w:lineRule="auto"/>
        <w:jc w:val="both"/>
      </w:pPr>
      <w:r>
        <w:rPr>
          <w:sz w:val="24"/>
          <w:szCs w:val="24"/>
        </w:rPr>
        <w:t xml:space="preserve">Issuance uses OpenID4VCI from the operator (acting as an attestation provider) to the wallet. Presentation uses OpenID4VP to the venue or inspector acting as a relying party, with selective disclosure so that only the attributes required for the stated purpose are revealed. For offline inspection, the presentation follows the offline profile of C4.</w:t>
      </w:r>
    </w:p>
    <w:p>
      <w:pPr>
        <w:pStyle w:val="Heading2"/>
        <w:spacing w:after="100" w:before="220"/>
      </w:pPr>
      <w:r>
        <w:t xml:space="preserve">C5.4 Trust and assurance</w:t>
      </w:r>
    </w:p>
    <w:p>
      <w:pPr>
        <w:spacing w:after="120" w:line="276" w:lineRule="auto"/>
        <w:jc w:val="both"/>
      </w:pPr>
      <w:r>
        <w:rPr>
          <w:sz w:val="24"/>
          <w:szCs w:val="24"/>
        </w:rPr>
        <w:t xml:space="preserve">Issuer and relying-party trust is established through the eIDAS trust framework. Because tourism involves a very large and dynamic population of issuers (operators) and relying parties (venues), the proposal flags the need for a scalable registration mechanism — corresponding to D1.2 requirement TW-SP-03 — and recommends that ETSI TC ESI consider how sector relying parties register at scale. Assurance level is matched to entitlement risk, with QEAA reserved for entitlements requiring cross-border legal reliance.</w:t>
      </w:r>
    </w:p>
    <w:p>
      <w:pPr>
        <w:pStyle w:val="Heading2"/>
        <w:spacing w:after="100" w:before="220"/>
      </w:pPr>
      <w:r>
        <w:t xml:space="preserve">C5.5 Standards alignment and open questions</w:t>
      </w:r>
    </w:p>
    <w:p>
      <w:pPr>
        <w:spacing w:after="120" w:line="276" w:lineRule="auto"/>
        <w:jc w:val="both"/>
      </w:pPr>
      <w:r>
        <w:rPr>
          <w:sz w:val="24"/>
          <w:szCs w:val="24"/>
        </w:rPr>
        <w:t xml:space="preserve">The proposal aligns with the EUDI Architecture and Reference Framework (v2.4.0), OpenID4VCI and OpenID4VP, SD-JWT VC and ISO/IEC 18013-5. Open questions for the expert group: whether tourism warrants a dedicated attestation rulebook or can be accommodated by a generic EAA profile; the threshold at which an entitlement requires a QEAA rather than an EAA; and how sector relying parties register and are discovered at scale across Member States.</w:t>
      </w:r>
    </w:p>
    <w:p>
      <w:pPr>
        <w:pageBreakBefore/>
      </w:pPr>
    </w:p>
    <w:p>
      <w:pPr>
        <w:pStyle w:val="Heading1"/>
        <w:spacing w:after="140" w:before="320"/>
      </w:pPr>
      <w:r>
        <w:t xml:space="preserve">C6. Technical Note — Tourism Data-Minimisation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Submission field</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Detail</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Target body</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ISO/IEC JTC 1/SC 27 – ISO/TC 307 JWG 4; W3C; liaison with the eIDAS expert group</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Document type</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Technical note (profile)</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Contributor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 KODE de Hugo A Perez S. SL</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Date / status</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 / Draft for discussion</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Addresses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D1.1 gap G8; D1.2 requirements TW-SP-01 (Phase-2 priority), TW-SP-02</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IPR / contribution</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Offered as input under the contribution and IPR policies of the receiving bodies (royalty-free intent). The author asserts no patent claims over the mechanisms proposed and intends any resulting normative work to be available on royalty-free terms.</w:t>
            </w:r>
          </w:p>
        </w:tc>
      </w:tr>
    </w:tbl>
    <w:p>
      <w:pPr>
        <w:pStyle w:val="Heading2"/>
        <w:spacing w:after="100" w:before="220"/>
      </w:pPr>
      <w:r>
        <w:t xml:space="preserve">C6.1 Problem and design goals</w:t>
      </w:r>
    </w:p>
    <w:p>
      <w:pPr>
        <w:spacing w:after="120" w:line="276" w:lineRule="auto"/>
        <w:jc w:val="both"/>
      </w:pPr>
      <w:r>
        <w:rPr>
          <w:sz w:val="24"/>
          <w:szCs w:val="24"/>
        </w:rPr>
        <w:t xml:space="preserve">Selective disclosure is available technically — through SD-JWT VC and through unlinkable cryptosuites such as BBS — but there is no agreed answer to the prior question: for a given tourism purpose, which attributes is a verifier entitled to request at all? Without agreed minimal sets, each operator decides independently, which leads to inconsistent privacy and routine over-collection at venues. This note proposes a data-minimisation profile that defines minimal disclosure sets per common tourism purpose and a machine-readable way to bind a presentation request to a stated purpose.</w:t>
      </w:r>
    </w:p>
    <w:p>
      <w:pPr>
        <w:spacing w:after="120" w:line="276" w:lineRule="auto"/>
        <w:jc w:val="both"/>
      </w:pPr>
      <w:r>
        <w:rPr>
          <w:sz w:val="24"/>
          <w:szCs w:val="24"/>
        </w:rPr>
        <w:t xml:space="preserve">Design goals: a verifier’s presentation request shall declare a purpose; for each purpose there shall be a defined minimal attribute set and, where possible, the request shall use predicates rather than raw attributes; and a wallet shall be able to detect and warn when a request exceeds the minimal set for its stated purpose.</w:t>
      </w:r>
    </w:p>
    <w:p>
      <w:pPr>
        <w:pStyle w:val="Heading2"/>
        <w:spacing w:after="100" w:before="220"/>
      </w:pPr>
      <w:r>
        <w:t xml:space="preserve">C6.2 Purpose-to-attribute profile</w:t>
      </w:r>
    </w:p>
    <w:p>
      <w:pPr>
        <w:spacing w:after="120" w:line="276" w:lineRule="auto"/>
        <w:jc w:val="both"/>
      </w:pPr>
      <w:r>
        <w:rPr>
          <w:sz w:val="24"/>
          <w:szCs w:val="24"/>
        </w:rPr>
        <w:t xml:space="preserve">The profile is a registry of purposes, each mapping to a minimal set of attributes or predicates. The following entries are illustrative.</w:t>
      </w:r>
    </w:p>
    <w:p>
      <w:pPr>
        <w:shd w:fill="F1F3F5" w:val="clear"/>
        <w:spacing w:after="0" w:line="240" w:lineRule="auto"/>
        <w:ind w:left="160" w:right="160"/>
      </w:pPr>
      <w:r>
        <w:rPr>
          <w:rFonts w:ascii="Courier New" w:cs="Courier New" w:eastAsia="Courier New" w:hAnsi="Courier New"/>
          <w:sz w:val="17"/>
          <w:szCs w:val="17"/>
        </w:rPr>
        <w:t xml:space="preserve">// Purpose -&gt; minimal disclosure (illustrative)</w:t>
      </w:r>
    </w:p>
    <w:p>
      <w:pPr>
        <w:shd w:fill="F1F3F5" w:val="clear"/>
        <w:spacing w:after="0" w:line="240" w:lineRule="auto"/>
        <w:ind w:left="160" w:right="160"/>
      </w:pPr>
      <w:r>
        <w:rPr>
          <w:rFonts w:ascii="Courier New" w:cs="Courier New" w:eastAsia="Courier New" w:hAnsi="Courier New"/>
          <w:sz w:val="17"/>
          <w:szCs w:val="17"/>
        </w:rPr>
        <w:t xml:space="preserve">venue-entry     : { entitlement_type, valid_now: &lt;predicate&gt;, venue_in_scope: &lt;predicate&gt; }</w:t>
      </w:r>
    </w:p>
    <w:p>
      <w:pPr>
        <w:shd w:fill="F1F3F5" w:val="clear"/>
        <w:spacing w:after="0" w:line="240" w:lineRule="auto"/>
        <w:ind w:left="160" w:right="160"/>
      </w:pPr>
      <w:r>
        <w:rPr>
          <w:rFonts w:ascii="Courier New" w:cs="Courier New" w:eastAsia="Courier New" w:hAnsi="Courier New"/>
          <w:sz w:val="17"/>
          <w:szCs w:val="17"/>
        </w:rPr>
        <w:t xml:space="preserve">age-check       : { age_over: 18 }              // predicate, not date_of_birth</w:t>
      </w:r>
    </w:p>
    <w:p>
      <w:pPr>
        <w:shd w:fill="F1F3F5" w:val="clear"/>
        <w:spacing w:after="0" w:line="240" w:lineRule="auto"/>
        <w:ind w:left="160" w:right="160"/>
      </w:pPr>
      <w:r>
        <w:rPr>
          <w:rFonts w:ascii="Courier New" w:cs="Courier New" w:eastAsia="Courier New" w:hAnsi="Courier New"/>
          <w:sz w:val="17"/>
          <w:szCs w:val="17"/>
        </w:rPr>
        <w:t xml:space="preserve">reservation     : { reservation_ref, valid_now: &lt;predicate&gt; }</w:t>
      </w:r>
    </w:p>
    <w:p>
      <w:pPr>
        <w:shd w:fill="F1F3F5" w:val="clear"/>
        <w:spacing w:after="0" w:line="240" w:lineRule="auto"/>
        <w:ind w:left="160" w:right="160"/>
      </w:pPr>
      <w:r>
        <w:rPr>
          <w:rFonts w:ascii="Courier New" w:cs="Courier New" w:eastAsia="Courier New" w:hAnsi="Courier New"/>
          <w:sz w:val="17"/>
          <w:szCs w:val="17"/>
        </w:rPr>
        <w:t xml:space="preserve">transport-zone  : { entitlement_type, zone_in_scope: &lt;predicate&gt;, valid_now: &lt;predicate&gt; }</w:t>
      </w:r>
    </w:p>
    <w:p>
      <w:pPr>
        <w:shd w:fill="F1F3F5" w:val="clear"/>
        <w:spacing w:after="0" w:line="240" w:lineRule="auto"/>
        <w:ind w:left="160" w:right="160"/>
      </w:pPr>
      <w:r>
        <w:rPr>
          <w:rFonts w:ascii="Courier New" w:cs="Courier New" w:eastAsia="Courier New" w:hAnsi="Courier New"/>
          <w:sz w:val="17"/>
          <w:szCs w:val="17"/>
        </w:rPr>
        <w:t xml:space="preserve">loyalty-status  : { tier }                      // not full transaction history</w:t>
      </w:r>
    </w:p>
    <w:p>
      <w:pPr>
        <w:spacing w:after="60"/>
      </w:pPr>
    </w:p>
    <w:p>
      <w:pPr>
        <w:spacing w:after="120" w:line="276" w:lineRule="auto"/>
        <w:jc w:val="both"/>
      </w:pPr>
      <w:r>
        <w:rPr>
          <w:sz w:val="24"/>
          <w:szCs w:val="24"/>
        </w:rPr>
        <w:t xml:space="preserve">A presentation request references a purpose; the wallet evaluates the request against the purpose’s minimal set and surfaces anything beyond it to the holder for explicit consent. The minimal sets are intended to be co-defined with operators and data-protection authorities (an open issue carried from D1.2).</w:t>
      </w:r>
    </w:p>
    <w:p>
      <w:pPr>
        <w:pStyle w:val="Heading2"/>
        <w:spacing w:after="100" w:before="220"/>
      </w:pPr>
      <w:r>
        <w:t xml:space="preserve">C6.3 Predicates and unlinkability</w:t>
      </w:r>
    </w:p>
    <w:p>
      <w:pPr>
        <w:spacing w:after="120" w:line="276" w:lineRule="auto"/>
        <w:jc w:val="both"/>
      </w:pPr>
      <w:r>
        <w:rPr>
          <w:sz w:val="24"/>
          <w:szCs w:val="24"/>
        </w:rPr>
        <w:t xml:space="preserve">Wherever a yes/no or range answer suffices — “valid now”, “within scope”, “over 18” — the profile prefers a predicate over disclosure of the underlying attribute, so that the verifier learns only the answer. Because tourism involves many short interactions, the profile also addresses correlation: it recommends unlinkable presentation where the format supports it (for example BBS-based proofs) and, otherwise, batch-issued single-use credentials, so that presentations at different venues cannot be trivially linked by those verifiers. This corresponds to D1.2 requirement TW-SP-02.</w:t>
      </w:r>
    </w:p>
    <w:p>
      <w:pPr>
        <w:pStyle w:val="Heading2"/>
        <w:spacing w:after="100" w:before="220"/>
      </w:pPr>
      <w:r>
        <w:t xml:space="preserve">C6.4 Standards alignment and open questions</w:t>
      </w:r>
    </w:p>
    <w:p>
      <w:pPr>
        <w:spacing w:after="120" w:line="276" w:lineRule="auto"/>
        <w:jc w:val="both"/>
      </w:pPr>
      <w:r>
        <w:rPr>
          <w:sz w:val="24"/>
          <w:szCs w:val="24"/>
        </w:rPr>
        <w:t xml:space="preserve">The profile aligns with SD-JWT VC selective disclosure, the W3C Verifiable Credentials Data Model 2.0 and BBS-based unlinkable proofs, the presentation-request mechanisms of OpenID4VP, and the data elements of ISO/IEC 18013-5; its purpose is to operationalise the GDPR principles of data minimisation and purpose limitation. Open questions: who maintains the purpose registry and how it is versioned; the level of predicate support that can be assumed across credential formats; and how the profile aligns with EUDI relying-party registration, which determines what a relying party is permitted to request.</w:t>
      </w:r>
    </w:p>
    <w:p>
      <w:pPr>
        <w:pageBreakBefore/>
      </w:pPr>
    </w:p>
    <w:p>
      <w:pPr>
        <w:pStyle w:val="Heading1"/>
        <w:spacing w:after="140" w:before="320"/>
      </w:pPr>
      <w:r>
        <w:t xml:space="preserve">Annex — Mapping of contributions to requirements and gaps</w:t>
      </w:r>
    </w:p>
    <w:p>
      <w:pPr>
        <w:spacing w:after="120" w:line="276" w:lineRule="auto"/>
        <w:jc w:val="both"/>
      </w:pPr>
      <w:r>
        <w:rPr>
          <w:sz w:val="24"/>
          <w:szCs w:val="24"/>
        </w:rPr>
        <w:t xml:space="preserve">This annex traces each contribution back to the D1.2 requirements it carries and the D1.1 gaps it helps close, so reviewers can follow the chain from analysis to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100"/>
        <w:gridCol w:w="2660"/>
      </w:tblGrid>
      <w:tr>
        <w:trPr>
          <w:cantSplit/>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Ref</w:t>
            </w:r>
          </w:p>
        </w:tc>
        <w:tc>
          <w:tcPr>
            <w:tcW w:type="dxa" w:w="3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Requirements carried (D1.2)</w:t>
            </w:r>
          </w:p>
        </w:tc>
        <w:tc>
          <w:tcPr>
            <w:tcW w:type="dxa" w:w="2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Gaps (D1.1)</w:t>
            </w:r>
          </w:p>
        </w:tc>
        <w:tc>
          <w:tcPr>
            <w:tcW w:type="dxa" w:w="2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Target body</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C1</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TW-F-01/02/04/06/07; TW-SP-02/04</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G11, G3, G6, G8</w:t>
            </w:r>
          </w:p>
        </w:tc>
        <w:tc>
          <w:tcPr>
            <w:tcW w:type="dxa" w:w="2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VCWG / CCG</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C2</w:t>
            </w:r>
          </w:p>
        </w:tc>
        <w:tc>
          <w:tcPr>
            <w:tcW w:type="dxa" w:w="3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TW-F-02/03; TW-NF-03; TW-TL-01/02</w:t>
            </w:r>
          </w:p>
        </w:tc>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 G11, G5, G9</w:t>
            </w:r>
          </w:p>
        </w:tc>
        <w:tc>
          <w:tcPr>
            <w:tcW w:type="dxa" w:w="2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 (TS 23516; AWI 7603)</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C3</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TW-F-03 (priority)</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w:t>
            </w:r>
          </w:p>
        </w:tc>
        <w:tc>
          <w:tcPr>
            <w:tcW w:type="dxa" w:w="2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CCG; ETSI PDL; ISO 23516</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C4</w:t>
            </w:r>
          </w:p>
        </w:tc>
        <w:tc>
          <w:tcPr>
            <w:tcW w:type="dxa" w:w="3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TW-NF-01 (priority); TW-NF-02; TW-SP-04</w:t>
            </w:r>
          </w:p>
        </w:tc>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G2, G5</w:t>
            </w:r>
          </w:p>
        </w:tc>
        <w:tc>
          <w:tcPr>
            <w:tcW w:type="dxa" w:w="2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 Foundation; ISO 18013</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C5</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TW-TL-04 (priority); TW-SP-03; TW-NF-03</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G10, G7</w:t>
            </w:r>
          </w:p>
        </w:tc>
        <w:tc>
          <w:tcPr>
            <w:tcW w:type="dxa" w:w="2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eIDAS group; ETSI ESI</w:t>
            </w:r>
          </w:p>
        </w:tc>
      </w:tr>
      <w:tr>
        <w:trPr>
          <w:cantSplit/>
        </w:trP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C6</w:t>
            </w:r>
          </w:p>
        </w:tc>
        <w:tc>
          <w:tcPr>
            <w:tcW w:type="dxa" w:w="3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TW-SP-01 (priority); TW-SP-02</w:t>
            </w:r>
          </w:p>
        </w:tc>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G8</w:t>
            </w:r>
          </w:p>
        </w:tc>
        <w:tc>
          <w:tcPr>
            <w:tcW w:type="dxa" w:w="2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 JWG 4; W3C</w:t>
            </w:r>
          </w:p>
        </w:tc>
      </w:tr>
    </w:tbl>
    <w:p>
      <w:pPr>
        <w:spacing w:after="60"/>
      </w:pPr>
    </w:p>
    <w:p>
      <w:pPr>
        <w:spacing w:after="120" w:line="276" w:lineRule="auto"/>
        <w:jc w:val="both"/>
      </w:pPr>
      <w:r>
        <w:rPr>
          <w:i/>
          <w:iCs/>
          <w:color w:val="595959"/>
          <w:sz w:val="19"/>
          <w:szCs w:val="19"/>
        </w:rPr>
        <w:t xml:space="preserve">End of document.</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2"/>
      </w:pBdr>
      <w:tabs>
        <w:tab w:val="right" w:pos="9026"/>
      </w:tabs>
    </w:pPr>
    <w:r>
      <w:rPr>
        <w:color w:val="595959"/>
        <w:sz w:val="16"/>
        <w:szCs w:val="16"/>
      </w:rPr>
      <w:t xml:space="preserve">StandICT.eu 2029 · 2029-01-1530 · D2.1</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StandICT.eu 2029 · 2029-01-1530 · D2.1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pPr>
    <w:r>
      <w:rPr>
        <w:color w:val="595959"/>
        <w:sz w:val="16"/>
        <w:szCs w:val="16"/>
      </w:rPr>
      <w:t xml:space="preserve">Draft Standards Contributions for Non-Custodial Tourism Wallets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6" w:space="4"/>
      </w:pBd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Standards Contributions for Non-Custodial Tourism Wallets</dc:title>
  <dc:creator>Hugo Perez</dc:creator>
  <dc:description>StandICT.eu 2029 Fellowship 2029-01-1530 - Deliverable D2.1</dc:description>
  <cp:lastModifiedBy>Un-named</cp:lastModifiedBy>
  <cp:revision>1</cp:revision>
  <dcterms:created xsi:type="dcterms:W3CDTF">2026-05-31T15:49:07.361Z</dcterms:created>
  <dcterms:modified xsi:type="dcterms:W3CDTF">2026-05-31T15:49:07.361Z</dcterms:modified>
</cp:coreProperties>
</file>

<file path=docProps/custom.xml><?xml version="1.0" encoding="utf-8"?>
<Properties xmlns="http://schemas.openxmlformats.org/officeDocument/2006/custom-properties" xmlns:vt="http://schemas.openxmlformats.org/officeDocument/2006/docPropsVTypes"/>
</file>