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2E5496"/>
          <w:sz w:val="24"/>
          <w:szCs w:val="24"/>
        </w:rPr>
        <w:t xml:space="preserve">StandICT.eu 2029 — 1st Open Call</w:t>
      </w:r>
    </w:p>
    <w:p>
      <w:pPr>
        <w:pBdr>
          <w:bottom w:val="single" w:color="1F3864" w:sz="8" w:space="6"/>
        </w:pBdr>
        <w:spacing w:after="480"/>
      </w:pPr>
      <w:r>
        <w:rPr>
          <w:color w:val="595959"/>
          <w:sz w:val="22"/>
          <w:szCs w:val="22"/>
        </w:rPr>
        <w:t xml:space="preserve">Fellowship Project 2029-01-1530</w:t>
      </w:r>
    </w:p>
    <w:p>
      <w:pPr>
        <w:spacing w:after="120"/>
      </w:pPr>
      <w:r>
        <w:rPr>
          <w:b/>
          <w:bCs/>
          <w:color w:val="1F3864"/>
          <w:sz w:val="44"/>
          <w:szCs w:val="44"/>
        </w:rPr>
        <w:t xml:space="preserve">Wallet Interoperability Concepts</w:t>
      </w:r>
    </w:p>
    <w:p>
      <w:pPr>
        <w:spacing w:after="360"/>
      </w:pPr>
      <w:r>
        <w:rPr>
          <w:b/>
          <w:bCs/>
          <w:color w:val="1F3864"/>
          <w:sz w:val="36"/>
          <w:szCs w:val="36"/>
        </w:rPr>
        <w:t xml:space="preserve">Concepts and Reference Architecture for Interoperable Non-Custodial Tourism Wallets</w:t>
      </w:r>
    </w:p>
    <w:p>
      <w:pPr>
        <w:spacing w:after="80"/>
      </w:pPr>
      <w:r>
        <w:rPr>
          <w:b/>
          <w:bCs/>
          <w:sz w:val="24"/>
          <w:szCs w:val="24"/>
        </w:rPr>
        <w:t xml:space="preserve">Project: Standardizing Non-Custodial Wallet Infrastructure for Tourism</w:t>
      </w:r>
    </w:p>
    <w:p>
      <w:pPr>
        <w:spacing w:after="80"/>
      </w:pPr>
      <w:r>
        <w:rPr>
          <w:color w:val="595959"/>
          <w:sz w:val="22"/>
          <w:szCs w:val="22"/>
        </w:rPr>
        <w:t xml:space="preserve">Phase 2 — Standards Contribution and Technical Drafting · Deliverable D2.2</w:t>
      </w:r>
    </w:p>
    <w:p>
      <w:pPr>
        <w:spacing w:after="480"/>
      </w:pPr>
      <w:r>
        <w:rPr>
          <w:color w:val="595959"/>
          <w:sz w:val="22"/>
          <w:szCs w:val="22"/>
        </w:rPr>
        <w:t xml:space="preserve">Mid-term reporting period · May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Value</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Fellow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Organisation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KODE de Hugo A Perez S. SL (Spain)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Application ID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2029-01-1530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Companion deliverables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(gaps); D1.2 (requirements); D2.1 (draft contributions)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Relationship</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Conceptual and architectural basis for the open-source reference implementation (in progress)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Dissemination level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Public</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Interoperability concepts and reference architecture</w:t>
            </w:r>
          </w:p>
        </w:tc>
      </w:tr>
    </w:tbl>
    <w:p>
      <w:pPr>
        <w:pageBreakBefore/>
      </w:pPr>
    </w:p>
    <w:p>
      <w:pPr>
        <w:pStyle w:val="Heading1"/>
        <w:spacing w:after="14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title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Wallet Interoperability Concepts for Non-Custodial Tourism Wallets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D2.2 (Phase 2 — Standards Contribution and Technical Drafting)</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Author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 — mid-term reporting period; reference implementation in progress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Source currency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 and SDO interoperability efforts verified as of May 2026</w:t>
            </w:r>
          </w:p>
        </w:tc>
      </w:tr>
    </w:tbl>
    <w:p>
      <w:pPr>
        <w:spacing w:after="60"/>
      </w:pPr>
    </w:p>
    <w:p>
      <w:pPr>
        <w:spacing w:after="80" w:before="120"/>
      </w:pPr>
      <w:r>
        <w:rPr>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cantSplit/>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Date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Notes</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0.5</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Dimensions, reference architecture and profile concept</w:t>
            </w:r>
          </w:p>
        </w:tc>
      </w:tr>
      <w:tr>
        <w:trPr>
          <w:cantSplit/>
        </w:trPr>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Flows, testing concepts and implementation guidance added</w:t>
            </w:r>
          </w:p>
        </w:tc>
      </w:tr>
    </w:tbl>
    <w:p>
      <w:pPr>
        <w:pageBreakBefore/>
      </w:pPr>
    </w:p>
    <w:p>
      <w:pPr>
        <w:pStyle w:val="Heading1"/>
        <w:spacing w:after="140" w:before="320"/>
      </w:pPr>
      <w:r>
        <w:t xml:space="preserve">Table of contents</w:t>
      </w:r>
    </w:p>
    <w:p>
      <w:pPr>
        <w:tabs>
          <w:tab w:val="right" w:pos="9360" w:leader="dot"/>
        </w:tabs>
        <w:spacing w:after="40" w:line="264" w:lineRule="auto"/>
        <w:ind w:left="0"/>
      </w:pPr>
      <w:r>
        <w:rPr>
          <w:b/>
          <w:bCs/>
          <w:color w:val="1F3864"/>
          <w:sz w:val="22"/>
          <w:szCs w:val="22"/>
        </w:rPr>
        <w:t xml:space="preserve">About this document</w:t>
      </w:r>
      <w:r>
        <w:rPr>
          <w:sz w:val="21"/>
          <w:szCs w:val="21"/>
        </w:rPr>
        <w:t xml:space="preserve">	5</w:t>
      </w:r>
    </w:p>
    <w:p>
      <w:pPr>
        <w:tabs>
          <w:tab w:val="right" w:pos="9360" w:leader="dot"/>
        </w:tabs>
        <w:spacing w:after="40" w:line="264" w:lineRule="auto"/>
        <w:ind w:left="0"/>
      </w:pPr>
      <w:r>
        <w:rPr>
          <w:b/>
          <w:bCs/>
          <w:color w:val="1F3864"/>
          <w:sz w:val="22"/>
          <w:szCs w:val="22"/>
        </w:rPr>
        <w:t xml:space="preserve">1. Introduction</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1.1 Purpose</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1.2 Scope</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1.3 Relationship to other deliverables and to the reference implementation</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1.4 Method and status</w:t>
      </w:r>
      <w:r>
        <w:rPr>
          <w:sz w:val="21"/>
          <w:szCs w:val="21"/>
        </w:rPr>
        <w:t xml:space="preserve">	6</w:t>
      </w:r>
    </w:p>
    <w:p>
      <w:pPr>
        <w:tabs>
          <w:tab w:val="right" w:pos="9360" w:leader="dot"/>
        </w:tabs>
        <w:spacing w:after="40" w:line="264" w:lineRule="auto"/>
        <w:ind w:left="0"/>
      </w:pPr>
      <w:r>
        <w:rPr>
          <w:b/>
          <w:bCs/>
          <w:color w:val="1F3864"/>
          <w:sz w:val="22"/>
          <w:szCs w:val="22"/>
        </w:rPr>
        <w:t xml:space="preserve">2. What interoperability means here</w:t>
      </w:r>
      <w:r>
        <w:rPr>
          <w:sz w:val="21"/>
          <w:szCs w:val="21"/>
        </w:rPr>
        <w:t xml:space="preserve">	7</w:t>
      </w:r>
    </w:p>
    <w:p>
      <w:pPr>
        <w:tabs>
          <w:tab w:val="right" w:pos="9360" w:leader="dot"/>
        </w:tabs>
        <w:spacing w:after="40" w:line="264" w:lineRule="auto"/>
        <w:ind w:left="360"/>
      </w:pPr>
      <w:r>
        <w:rPr>
          <w:b w:val="false"/>
          <w:bCs w:val="false"/>
          <w:color w:val="000000"/>
          <w:sz w:val="21"/>
          <w:szCs w:val="21"/>
        </w:rPr>
        <w:t xml:space="preserve">2.1 Definitions</w:t>
      </w:r>
      <w:r>
        <w:rPr>
          <w:sz w:val="21"/>
          <w:szCs w:val="21"/>
        </w:rPr>
        <w:t xml:space="preserve">	7</w:t>
      </w:r>
    </w:p>
    <w:p>
      <w:pPr>
        <w:tabs>
          <w:tab w:val="right" w:pos="9360" w:leader="dot"/>
        </w:tabs>
        <w:spacing w:after="40" w:line="264" w:lineRule="auto"/>
        <w:ind w:left="360"/>
      </w:pPr>
      <w:r>
        <w:rPr>
          <w:b w:val="false"/>
          <w:bCs w:val="false"/>
          <w:color w:val="000000"/>
          <w:sz w:val="21"/>
          <w:szCs w:val="21"/>
        </w:rPr>
        <w:t xml:space="preserve">2.2 Interoperability layers</w:t>
      </w:r>
      <w:r>
        <w:rPr>
          <w:sz w:val="21"/>
          <w:szCs w:val="21"/>
        </w:rPr>
        <w:t xml:space="preserve">	7</w:t>
      </w:r>
    </w:p>
    <w:p>
      <w:pPr>
        <w:tabs>
          <w:tab w:val="right" w:pos="9360" w:leader="dot"/>
        </w:tabs>
        <w:spacing w:after="40" w:line="264" w:lineRule="auto"/>
        <w:ind w:left="360"/>
      </w:pPr>
      <w:r>
        <w:rPr>
          <w:b w:val="false"/>
          <w:bCs w:val="false"/>
          <w:color w:val="000000"/>
          <w:sz w:val="21"/>
          <w:szCs w:val="21"/>
        </w:rPr>
        <w:t xml:space="preserve">2.3 Why tourism stresses interoperability</w:t>
      </w:r>
      <w:r>
        <w:rPr>
          <w:sz w:val="21"/>
          <w:szCs w:val="21"/>
        </w:rPr>
        <w:t xml:space="preserve">	7</w:t>
      </w:r>
    </w:p>
    <w:p>
      <w:pPr>
        <w:tabs>
          <w:tab w:val="right" w:pos="9360" w:leader="dot"/>
        </w:tabs>
        <w:spacing w:after="40" w:line="264" w:lineRule="auto"/>
        <w:ind w:left="0"/>
      </w:pPr>
      <w:r>
        <w:rPr>
          <w:b/>
          <w:bCs/>
          <w:color w:val="1F3864"/>
          <w:sz w:val="22"/>
          <w:szCs w:val="22"/>
        </w:rPr>
        <w:t xml:space="preserve">3. The interoperability landscape</w:t>
      </w:r>
      <w:r>
        <w:rPr>
          <w:sz w:val="21"/>
          <w:szCs w:val="21"/>
        </w:rPr>
        <w:t xml:space="preserve">	9</w:t>
      </w:r>
    </w:p>
    <w:p>
      <w:pPr>
        <w:tabs>
          <w:tab w:val="right" w:pos="9360" w:leader="dot"/>
        </w:tabs>
        <w:spacing w:after="40" w:line="264" w:lineRule="auto"/>
        <w:ind w:left="360"/>
      </w:pPr>
      <w:r>
        <w:rPr>
          <w:b w:val="false"/>
          <w:bCs w:val="false"/>
          <w:color w:val="000000"/>
          <w:sz w:val="21"/>
          <w:szCs w:val="21"/>
        </w:rPr>
        <w:t xml:space="preserve">3.1 The EU Digital Identity Wallet as the baseline</w:t>
      </w:r>
      <w:r>
        <w:rPr>
          <w:sz w:val="21"/>
          <w:szCs w:val="21"/>
        </w:rPr>
        <w:t xml:space="preserve">	9</w:t>
      </w:r>
    </w:p>
    <w:p>
      <w:pPr>
        <w:tabs>
          <w:tab w:val="right" w:pos="9360" w:leader="dot"/>
        </w:tabs>
        <w:spacing w:after="40" w:line="264" w:lineRule="auto"/>
        <w:ind w:left="360"/>
      </w:pPr>
      <w:r>
        <w:rPr>
          <w:b w:val="false"/>
          <w:bCs w:val="false"/>
          <w:color w:val="000000"/>
          <w:sz w:val="21"/>
          <w:szCs w:val="21"/>
        </w:rPr>
        <w:t xml:space="preserve">3.2 The Large Scale Pilots and digital travel credentials</w:t>
      </w:r>
      <w:r>
        <w:rPr>
          <w:sz w:val="21"/>
          <w:szCs w:val="21"/>
        </w:rPr>
        <w:t xml:space="preserve">	9</w:t>
      </w:r>
    </w:p>
    <w:p>
      <w:pPr>
        <w:tabs>
          <w:tab w:val="right" w:pos="9360" w:leader="dot"/>
        </w:tabs>
        <w:spacing w:after="40" w:line="264" w:lineRule="auto"/>
        <w:ind w:left="360"/>
      </w:pPr>
      <w:r>
        <w:rPr>
          <w:b w:val="false"/>
          <w:bCs w:val="false"/>
          <w:color w:val="000000"/>
          <w:sz w:val="21"/>
          <w:szCs w:val="21"/>
        </w:rPr>
        <w:t xml:space="preserve">3.3 OpenID4VC and the High Assurance Interoperability Profile</w:t>
      </w:r>
      <w:r>
        <w:rPr>
          <w:sz w:val="21"/>
          <w:szCs w:val="21"/>
        </w:rPr>
        <w:t xml:space="preserve">	9</w:t>
      </w:r>
    </w:p>
    <w:p>
      <w:pPr>
        <w:tabs>
          <w:tab w:val="right" w:pos="9360" w:leader="dot"/>
        </w:tabs>
        <w:spacing w:after="40" w:line="264" w:lineRule="auto"/>
        <w:ind w:left="360"/>
      </w:pPr>
      <w:r>
        <w:rPr>
          <w:b w:val="false"/>
          <w:bCs w:val="false"/>
          <w:color w:val="000000"/>
          <w:sz w:val="21"/>
          <w:szCs w:val="21"/>
        </w:rPr>
        <w:t xml:space="preserve">3.4 Credential formats and the Digital Travel Credential</w:t>
      </w:r>
      <w:r>
        <w:rPr>
          <w:sz w:val="21"/>
          <w:szCs w:val="21"/>
        </w:rPr>
        <w:t xml:space="preserve">	10</w:t>
      </w:r>
    </w:p>
    <w:p>
      <w:pPr>
        <w:tabs>
          <w:tab w:val="right" w:pos="9360" w:leader="dot"/>
        </w:tabs>
        <w:spacing w:after="40" w:line="264" w:lineRule="auto"/>
        <w:ind w:left="360"/>
      </w:pPr>
      <w:r>
        <w:rPr>
          <w:b w:val="false"/>
          <w:bCs w:val="false"/>
          <w:color w:val="000000"/>
          <w:sz w:val="21"/>
          <w:szCs w:val="21"/>
        </w:rPr>
        <w:t xml:space="preserve">3.5 ISO, W3C and ETSI interoperability work</w:t>
      </w:r>
      <w:r>
        <w:rPr>
          <w:sz w:val="21"/>
          <w:szCs w:val="21"/>
        </w:rPr>
        <w:t xml:space="preserve">	10</w:t>
      </w:r>
    </w:p>
    <w:p>
      <w:pPr>
        <w:tabs>
          <w:tab w:val="right" w:pos="9360" w:leader="dot"/>
        </w:tabs>
        <w:spacing w:after="40" w:line="264" w:lineRule="auto"/>
        <w:ind w:left="0"/>
      </w:pPr>
      <w:r>
        <w:rPr>
          <w:b/>
          <w:bCs/>
          <w:color w:val="1F3864"/>
          <w:sz w:val="22"/>
          <w:szCs w:val="22"/>
        </w:rPr>
        <w:t xml:space="preserve">4. Interoperability dimensions</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4.1 The nine dimensions</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4.2 Dimension detail</w:t>
      </w:r>
      <w:r>
        <w:rPr>
          <w:sz w:val="21"/>
          <w:szCs w:val="21"/>
        </w:rPr>
        <w:t xml:space="preserve">	11</w:t>
      </w:r>
    </w:p>
    <w:p>
      <w:pPr>
        <w:tabs>
          <w:tab w:val="right" w:pos="9360" w:leader="dot"/>
        </w:tabs>
        <w:spacing w:after="40" w:line="264" w:lineRule="auto"/>
        <w:ind w:left="0"/>
      </w:pPr>
      <w:r>
        <w:rPr>
          <w:b/>
          <w:bCs/>
          <w:color w:val="1F3864"/>
          <w:sz w:val="22"/>
          <w:szCs w:val="22"/>
        </w:rPr>
        <w:t xml:space="preserve">5. A reference architecture for interoperable tourism wallets</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5.1 Layered model</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5.2 Conformance roles</w:t>
      </w:r>
      <w:r>
        <w:rPr>
          <w:sz w:val="21"/>
          <w:szCs w:val="21"/>
        </w:rPr>
        <w:t xml:space="preserve">	13</w:t>
      </w:r>
    </w:p>
    <w:p>
      <w:pPr>
        <w:tabs>
          <w:tab w:val="right" w:pos="9360" w:leader="dot"/>
        </w:tabs>
        <w:spacing w:after="40" w:line="264" w:lineRule="auto"/>
        <w:ind w:left="0"/>
      </w:pPr>
      <w:r>
        <w:rPr>
          <w:b/>
          <w:bCs/>
          <w:color w:val="1F3864"/>
          <w:sz w:val="22"/>
          <w:szCs w:val="22"/>
        </w:rPr>
        <w:t xml:space="preserve">6. The Tourism Interoperability Profile</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6.1 Concept</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6.2 Profile choices</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6.3 Conformance classes</w:t>
      </w:r>
      <w:r>
        <w:rPr>
          <w:sz w:val="21"/>
          <w:szCs w:val="21"/>
        </w:rPr>
        <w:t xml:space="preserve">	14</w:t>
      </w:r>
    </w:p>
    <w:p>
      <w:pPr>
        <w:tabs>
          <w:tab w:val="right" w:pos="9360" w:leader="dot"/>
        </w:tabs>
        <w:spacing w:after="40" w:line="264" w:lineRule="auto"/>
        <w:ind w:left="0"/>
      </w:pPr>
      <w:r>
        <w:rPr>
          <w:b/>
          <w:bCs/>
          <w:color w:val="1F3864"/>
          <w:sz w:val="22"/>
          <w:szCs w:val="22"/>
        </w:rPr>
        <w:t xml:space="preserve">7. Interoperability flows</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7.1 Issuance</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7.2 Online presentation</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7.3 Offline presentation</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7.4 Credential–token binding verification</w:t>
      </w:r>
      <w:r>
        <w:rPr>
          <w:sz w:val="21"/>
          <w:szCs w:val="21"/>
        </w:rPr>
        <w:t xml:space="preserve">	16</w:t>
      </w:r>
    </w:p>
    <w:p>
      <w:pPr>
        <w:tabs>
          <w:tab w:val="right" w:pos="9360" w:leader="dot"/>
        </w:tabs>
        <w:spacing w:after="40" w:line="264" w:lineRule="auto"/>
        <w:ind w:left="360"/>
      </w:pPr>
      <w:r>
        <w:rPr>
          <w:b w:val="false"/>
          <w:bCs w:val="false"/>
          <w:color w:val="000000"/>
          <w:sz w:val="21"/>
          <w:szCs w:val="21"/>
        </w:rPr>
        <w:t xml:space="preserve">7.5 Cross-border verification</w:t>
      </w:r>
      <w:r>
        <w:rPr>
          <w:sz w:val="21"/>
          <w:szCs w:val="21"/>
        </w:rPr>
        <w:t xml:space="preserve">	16</w:t>
      </w:r>
    </w:p>
    <w:p>
      <w:pPr>
        <w:tabs>
          <w:tab w:val="right" w:pos="9360" w:leader="dot"/>
        </w:tabs>
        <w:spacing w:after="40" w:line="264" w:lineRule="auto"/>
        <w:ind w:left="0"/>
      </w:pPr>
      <w:r>
        <w:rPr>
          <w:b/>
          <w:bCs/>
          <w:color w:val="1F3864"/>
          <w:sz w:val="22"/>
          <w:szCs w:val="22"/>
        </w:rPr>
        <w:t xml:space="preserve">8. Interoperability testing and conformance</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8.1 Test approach</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8.2 Requirement-to-test mapping</w:t>
      </w:r>
      <w:r>
        <w:rPr>
          <w:sz w:val="21"/>
          <w:szCs w:val="21"/>
        </w:rPr>
        <w:t xml:space="preserve">	17</w:t>
      </w:r>
    </w:p>
    <w:p>
      <w:pPr>
        <w:tabs>
          <w:tab w:val="right" w:pos="9360" w:leader="dot"/>
        </w:tabs>
        <w:spacing w:after="40" w:line="264" w:lineRule="auto"/>
        <w:ind w:left="0"/>
      </w:pPr>
      <w:r>
        <w:rPr>
          <w:b/>
          <w:bCs/>
          <w:color w:val="1F3864"/>
          <w:sz w:val="22"/>
          <w:szCs w:val="22"/>
        </w:rPr>
        <w:t xml:space="preserve">9. The open-source reference implementation</w:t>
      </w:r>
      <w:r>
        <w:rPr>
          <w:sz w:val="21"/>
          <w:szCs w:val="21"/>
        </w:rPr>
        <w:t xml:space="preserve">	18</w:t>
      </w:r>
    </w:p>
    <w:p>
      <w:pPr>
        <w:tabs>
          <w:tab w:val="right" w:pos="9360" w:leader="dot"/>
        </w:tabs>
        <w:spacing w:after="40" w:line="264" w:lineRule="auto"/>
        <w:ind w:left="360"/>
      </w:pPr>
      <w:r>
        <w:rPr>
          <w:b w:val="false"/>
          <w:bCs w:val="false"/>
          <w:color w:val="000000"/>
          <w:sz w:val="21"/>
          <w:szCs w:val="21"/>
        </w:rPr>
        <w:t xml:space="preserve">9.1 Purpose and interoperability posture</w:t>
      </w:r>
      <w:r>
        <w:rPr>
          <w:sz w:val="21"/>
          <w:szCs w:val="21"/>
        </w:rPr>
        <w:t xml:space="preserve">	18</w:t>
      </w:r>
    </w:p>
    <w:p>
      <w:pPr>
        <w:tabs>
          <w:tab w:val="right" w:pos="9360" w:leader="dot"/>
        </w:tabs>
        <w:spacing w:after="40" w:line="264" w:lineRule="auto"/>
        <w:ind w:left="360"/>
      </w:pPr>
      <w:r>
        <w:rPr>
          <w:b w:val="false"/>
          <w:bCs w:val="false"/>
          <w:color w:val="000000"/>
          <w:sz w:val="21"/>
          <w:szCs w:val="21"/>
        </w:rPr>
        <w:t xml:space="preserve">9.2 Recommended architecture</w:t>
      </w:r>
      <w:r>
        <w:rPr>
          <w:sz w:val="21"/>
          <w:szCs w:val="21"/>
        </w:rPr>
        <w:t xml:space="preserve">	18</w:t>
      </w:r>
    </w:p>
    <w:p>
      <w:pPr>
        <w:tabs>
          <w:tab w:val="right" w:pos="9360" w:leader="dot"/>
        </w:tabs>
        <w:spacing w:after="40" w:line="264" w:lineRule="auto"/>
        <w:ind w:left="360"/>
      </w:pPr>
      <w:r>
        <w:rPr>
          <w:b w:val="false"/>
          <w:bCs w:val="false"/>
          <w:color w:val="000000"/>
          <w:sz w:val="21"/>
          <w:szCs w:val="21"/>
        </w:rPr>
        <w:t xml:space="preserve">9.3 What it demonstrates</w:t>
      </w:r>
      <w:r>
        <w:rPr>
          <w:sz w:val="21"/>
          <w:szCs w:val="21"/>
        </w:rPr>
        <w:t xml:space="preserve">	18</w:t>
      </w:r>
    </w:p>
    <w:p>
      <w:pPr>
        <w:tabs>
          <w:tab w:val="right" w:pos="9360" w:leader="dot"/>
        </w:tabs>
        <w:spacing w:after="40" w:line="264" w:lineRule="auto"/>
        <w:ind w:left="360"/>
      </w:pPr>
      <w:r>
        <w:rPr>
          <w:b w:val="false"/>
          <w:bCs w:val="false"/>
          <w:color w:val="000000"/>
          <w:sz w:val="21"/>
          <w:szCs w:val="21"/>
        </w:rPr>
        <w:t xml:space="preserve">9.4 Scope, licensing and roadmap</w:t>
      </w:r>
      <w:r>
        <w:rPr>
          <w:sz w:val="21"/>
          <w:szCs w:val="21"/>
        </w:rPr>
        <w:t xml:space="preserve">	19</w:t>
      </w:r>
    </w:p>
    <w:p>
      <w:pPr>
        <w:tabs>
          <w:tab w:val="right" w:pos="9360" w:leader="dot"/>
        </w:tabs>
        <w:spacing w:after="40" w:line="264" w:lineRule="auto"/>
        <w:ind w:left="0"/>
      </w:pPr>
      <w:r>
        <w:rPr>
          <w:b/>
          <w:bCs/>
          <w:color w:val="1F3864"/>
          <w:sz w:val="22"/>
          <w:szCs w:val="22"/>
        </w:rPr>
        <w:t xml:space="preserve">10. Open challenges and recommendations</w:t>
      </w:r>
      <w:r>
        <w:rPr>
          <w:sz w:val="21"/>
          <w:szCs w:val="21"/>
        </w:rPr>
        <w:t xml:space="preserve">	20</w:t>
      </w:r>
    </w:p>
    <w:p>
      <w:pPr>
        <w:tabs>
          <w:tab w:val="right" w:pos="9360" w:leader="dot"/>
        </w:tabs>
        <w:spacing w:after="40" w:line="264" w:lineRule="auto"/>
        <w:ind w:left="0"/>
      </w:pPr>
      <w:r>
        <w:rPr>
          <w:b/>
          <w:bCs/>
          <w:color w:val="1F3864"/>
          <w:sz w:val="22"/>
          <w:szCs w:val="22"/>
        </w:rPr>
        <w:t xml:space="preserve">11. Conclusion</w:t>
      </w:r>
      <w:r>
        <w:rPr>
          <w:sz w:val="21"/>
          <w:szCs w:val="21"/>
        </w:rPr>
        <w:t xml:space="preserve">	21</w:t>
      </w:r>
    </w:p>
    <w:p>
      <w:pPr>
        <w:tabs>
          <w:tab w:val="right" w:pos="9360" w:leader="dot"/>
        </w:tabs>
        <w:spacing w:after="40" w:line="264" w:lineRule="auto"/>
        <w:ind w:left="0"/>
      </w:pPr>
      <w:r>
        <w:rPr>
          <w:b/>
          <w:bCs/>
          <w:color w:val="1F3864"/>
          <w:sz w:val="22"/>
          <w:szCs w:val="22"/>
        </w:rPr>
        <w:t xml:space="preserve">Annex A — Interoperability dimensions and governing standards</w:t>
      </w:r>
      <w:r>
        <w:rPr>
          <w:sz w:val="21"/>
          <w:szCs w:val="21"/>
        </w:rPr>
        <w:t xml:space="preserve">	22</w:t>
      </w:r>
    </w:p>
    <w:p>
      <w:pPr>
        <w:tabs>
          <w:tab w:val="right" w:pos="9360" w:leader="dot"/>
        </w:tabs>
        <w:spacing w:after="40" w:line="264" w:lineRule="auto"/>
        <w:ind w:left="0"/>
      </w:pPr>
      <w:r>
        <w:rPr>
          <w:b/>
          <w:bCs/>
          <w:color w:val="1F3864"/>
          <w:sz w:val="22"/>
          <w:szCs w:val="22"/>
        </w:rPr>
        <w:t xml:space="preserve">Annex B — Requirement-to-interoperability-test mapping</w:t>
      </w:r>
      <w:r>
        <w:rPr>
          <w:sz w:val="21"/>
          <w:szCs w:val="21"/>
        </w:rPr>
        <w:t xml:space="preserve">	23</w:t>
      </w:r>
    </w:p>
    <w:p>
      <w:pPr>
        <w:pageBreakBefore/>
      </w:pPr>
    </w:p>
    <w:p>
      <w:pPr>
        <w:pStyle w:val="Heading1"/>
        <w:spacing w:after="140" w:before="320"/>
      </w:pPr>
      <w:r>
        <w:t xml:space="preserve">About this document</w:t>
      </w:r>
    </w:p>
    <w:p>
      <w:pPr>
        <w:spacing w:after="120" w:line="276" w:lineRule="auto"/>
        <w:jc w:val="both"/>
      </w:pPr>
      <w:r>
        <w:rPr>
          <w:sz w:val="24"/>
          <w:szCs w:val="24"/>
        </w:rPr>
        <w:t xml:space="preserve">This deliverable develops the wallet interoperability concepts for the fellowship and sets out a reference architecture that an interoperable non-custodial tourism wallet should follow. It is the conceptual and architectural counterpart to the open-source reference implementation, which is under development: where the implementation will demonstrate interoperability in code, this document defines what interoperability means for tourism wallets, which existing efforts it must align with, and how it can be tested.</w:t>
      </w:r>
    </w:p>
    <w:p>
      <w:pPr>
        <w:spacing w:after="120" w:line="276" w:lineRule="auto"/>
        <w:jc w:val="both"/>
      </w:pPr>
      <w:r>
        <w:rPr>
          <w:sz w:val="24"/>
          <w:szCs w:val="24"/>
        </w:rPr>
        <w:t xml:space="preserve">The document builds on the earlier deliverables — the gap analysis (D1.1), the requirements (D1.2) and the draft standards contributions (D2.1) — and turns them toward a single question: how do a traveller’s wallet, the operators who issue entitlements, and the venues who verify them actually interoperate, across borders, formats, ledgers and trust frameworks, without anyone being locked into a single vendor? It is deliberately aligned with, not parallel to, the European baseline: the EU Digital Identity Wallet, the OpenID for Verifiable Credentials protocol family, and the travel-focused Large Scale Pilots.</w:t>
      </w:r>
    </w:p>
    <w:p>
      <w:pPr>
        <w:pageBreakBefore/>
      </w:pPr>
    </w:p>
    <w:p>
      <w:pPr>
        <w:pStyle w:val="Heading1"/>
        <w:spacing w:after="140" w:before="320"/>
      </w:pPr>
      <w:r>
        <w:t xml:space="preserve">1. Introduction</w:t>
      </w:r>
    </w:p>
    <w:p>
      <w:pPr>
        <w:pStyle w:val="Heading2"/>
        <w:spacing w:after="100" w:before="220"/>
      </w:pPr>
      <w:r>
        <w:t xml:space="preserve">1.1 Purpose</w:t>
      </w:r>
    </w:p>
    <w:p>
      <w:pPr>
        <w:spacing w:after="120" w:line="276" w:lineRule="auto"/>
        <w:jc w:val="both"/>
      </w:pPr>
      <w:r>
        <w:rPr>
          <w:sz w:val="24"/>
          <w:szCs w:val="24"/>
        </w:rPr>
        <w:t xml:space="preserve">The purpose of this document is threefold: to define the concept of interoperability as it applies to non-custodial tourism wallets; to give a reference architecture and a tourism interoperability profile that conforming systems can target; and to frame the open-source reference implementation as a demonstration and test vehicle for that interoperability. It is a concepts-and-architecture document, not a product specification.</w:t>
      </w:r>
    </w:p>
    <w:p>
      <w:pPr>
        <w:pStyle w:val="Heading2"/>
        <w:spacing w:after="100" w:before="220"/>
      </w:pPr>
      <w:r>
        <w:t xml:space="preserve">1.2 Scope</w:t>
      </w:r>
    </w:p>
    <w:p>
      <w:pPr>
        <w:spacing w:after="120" w:line="276" w:lineRule="auto"/>
        <w:jc w:val="both"/>
      </w:pPr>
      <w:r>
        <w:rPr>
          <w:sz w:val="24"/>
          <w:szCs w:val="24"/>
        </w:rPr>
        <w:t xml:space="preserve">The scope is the interoperability of the wallet, credential and entitlement layer for tourism: issuance, presentation (online and offline), credential and token formats, semantics, trust, status, binding, portability and cross-border verification. Network and consensus mechanisms, payment rails and the internals of operator systems are out of scope except at their interfaces to the wallet.</w:t>
      </w:r>
    </w:p>
    <w:p>
      <w:pPr>
        <w:pStyle w:val="Heading2"/>
        <w:spacing w:after="100" w:before="220"/>
      </w:pPr>
      <w:r>
        <w:t xml:space="preserve">1.3 Relationship to other deliverables and to the reference implementation</w:t>
      </w:r>
    </w:p>
    <w:p>
      <w:pPr>
        <w:spacing w:after="120" w:line="276" w:lineRule="auto"/>
        <w:jc w:val="both"/>
      </w:pPr>
      <w:r>
        <w:rPr>
          <w:sz w:val="24"/>
          <w:szCs w:val="24"/>
        </w:rPr>
        <w:t xml:space="preserve">D1.1 identified the gaps, D1.2 specified the requirements (TW-…), and D2.1 drafted the contributions, including two technical notes that this document depends on: the credential–token binding note and the offline verification profile. This document assembles those threads into an interoperability architecture and profile. The open-source reference implementation, which is in progress, is treated here as the artifact that will exercise the architecture; section 9 sets out what it should demonstrate and how it should be structured so that it doubles as an interoperability testbed.</w:t>
      </w:r>
    </w:p>
    <w:p>
      <w:pPr>
        <w:pStyle w:val="Heading2"/>
        <w:spacing w:after="100" w:before="220"/>
      </w:pPr>
      <w:r>
        <w:t xml:space="preserve">1.4 Method and status</w:t>
      </w:r>
    </w:p>
    <w:p>
      <w:pPr>
        <w:spacing w:after="120" w:line="276" w:lineRule="auto"/>
        <w:jc w:val="both"/>
      </w:pPr>
      <w:r>
        <w:rPr>
          <w:sz w:val="24"/>
          <w:szCs w:val="24"/>
        </w:rPr>
        <w:t xml:space="preserve">The concepts are grounded in the live European interoperability efforts surveyed as of May 2026 — the EU Digital Identity Wallet Architecture and Reference Framework, the OpenID for Verifiable Credentials specifications and their conformance programme, and the travel-focused Large Scale Pilots — and informed by the author’s experience designing and operating production blockchain platforms for tourism (including as CTO and co-founder of a blockchain tourism platform). The reference implementation is under active development; statements about it are design intent, not claims of a finished system.</w:t>
      </w:r>
    </w:p>
    <w:p>
      <w:pPr>
        <w:pageBreakBefore/>
      </w:pPr>
    </w:p>
    <w:p>
      <w:pPr>
        <w:pStyle w:val="Heading1"/>
        <w:spacing w:after="140" w:before="320"/>
      </w:pPr>
      <w:r>
        <w:t xml:space="preserve">2. What interoperability means here</w:t>
      </w:r>
    </w:p>
    <w:p>
      <w:pPr>
        <w:pStyle w:val="Heading2"/>
        <w:spacing w:after="100" w:before="220"/>
      </w:pPr>
      <w:r>
        <w:t xml:space="preserve">2.1 Definitions</w:t>
      </w:r>
    </w:p>
    <w:p>
      <w:pPr>
        <w:spacing w:after="120" w:line="276" w:lineRule="auto"/>
        <w:jc w:val="both"/>
      </w:pPr>
      <w:r>
        <w:rPr>
          <w:sz w:val="24"/>
          <w:szCs w:val="24"/>
        </w:rPr>
        <w:t xml:space="preserve">Interoperability is the ability of independently built systems to work together correctly. Three levels are useful to distinguish. Syntactic interoperability means the systems exchange data in a format each can parse. Semantic interoperability means they interpret that data to mean the same thing. Behavioural interoperability means they follow compatible protocols and state machines, so an exchange completes correctly end to end. A tourism wallet must achieve all three: a verifier must be able to parse a presented entitlement, understand what the entitlement grants, and complete the verification exchange — even when the wallet, the issuer and the verifier were built by different parties in different countries.</w:t>
      </w:r>
    </w:p>
    <w:p>
      <w:pPr>
        <w:pStyle w:val="Heading2"/>
        <w:spacing w:after="100" w:before="220"/>
      </w:pPr>
      <w:r>
        <w:t xml:space="preserve">2.2 Interoperability layers</w:t>
      </w:r>
    </w:p>
    <w:p>
      <w:pPr>
        <w:spacing w:after="120" w:line="276" w:lineRule="auto"/>
        <w:jc w:val="both"/>
      </w:pPr>
      <w:r>
        <w:rPr>
          <w:sz w:val="24"/>
          <w:szCs w:val="24"/>
        </w:rPr>
        <w:t xml:space="preserve">Following the European Interoperability Framework, interoperability is more than technical. Four layers apply to tourism wallets:</w:t>
      </w:r>
    </w:p>
    <w:p>
      <w:pPr>
        <w:pStyle w:val="ListParagraph"/>
        <w:numPr>
          <w:ilvl w:val="0"/>
          <w:numId w:val="2"/>
        </w:numPr>
        <w:spacing w:after="80" w:line="276" w:lineRule="auto"/>
        <w:jc w:val="both"/>
      </w:pPr>
      <w:r>
        <w:rPr>
          <w:b/>
          <w:bCs/>
          <w:sz w:val="24"/>
          <w:szCs w:val="24"/>
        </w:rPr>
        <w:t xml:space="preserve">Legal. </w:t>
      </w:r>
      <w:r>
        <w:rPr>
          <w:sz w:val="24"/>
          <w:szCs w:val="24"/>
        </w:rPr>
        <w:t xml:space="preserve">Compatible legal effect — an entitlement or attestation issued under one Member State’s rules is recognised under another’s, consistent with eIDAS and consumer law.</w:t>
      </w:r>
    </w:p>
    <w:p>
      <w:pPr>
        <w:pStyle w:val="ListParagraph"/>
        <w:numPr>
          <w:ilvl w:val="0"/>
          <w:numId w:val="2"/>
        </w:numPr>
        <w:spacing w:after="80" w:line="276" w:lineRule="auto"/>
        <w:jc w:val="both"/>
      </w:pPr>
      <w:r>
        <w:rPr>
          <w:b/>
          <w:bCs/>
          <w:sz w:val="24"/>
          <w:szCs w:val="24"/>
        </w:rPr>
        <w:t xml:space="preserve">Organisational. </w:t>
      </w:r>
      <w:r>
        <w:rPr>
          <w:sz w:val="24"/>
          <w:szCs w:val="24"/>
        </w:rPr>
        <w:t xml:space="preserve">Aligned processes and responsibilities — who issues, who verifies, who operates the trust registry, and how they onboard.</w:t>
      </w:r>
    </w:p>
    <w:p>
      <w:pPr>
        <w:pStyle w:val="ListParagraph"/>
        <w:numPr>
          <w:ilvl w:val="0"/>
          <w:numId w:val="2"/>
        </w:numPr>
        <w:spacing w:after="80" w:line="276" w:lineRule="auto"/>
        <w:jc w:val="both"/>
      </w:pPr>
      <w:r>
        <w:rPr>
          <w:b/>
          <w:bCs/>
          <w:sz w:val="24"/>
          <w:szCs w:val="24"/>
        </w:rPr>
        <w:t xml:space="preserve">Semantic. </w:t>
      </w:r>
      <w:r>
        <w:rPr>
          <w:sz w:val="24"/>
          <w:szCs w:val="24"/>
        </w:rPr>
        <w:t xml:space="preserve">Shared meaning — coded, language-independent entitlement types and scopes, so “valid in zone 2” means the same everywhere.</w:t>
      </w:r>
    </w:p>
    <w:p>
      <w:pPr>
        <w:pStyle w:val="ListParagraph"/>
        <w:numPr>
          <w:ilvl w:val="0"/>
          <w:numId w:val="2"/>
        </w:numPr>
        <w:spacing w:after="80" w:line="276" w:lineRule="auto"/>
        <w:jc w:val="both"/>
      </w:pPr>
      <w:r>
        <w:rPr>
          <w:b/>
          <w:bCs/>
          <w:sz w:val="24"/>
          <w:szCs w:val="24"/>
        </w:rPr>
        <w:t xml:space="preserve">Technical. </w:t>
      </w:r>
      <w:r>
        <w:rPr>
          <w:sz w:val="24"/>
          <w:szCs w:val="24"/>
        </w:rPr>
        <w:t xml:space="preserve">Shared formats and protocols — the credential formats, issuance and presentation protocols, status and binding mechanisms.</w:t>
      </w:r>
    </w:p>
    <w:p>
      <w:pPr>
        <w:spacing w:after="120" w:line="276" w:lineRule="auto"/>
        <w:jc w:val="both"/>
      </w:pPr>
      <w:r>
        <w:rPr>
          <w:sz w:val="24"/>
          <w:szCs w:val="24"/>
        </w:rPr>
        <w:t xml:space="preserve">Much of this document concerns the technical and semantic layers, but the legal and organisational layers are why a European baseline (eIDAS and the EUDI Wallet) matters: they supply the legal recognition and the trust governance that purely technical interoperability cannot.</w:t>
      </w:r>
    </w:p>
    <w:p>
      <w:pPr>
        <w:pStyle w:val="Heading2"/>
        <w:spacing w:after="100" w:before="220"/>
      </w:pPr>
      <w:r>
        <w:t xml:space="preserve">2.3 Why tourism stresses interoperability</w:t>
      </w:r>
    </w:p>
    <w:p>
      <w:pPr>
        <w:spacing w:after="120" w:line="276" w:lineRule="auto"/>
        <w:jc w:val="both"/>
      </w:pPr>
      <w:r>
        <w:rPr>
          <w:sz w:val="24"/>
          <w:szCs w:val="24"/>
        </w:rPr>
        <w:t xml:space="preserve">Tourism stresses every layer at once: trips cross borders within days; the sector is dominated by SMEs that cannot absorb bespoke integrations; verification happens at physical gates at peak times and often offline; and the same traveller interacts briefly with many unrelated operators. Evidence from the European Large Scale Pilots reinforces the priority: industry analysis of the travel pilots observed that identity checks are by far most frequent in hospitality and aviation rather than at border crossings, which is precisely where an interoperable, user-controlled wallet yields the largest efficiency gain. A tourism interoperability profile is therefore not a niche refinement; it targets the highest-volume identity interactions in the sector.</w:t>
      </w:r>
    </w:p>
    <w:p>
      <w:pPr>
        <w:pageBreakBefore/>
      </w:pPr>
    </w:p>
    <w:p>
      <w:pPr>
        <w:pStyle w:val="Heading1"/>
        <w:spacing w:after="140" w:before="320"/>
      </w:pPr>
      <w:r>
        <w:t xml:space="preserve">3. The interoperability landscape</w:t>
      </w:r>
    </w:p>
    <w:p>
      <w:pPr>
        <w:spacing w:after="120" w:line="276" w:lineRule="auto"/>
        <w:jc w:val="both"/>
      </w:pPr>
      <w:r>
        <w:rPr>
          <w:sz w:val="24"/>
          <w:szCs w:val="24"/>
        </w:rPr>
        <w:t xml:space="preserve">An interoperable tourism wallet does not start from a blank page. Several mature efforts define the baseline it must align with; this section summarises them and their interoperability significance.</w:t>
      </w:r>
    </w:p>
    <w:p>
      <w:pPr>
        <w:pStyle w:val="Heading2"/>
        <w:spacing w:after="100" w:before="220"/>
      </w:pPr>
      <w:r>
        <w:t xml:space="preserve">3.1 The EU Digital Identity Wallet as the baseline</w:t>
      </w:r>
    </w:p>
    <w:p>
      <w:pPr>
        <w:spacing w:after="120" w:line="276" w:lineRule="auto"/>
        <w:jc w:val="both"/>
      </w:pPr>
      <w:r>
        <w:rPr>
          <w:sz w:val="24"/>
          <w:szCs w:val="24"/>
        </w:rPr>
        <w:t xml:space="preserve">The EU Digital Identity Wallet, under the revised eIDAS framework, is the European interoperability baseline. Its Architecture and Reference Framework (v2.4.0, January 2026) and the Common Toolbox exist precisely to prevent twenty-seven incompatible national stacks. Any tourism wallet that expects cross-border acceptance must interoperate with this baseline rather than define a competing one; the tourism profile in section 6 is positioned as a sector profile compatible with the ARF.</w:t>
      </w:r>
    </w:p>
    <w:p>
      <w:pPr>
        <w:pStyle w:val="Heading2"/>
        <w:spacing w:after="100" w:before="220"/>
      </w:pPr>
      <w:r>
        <w:t xml:space="preserve">3.2 The Large Scale Pilots and digital travel credentials</w:t>
      </w:r>
    </w:p>
    <w:p>
      <w:pPr>
        <w:spacing w:after="120" w:line="276" w:lineRule="auto"/>
        <w:jc w:val="both"/>
      </w:pPr>
      <w:r>
        <w:rPr>
          <w:sz w:val="24"/>
          <w:szCs w:val="24"/>
        </w:rPr>
        <w:t xml:space="preserve">The EU funded four initial Large Scale Pilots (POTENTIAL, EWC, NOBID and DC4EU) from 2023 to 2025 to test the wallet in real conditions, with successor pilots continuing from 2025. The travel-relevant pilot is the EU Digital Wallet Consortium (EWC), which focused on Digital Travel Credentials and on travel and payment flows such as airport and hotel check-in; its travel work is being carried forward by successor pilots. These pilots are the closest existing proving ground for tourism wallet interoperability, and their use cases (storing and presenting travel credentials and boarding passes, faster check-in) overlap directly with the entitlement use cases of this fellowship. The lesson most relevant here is that interoperability must be demonstrated across many independent wallets, issuers and verifiers, not asserted.</w:t>
      </w:r>
    </w:p>
    <w:p>
      <w:pPr>
        <w:pStyle w:val="Heading2"/>
        <w:spacing w:after="100" w:before="220"/>
      </w:pPr>
      <w:r>
        <w:t xml:space="preserve">3.3 OpenID4VC and the High Assurance Interoperability Profile</w:t>
      </w:r>
    </w:p>
    <w:p>
      <w:pPr>
        <w:spacing w:after="120" w:line="276" w:lineRule="auto"/>
        <w:jc w:val="both"/>
      </w:pPr>
      <w:r>
        <w:rPr>
          <w:sz w:val="24"/>
          <w:szCs w:val="24"/>
        </w:rPr>
        <w:t xml:space="preserve">The protocol layer has matured decisively. OpenID for Verifiable Credential Issuance (OpenID4VCI) 1.0 and OpenID for Verifiable Presentations (OpenID4VP) 1.0 reached final status in 2025, and the High Assurance Interoperability Profile (HAIP) 1.0 — which pins down concrete choices of format, signing and protocol for high-assurance interoperability — was finalised in late 2025. Critically for this fellowship, the OpenID Foundation maintains an open-source conformance test suite and opens self-certification for OpenID4VP 1.0, OpenID4VCI 1.0 and HAIP 1.0 in February 2026, with the tests already covering both SD-JWT VC and ISO mdoc formats. HAIP is the precedent this document follows: a tourism interoperability profile is, conceptually, a sector profile of the same kind, and the conformance suite is the mechanism by which a tourism wallet can demonstrate interoperability rather than claim it.</w:t>
      </w:r>
    </w:p>
    <w:p>
      <w:pPr>
        <w:pStyle w:val="Heading2"/>
        <w:spacing w:after="100" w:before="220"/>
      </w:pPr>
      <w:r>
        <w:t xml:space="preserve">3.4 Credential formats and the Digital Travel Credential</w:t>
      </w:r>
    </w:p>
    <w:p>
      <w:pPr>
        <w:spacing w:after="120" w:line="276" w:lineRule="auto"/>
        <w:jc w:val="both"/>
      </w:pPr>
      <w:r>
        <w:rPr>
          <w:sz w:val="24"/>
          <w:szCs w:val="24"/>
        </w:rPr>
        <w:t xml:space="preserve">Two credential formats dominate the European baseline: SD-JWT VC (selective-disclosure JWT credentials) and the ISO/IEC 18013-5 mdoc (the mobile-document format with offline device retrieval). The tourism profile uses both: SD-JWT VC as the primary attestation format, and mdoc where offline proximity verification or higher assurance is required. Alongside these sits the Digital Travel Credential (DTC), an ICAO-based credential for travel that the EU is advancing through dedicated proposals and that is intended to be compatible with the EUDI Wallet. The DTC is relevant as a neighbouring, identity-grade credential: a tourism wallet should interoperate with it (for example, presenting a DTC for identity at check-in and a tourism entitlement for the booking) without conflating the two.</w:t>
      </w:r>
    </w:p>
    <w:p>
      <w:pPr>
        <w:pStyle w:val="Heading2"/>
        <w:spacing w:after="100" w:before="220"/>
      </w:pPr>
      <w:r>
        <w:t xml:space="preserve">3.5 ISO, W3C and ETSI interoperability work</w:t>
      </w:r>
    </w:p>
    <w:p>
      <w:pPr>
        <w:spacing w:after="120" w:line="276" w:lineRule="auto"/>
        <w:jc w:val="both"/>
      </w:pPr>
      <w:r>
        <w:rPr>
          <w:sz w:val="24"/>
          <w:szCs w:val="24"/>
        </w:rPr>
        <w:t xml:space="preserve">At the standards level, ISO/TC 307’s interoperability framework (ISO/TS 23516) is the international home for cross-ledger interoperability requirements; the W3C Verifiable Credentials Data Model 2.0 provides the credential foundation and a maintained test suite; and ETSI’s trust-service standards and its permissioned-ledger group provide the trust and ledger-side anchors. The contributions in D2.1 target these venues. This document’s role is to show how the pieces compose into an interoperable whole.</w:t>
      </w:r>
    </w:p>
    <w:p>
      <w:pPr>
        <w:pageBreakBefore/>
      </w:pPr>
    </w:p>
    <w:p>
      <w:pPr>
        <w:pStyle w:val="Heading1"/>
        <w:spacing w:after="140" w:before="320"/>
      </w:pPr>
      <w:r>
        <w:t xml:space="preserve">4. Interoperability dimensions</w:t>
      </w:r>
    </w:p>
    <w:p>
      <w:pPr>
        <w:pStyle w:val="Heading2"/>
        <w:spacing w:after="100" w:before="220"/>
      </w:pPr>
      <w:r>
        <w:t xml:space="preserve">4.1 The nine dimensions</w:t>
      </w:r>
    </w:p>
    <w:p>
      <w:pPr>
        <w:spacing w:after="120" w:line="276" w:lineRule="auto"/>
        <w:jc w:val="both"/>
      </w:pPr>
      <w:r>
        <w:rPr>
          <w:sz w:val="24"/>
          <w:szCs w:val="24"/>
        </w:rPr>
        <w:t xml:space="preserve">Interoperability for a tourism wallet is not a single property but a set of distinct surfaces, each of which must be made to agree. The following nine dimensions structure the rest of this document; each is the point at which two independently built parties must align.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160"/>
        <w:gridCol w:w="180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Dim.</w:t>
            </w:r>
          </w:p>
        </w:tc>
        <w:tc>
          <w:tcPr>
            <w:tcW w:type="dxa" w:w="3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What must agree</w:t>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Governing standard(s)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Conformance signal</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 Issuance</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Issuer-to-wallet issuance protocol and metadata</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1.0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OIDF VCI self-certification</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 Presentation</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Wallet-to-verifier request/response and query</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OpenID4VP 1.0; DCQL</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OIDF VP self-certification</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D3 Credential format</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Format and signature scheme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 ISO 18013-5 mdoc; W3C VC 2.0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Format coverage in tests</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D4 Semantics</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Entitlement types and coded scopes</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Shared vocabulary (proposed); ISO 22739</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Profile vocabulary conformance</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D5 Trust</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Issuer/verifier legitimacy and discovery</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trust framework; ETSI EN 319 4xx</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Trust-list validation</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D6 Status</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Revocation/suspension, offline-tolerant</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Bitstring Status List</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Status-check tests</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D7 Binding</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Credential-to-token mutual binding</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D2.1 note C3; CAIP; ERC-721/6672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Binding verification vectors</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D8 Portability</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Backup, migration, recovery without custody</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Proposed (gap G9)</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Recovery test scenario</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D9 Cross-border</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Mutual recognition; language independence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ARF; coded semantics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 verify test</w:t>
            </w:r>
          </w:p>
        </w:tc>
      </w:tr>
    </w:tbl>
    <w:p>
      <w:pPr>
        <w:pStyle w:val="Heading2"/>
        <w:spacing w:after="100" w:before="220"/>
      </w:pPr>
      <w:r>
        <w:t xml:space="preserve">4.2 Dimension detail</w:t>
      </w:r>
    </w:p>
    <w:p>
      <w:pPr>
        <w:spacing w:after="120" w:line="276" w:lineRule="auto"/>
        <w:jc w:val="both"/>
      </w:pPr>
      <w:r>
        <w:rPr>
          <w:sz w:val="24"/>
          <w:szCs w:val="24"/>
        </w:rPr>
        <w:t xml:space="preserve">Three dimensions deserve emphasis because they are where tourism diverges most from generic identity interoperability.</w:t>
      </w:r>
    </w:p>
    <w:p>
      <w:pPr>
        <w:spacing w:after="120" w:line="276" w:lineRule="auto"/>
        <w:jc w:val="both"/>
      </w:pPr>
      <w:r>
        <w:rPr>
          <w:b/>
          <w:bCs/>
          <w:sz w:val="24"/>
          <w:szCs w:val="24"/>
        </w:rPr>
        <w:t xml:space="preserve">D3 and D2 (formats and presentation). </w:t>
      </w:r>
      <w:r>
        <w:rPr>
          <w:sz w:val="24"/>
          <w:szCs w:val="24"/>
        </w:rPr>
        <w:t xml:space="preserve">Because tourism mixes online check-in (favouring OpenID4VP with SD-JWT VC) and offline gate entry (favouring mdoc device retrieval), a tourism wallet must support both presentation modes and both formats, and verifiers must negotiate them. This dual-mode requirement is more demanding than many single-format identity deployments.</w:t>
      </w:r>
    </w:p>
    <w:p>
      <w:pPr>
        <w:spacing w:after="120" w:line="276" w:lineRule="auto"/>
        <w:jc w:val="both"/>
      </w:pPr>
      <w:r>
        <w:rPr>
          <w:b/>
          <w:bCs/>
          <w:sz w:val="24"/>
          <w:szCs w:val="24"/>
        </w:rPr>
        <w:t xml:space="preserve">D7 (binding). </w:t>
      </w:r>
      <w:r>
        <w:rPr>
          <w:sz w:val="24"/>
          <w:szCs w:val="24"/>
        </w:rPr>
        <w:t xml:space="preserve">Tourism entitlements frequently exist as ledger tokens for transfer and redemption while also needing credential-grade trust and privacy. The credential–token binding (D2.1, note C3) is the dimension with no existing standard, and is therefore the one this fellowship contributes most directly.</w:t>
      </w:r>
    </w:p>
    <w:p>
      <w:pPr>
        <w:spacing w:after="120" w:line="276" w:lineRule="auto"/>
        <w:jc w:val="both"/>
      </w:pPr>
      <w:r>
        <w:rPr>
          <w:b/>
          <w:bCs/>
          <w:sz w:val="24"/>
          <w:szCs w:val="24"/>
        </w:rPr>
        <w:t xml:space="preserve">D8 (portability). </w:t>
      </w:r>
      <w:r>
        <w:rPr>
          <w:sz w:val="24"/>
          <w:szCs w:val="24"/>
        </w:rPr>
        <w:t xml:space="preserve">A traveller must be able to recover entitlements after losing a device without a custodian, and ideally migrate between wallets. This dimension is largely unaddressed by current interoperability efforts and is flagged as an open challenge.</w:t>
      </w:r>
    </w:p>
    <w:p>
      <w:pPr>
        <w:pageBreakBefore/>
      </w:pPr>
    </w:p>
    <w:p>
      <w:pPr>
        <w:pStyle w:val="Heading1"/>
        <w:spacing w:after="140" w:before="320"/>
      </w:pPr>
      <w:r>
        <w:t xml:space="preserve">5. A reference architecture for interoperable tourism wallets</w:t>
      </w:r>
    </w:p>
    <w:p>
      <w:pPr>
        <w:pStyle w:val="Heading2"/>
        <w:spacing w:after="100" w:before="220"/>
      </w:pPr>
      <w:r>
        <w:t xml:space="preserve">5.1 Layered model</w:t>
      </w:r>
    </w:p>
    <w:p>
      <w:pPr>
        <w:spacing w:after="120" w:line="276" w:lineRule="auto"/>
        <w:jc w:val="both"/>
      </w:pPr>
      <w:r>
        <w:rPr>
          <w:sz w:val="24"/>
          <w:szCs w:val="24"/>
        </w:rPr>
        <w:t xml:space="preserve">The reference architecture is a three-layer model with cross-cutting concerns. It is deliberately the same decomposition used in the requirements work, so that the dimensions of section 4 map cleanly onto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Layer</w:t>
            </w:r>
          </w:p>
        </w:tc>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Components</w:t>
            </w:r>
          </w:p>
        </w:tc>
        <w:tc>
          <w:tcPr>
            <w:tcW w:type="dxa" w:w="3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Interoperability dimensions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Identity &amp; trust</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DIDs; verifiable credentials/attestations; trust registries; eIDAS trust</w:t>
            </w:r>
          </w:p>
        </w:tc>
        <w:tc>
          <w:tcPr>
            <w:tcW w:type="dxa" w:w="3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D5 Trust; D6 Status; D9 Cross-border</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Exchange</w:t>
            </w:r>
          </w:p>
        </w:tc>
        <w:tc>
          <w:tcPr>
            <w:tcW w:type="dxa" w:w="3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issuance; OpenID4VP presentation; mdoc device retrieval; selective disclosure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 Issuance; D2 Presentation; D3 Formats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Ledger &amp; entitlement</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Token representations; redemption; credential–token binding</w:t>
            </w:r>
          </w:p>
        </w:tc>
        <w:tc>
          <w:tcPr>
            <w:tcW w:type="dxa" w:w="3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D7 Binding</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Cross-cutting</w:t>
            </w:r>
          </w:p>
        </w:tc>
        <w:tc>
          <w:tcPr>
            <w:tcW w:type="dxa" w:w="3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Semantics/vocabulary; security; privacy; portability</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D4 Semantics; D8 Portability</w:t>
            </w:r>
          </w:p>
        </w:tc>
      </w:tr>
    </w:tbl>
    <w:p>
      <w:pPr>
        <w:pStyle w:val="Heading2"/>
        <w:spacing w:after="100" w:before="220"/>
      </w:pPr>
      <w:r>
        <w:t xml:space="preserve">5.2 Conformance roles</w:t>
      </w:r>
    </w:p>
    <w:p>
      <w:pPr>
        <w:spacing w:after="120" w:line="276" w:lineRule="auto"/>
        <w:jc w:val="both"/>
      </w:pPr>
      <w:r>
        <w:rPr>
          <w:sz w:val="24"/>
          <w:szCs w:val="24"/>
        </w:rPr>
        <w:t xml:space="preserve">Interoperability is defined per role. Three roles must conform; a fourth (trust registry) supports them. The following are the minimum capabilities each role must implement to be interoperable under the tourism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Role</w:t>
            </w:r>
          </w:p>
        </w:tc>
        <w:tc>
          <w:tcPr>
            <w:tcW w:type="dxa" w:w="7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Must implement</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Wallet (holder)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Receive credentials via OpenID4VCI; present via OpenID4VP (online) and mdoc device retrieval (offline); selective disclosure; status checking; recovery without custody; hold and present credential–token bindings.</w:t>
            </w:r>
          </w:p>
        </w:tc>
      </w:tr>
      <w:tr>
        <w:trPr>
          <w:cantSplit/>
        </w:trP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w:t>
            </w:r>
          </w:p>
        </w:tc>
        <w:tc>
          <w:tcPr>
            <w:tcW w:type="dxa" w:w="7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 via OpenID4VCI; sign as SD-JWT VC and/or mdoc; publish status (Bitstring Status List); optionally mint and bind a token; be listed in a trust registry.</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Verifier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Request via OpenID4VP with DCQL; verify offline against cached trust and status; check trust-list membership; optionally verify the credential–token binding; record redemption.</w:t>
            </w:r>
          </w:p>
        </w:tc>
      </w:tr>
      <w:tr>
        <w:trPr>
          <w:cantSplit/>
        </w:trP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 registry</w:t>
            </w:r>
          </w:p>
        </w:tc>
        <w:tc>
          <w:tcPr>
            <w:tcW w:type="dxa" w:w="7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Publish verifiable issuer/verifier legitimacy aligned with eIDAS trust lists; support sector-scale registration.</w:t>
            </w:r>
          </w:p>
        </w:tc>
      </w:tr>
    </w:tbl>
    <w:p>
      <w:pPr>
        <w:pageBreakBefore/>
      </w:pPr>
    </w:p>
    <w:p>
      <w:pPr>
        <w:pStyle w:val="Heading1"/>
        <w:spacing w:after="140" w:before="320"/>
      </w:pPr>
      <w:r>
        <w:t xml:space="preserve">6. The Tourism Interoperability Profile</w:t>
      </w:r>
    </w:p>
    <w:p>
      <w:pPr>
        <w:pStyle w:val="Heading2"/>
        <w:spacing w:after="100" w:before="220"/>
      </w:pPr>
      <w:r>
        <w:t xml:space="preserve">6.1 Concept</w:t>
      </w:r>
    </w:p>
    <w:p>
      <w:pPr>
        <w:spacing w:after="120" w:line="276" w:lineRule="auto"/>
        <w:jc w:val="both"/>
      </w:pPr>
      <w:r>
        <w:rPr>
          <w:sz w:val="24"/>
          <w:szCs w:val="24"/>
        </w:rPr>
        <w:t xml:space="preserve">A profile is a named, testable set of choices that removes optionality so that independent implementations actually interoperate. The High Assurance Interoperability Profile is the precedent: it pins formats, signing and protocol options for high-assurance use. The Tourism Interoperability Profile proposed here is a sector profile in the same spirit — compatible with the EUDI Architecture and Reference Framework and, where assurance demands, building on HAIP — that additionally fixes the tourism-specific choices the baseline leaves open: entitlement representation, validity and scope expression, offline tiers, data-minimisation sets, and credential–token binding.</w:t>
      </w:r>
    </w:p>
    <w:p>
      <w:pPr>
        <w:pStyle w:val="Heading2"/>
        <w:spacing w:after="100" w:before="220"/>
      </w:pPr>
      <w:r>
        <w:t xml:space="preserve">6.2 Profile choices</w:t>
      </w:r>
    </w:p>
    <w:p>
      <w:pPr>
        <w:spacing w:after="120" w:line="276" w:lineRule="auto"/>
        <w:jc w:val="both"/>
      </w:pPr>
      <w:r>
        <w:rPr>
          <w:sz w:val="24"/>
          <w:szCs w:val="24"/>
        </w:rPr>
        <w:t xml:space="preserve">The profile selects, for each aspect, a concrete option (proposed; to be refined with the receiving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Aspect</w:t>
            </w:r>
          </w:p>
        </w:tc>
        <w:tc>
          <w:tcPr>
            <w:tcW w:type="dxa" w:w="6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Tourism profile choice (proposed)</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Issuance protocol</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1.0</w:t>
            </w:r>
          </w:p>
        </w:tc>
      </w:tr>
      <w:tr>
        <w:trPr>
          <w:cantSplit/>
        </w:trP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Presentation (online)</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OpenID4VP 1.0 with DCQL queries</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Presentation (offline)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18013-5 device retrieval (proximity)</w:t>
            </w:r>
          </w:p>
        </w:tc>
      </w:tr>
      <w:tr>
        <w:trPr>
          <w:cantSplit/>
        </w:trP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 formats</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 (primary); ISO mdoc (offline / higher assurance); W3C VC 2.0 for linked-data contexts</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High-assurance base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Build on HAIP 1.0 where assurance requires it</w:t>
            </w:r>
          </w:p>
        </w:tc>
      </w:tr>
      <w:tr>
        <w:trPr>
          <w:cantSplit/>
        </w:trP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Mandatory; predicates per the data-minimisation profile (D2.1, note C6)</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Bitstring Status List; cached for offline tiers (D2.1, note C4)</w:t>
            </w:r>
          </w:p>
        </w:tc>
      </w:tr>
      <w:tr>
        <w:trPr>
          <w:cantSplit/>
        </w:trP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Validity &amp; scope</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Machine-evaluable time/venue constraints (requirement TW-F-04)</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Credential–token binding</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Per D2.1 note C3 for token-backed entitlements; CAIP locators</w:t>
            </w:r>
          </w:p>
        </w:tc>
      </w:tr>
      <w:tr>
        <w:trPr>
          <w:cantSplit/>
        </w:trP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trust lists plus a sector registry for operators and venues</w:t>
            </w:r>
          </w:p>
        </w:tc>
      </w:tr>
    </w:tbl>
    <w:p>
      <w:pPr>
        <w:pStyle w:val="Heading2"/>
        <w:spacing w:after="100" w:before="220"/>
      </w:pPr>
      <w:r>
        <w:t xml:space="preserve">6.3 Conformance classes</w:t>
      </w:r>
    </w:p>
    <w:p>
      <w:pPr>
        <w:spacing w:after="120" w:line="276" w:lineRule="auto"/>
        <w:jc w:val="both"/>
      </w:pPr>
      <w:r>
        <w:rPr>
          <w:sz w:val="24"/>
          <w:szCs w:val="24"/>
        </w:rPr>
        <w:t xml:space="preserve">Conformance is claimed per role and per capability, so that a minimal wallet and a full-featured wallet can both be interoperable at their declared level. A wallet, issuer or verifier declares which dimensions (section 4) and which optional capabilities (offline tier, binding) it supports, and demonstrates each through the relevant conformance tests — the OpenID Foundation suite for D1–D3, and tourism profile test vectors (section 8) for D4, D6 and D7. This mirrors how HAIP conformance is asserted today and lets the tourism profile ride on existing certification rather than inventing a parallel one.</w:t>
      </w:r>
    </w:p>
    <w:p>
      <w:pPr>
        <w:pageBreakBefore/>
      </w:pPr>
    </w:p>
    <w:p>
      <w:pPr>
        <w:pStyle w:val="Heading1"/>
        <w:spacing w:after="140" w:before="320"/>
      </w:pPr>
      <w:r>
        <w:t xml:space="preserve">7. Interoperability flows</w:t>
      </w:r>
    </w:p>
    <w:p>
      <w:pPr>
        <w:spacing w:after="120" w:line="276" w:lineRule="auto"/>
        <w:jc w:val="both"/>
      </w:pPr>
      <w:r>
        <w:rPr>
          <w:sz w:val="24"/>
          <w:szCs w:val="24"/>
        </w:rPr>
        <w:t xml:space="preserve">This section shows the principal flows end to end, so the dimensions and roles become concrete. Steps are abbreviated; security checks (signature, key-binding, nonce) are assumed at each presentation.</w:t>
      </w:r>
    </w:p>
    <w:p>
      <w:pPr>
        <w:pStyle w:val="Heading2"/>
        <w:spacing w:after="100" w:before="220"/>
      </w:pPr>
      <w:r>
        <w:t xml:space="preserve">7.1 Issuance</w:t>
      </w:r>
    </w:p>
    <w:p>
      <w:pPr>
        <w:pStyle w:val="ListParagraph"/>
        <w:numPr>
          <w:ilvl w:val="0"/>
          <w:numId w:val="3"/>
        </w:numPr>
        <w:spacing w:after="60" w:line="276" w:lineRule="auto"/>
        <w:jc w:val="both"/>
      </w:pPr>
      <w:r>
        <w:rPr>
          <w:sz w:val="24"/>
          <w:szCs w:val="24"/>
        </w:rPr>
        <w:t xml:space="preserve">The traveller initiates issuance with an operator (for example, after a booking).</w:t>
      </w:r>
    </w:p>
    <w:p>
      <w:pPr>
        <w:pStyle w:val="ListParagraph"/>
        <w:numPr>
          <w:ilvl w:val="0"/>
          <w:numId w:val="3"/>
        </w:numPr>
        <w:spacing w:after="60" w:line="276" w:lineRule="auto"/>
        <w:jc w:val="both"/>
      </w:pPr>
      <w:r>
        <w:rPr>
          <w:sz w:val="24"/>
          <w:szCs w:val="24"/>
        </w:rPr>
        <w:t xml:space="preserve">The operator, as issuer, runs an OpenID4VCI flow to issue the entitlement to the wallet as an SD-JWT VC (and, where offline use is expected, an mdoc).</w:t>
      </w:r>
    </w:p>
    <w:p>
      <w:pPr>
        <w:pStyle w:val="ListParagraph"/>
        <w:numPr>
          <w:ilvl w:val="0"/>
          <w:numId w:val="3"/>
        </w:numPr>
        <w:spacing w:after="60" w:line="276" w:lineRule="auto"/>
        <w:jc w:val="both"/>
      </w:pPr>
      <w:r>
        <w:rPr>
          <w:sz w:val="24"/>
          <w:szCs w:val="24"/>
        </w:rPr>
        <w:t xml:space="preserve">Where the entitlement is also token-backed, the operator mints the token and writes the credential–token binding (note C3).</w:t>
      </w:r>
    </w:p>
    <w:p>
      <w:pPr>
        <w:pStyle w:val="ListParagraph"/>
        <w:numPr>
          <w:ilvl w:val="0"/>
          <w:numId w:val="3"/>
        </w:numPr>
        <w:spacing w:after="60" w:line="276" w:lineRule="auto"/>
        <w:jc w:val="both"/>
      </w:pPr>
      <w:r>
        <w:rPr>
          <w:sz w:val="24"/>
          <w:szCs w:val="24"/>
        </w:rPr>
        <w:t xml:space="preserve">The wallet stores the entitlement under the holder’s sole control.</w:t>
      </w:r>
    </w:p>
    <w:p>
      <w:pPr>
        <w:pStyle w:val="Heading2"/>
        <w:spacing w:after="100" w:before="220"/>
      </w:pPr>
      <w:r>
        <w:t xml:space="preserve">7.2 Online presentation</w:t>
      </w:r>
    </w:p>
    <w:p>
      <w:pPr>
        <w:spacing w:after="120" w:line="276" w:lineRule="auto"/>
        <w:jc w:val="both"/>
      </w:pPr>
      <w:r>
        <w:rPr>
          <w:sz w:val="24"/>
          <w:szCs w:val="24"/>
        </w:rPr>
        <w:t xml:space="preserve">A verifier requests only what it needs, by purpose, using a DCQL query that maps to the data-minimisation profile:</w:t>
      </w:r>
    </w:p>
    <w:p>
      <w:pPr>
        <w:shd w:fill="F1F3F5" w:val="clear"/>
        <w:spacing w:after="0" w:line="240" w:lineRule="auto"/>
        <w:ind w:left="160" w:right="160"/>
      </w:pPr>
      <w:r>
        <w:rPr>
          <w:rFonts w:ascii="Courier New" w:cs="Courier New" w:eastAsia="Courier New" w:hAnsi="Courier New"/>
          <w:sz w:val="17"/>
          <w:szCs w:val="17"/>
        </w:rPr>
        <w:t xml:space="preserve">// OpenID4VP request (illustrative) — purpose-scoped, minimal</w:t>
      </w:r>
    </w:p>
    <w:p>
      <w:pPr>
        <w:shd w:fill="F1F3F5" w:val="clear"/>
        <w:spacing w:after="0" w:line="240" w:lineRule="auto"/>
        <w:ind w:left="160" w:right="160"/>
      </w:pPr>
      <w:r>
        <w:rPr>
          <w:rFonts w:ascii="Courier New" w:cs="Courier New" w:eastAsia="Courier New" w:hAnsi="Courier New"/>
          <w:sz w:val="17"/>
          <w:szCs w:val="17"/>
        </w:rPr>
        <w:t xml:space="preserve">purpose:        "venue-entry"</w:t>
      </w:r>
    </w:p>
    <w:p>
      <w:pPr>
        <w:shd w:fill="F1F3F5" w:val="clear"/>
        <w:spacing w:after="0" w:line="240" w:lineRule="auto"/>
        <w:ind w:left="160" w:right="160"/>
      </w:pPr>
      <w:r>
        <w:rPr>
          <w:rFonts w:ascii="Courier New" w:cs="Courier New" w:eastAsia="Courier New" w:hAnsi="Courier New"/>
          <w:sz w:val="17"/>
          <w:szCs w:val="17"/>
        </w:rPr>
        <w:t xml:space="preserve">requested:      [ entitlement_type, valid_now(predicate), venue_in_scope(predicate) ]</w:t>
      </w:r>
    </w:p>
    <w:p>
      <w:pPr>
        <w:shd w:fill="F1F3F5" w:val="clear"/>
        <w:spacing w:after="0" w:line="240" w:lineRule="auto"/>
        <w:ind w:left="160" w:right="160"/>
      </w:pPr>
      <w:r>
        <w:rPr>
          <w:rFonts w:ascii="Courier New" w:cs="Courier New" w:eastAsia="Courier New" w:hAnsi="Courier New"/>
          <w:sz w:val="17"/>
          <w:szCs w:val="17"/>
        </w:rPr>
        <w:t xml:space="preserve">formats:        [ "sd-jwt-vc", "mdoc" ]</w:t>
      </w:r>
    </w:p>
    <w:p>
      <w:pPr>
        <w:shd w:fill="F1F3F5" w:val="clear"/>
        <w:spacing w:after="0" w:line="240" w:lineRule="auto"/>
        <w:ind w:left="160" w:right="160"/>
      </w:pPr>
      <w:r>
        <w:rPr>
          <w:rFonts w:ascii="Courier New" w:cs="Courier New" w:eastAsia="Courier New" w:hAnsi="Courier New"/>
          <w:sz w:val="17"/>
          <w:szCs w:val="17"/>
        </w:rPr>
        <w:t xml:space="preserve">// wallet warns the holder if a request exceeds the purpose's minimal set</w:t>
      </w:r>
    </w:p>
    <w:p>
      <w:pPr>
        <w:spacing w:after="60"/>
      </w:pPr>
    </w:p>
    <w:p>
      <w:pPr>
        <w:pStyle w:val="ListParagraph"/>
        <w:numPr>
          <w:ilvl w:val="0"/>
          <w:numId w:val="3"/>
        </w:numPr>
        <w:spacing w:after="60" w:line="276" w:lineRule="auto"/>
        <w:jc w:val="both"/>
      </w:pPr>
      <w:r>
        <w:rPr>
          <w:sz w:val="24"/>
          <w:szCs w:val="24"/>
        </w:rPr>
        <w:t xml:space="preserve">The verifier sends an OpenID4VP request naming the purpose and the minimal attribute set.</w:t>
      </w:r>
    </w:p>
    <w:p>
      <w:pPr>
        <w:pStyle w:val="ListParagraph"/>
        <w:numPr>
          <w:ilvl w:val="0"/>
          <w:numId w:val="3"/>
        </w:numPr>
        <w:spacing w:after="60" w:line="276" w:lineRule="auto"/>
        <w:jc w:val="both"/>
      </w:pPr>
      <w:r>
        <w:rPr>
          <w:sz w:val="24"/>
          <w:szCs w:val="24"/>
        </w:rPr>
        <w:t xml:space="preserve">The wallet matches the request against the purpose profile and, with holder consent, presents only those attributes, using selective disclosure.</w:t>
      </w:r>
    </w:p>
    <w:p>
      <w:pPr>
        <w:pStyle w:val="ListParagraph"/>
        <w:numPr>
          <w:ilvl w:val="0"/>
          <w:numId w:val="3"/>
        </w:numPr>
        <w:spacing w:after="60" w:line="276" w:lineRule="auto"/>
        <w:jc w:val="both"/>
      </w:pPr>
      <w:r>
        <w:rPr>
          <w:sz w:val="24"/>
          <w:szCs w:val="24"/>
        </w:rPr>
        <w:t xml:space="preserve">The verifier validates the signature and trust, evaluates validity and scope, and admits or refuses.</w:t>
      </w:r>
    </w:p>
    <w:p>
      <w:pPr>
        <w:pStyle w:val="Heading2"/>
        <w:spacing w:after="100" w:before="220"/>
      </w:pPr>
      <w:r>
        <w:t xml:space="preserve">7.3 Offline presentation</w:t>
      </w:r>
    </w:p>
    <w:p>
      <w:pPr>
        <w:pStyle w:val="ListParagraph"/>
        <w:numPr>
          <w:ilvl w:val="0"/>
          <w:numId w:val="3"/>
        </w:numPr>
        <w:spacing w:after="60" w:line="276" w:lineRule="auto"/>
        <w:jc w:val="both"/>
      </w:pPr>
      <w:r>
        <w:rPr>
          <w:sz w:val="24"/>
          <w:szCs w:val="24"/>
        </w:rPr>
        <w:t xml:space="preserve">At a gate with no connectivity, the holder presents over a proximity channel using ISO/IEC 18013-5 device retrieval.</w:t>
      </w:r>
    </w:p>
    <w:p>
      <w:pPr>
        <w:pStyle w:val="ListParagraph"/>
        <w:numPr>
          <w:ilvl w:val="0"/>
          <w:numId w:val="3"/>
        </w:numPr>
        <w:spacing w:after="60" w:line="276" w:lineRule="auto"/>
        <w:jc w:val="both"/>
      </w:pPr>
      <w:r>
        <w:rPr>
          <w:sz w:val="24"/>
          <w:szCs w:val="24"/>
        </w:rPr>
        <w:t xml:space="preserve">The verifier validates the signature against cached issuer trust anchors and checks status to the selected offline tier (note C4).</w:t>
      </w:r>
    </w:p>
    <w:p>
      <w:pPr>
        <w:pStyle w:val="ListParagraph"/>
        <w:numPr>
          <w:ilvl w:val="0"/>
          <w:numId w:val="3"/>
        </w:numPr>
        <w:spacing w:after="60" w:line="276" w:lineRule="auto"/>
        <w:jc w:val="both"/>
      </w:pPr>
      <w:r>
        <w:rPr>
          <w:sz w:val="24"/>
          <w:szCs w:val="24"/>
        </w:rPr>
        <w:t xml:space="preserve">The verifier evaluates validity and venue scope locally and records any redemption for later reconciliation.</w:t>
      </w:r>
    </w:p>
    <w:p>
      <w:pPr>
        <w:pStyle w:val="Heading2"/>
        <w:spacing w:after="100" w:before="220"/>
      </w:pPr>
      <w:r>
        <w:t xml:space="preserve">7.4 Credential–token binding verification</w:t>
      </w:r>
    </w:p>
    <w:p>
      <w:pPr>
        <w:pStyle w:val="ListParagraph"/>
        <w:numPr>
          <w:ilvl w:val="0"/>
          <w:numId w:val="3"/>
        </w:numPr>
        <w:spacing w:after="60" w:line="276" w:lineRule="auto"/>
        <w:jc w:val="both"/>
      </w:pPr>
      <w:r>
        <w:rPr>
          <w:sz w:val="24"/>
          <w:szCs w:val="24"/>
        </w:rPr>
        <w:t xml:space="preserve">The verifier reads the bound-token locator (a CAIP-19 asset identifier) and the token descriptor digest from the credential.</w:t>
      </w:r>
    </w:p>
    <w:p>
      <w:pPr>
        <w:pStyle w:val="ListParagraph"/>
        <w:numPr>
          <w:ilvl w:val="0"/>
          <w:numId w:val="3"/>
        </w:numPr>
        <w:spacing w:after="60" w:line="276" w:lineRule="auto"/>
        <w:jc w:val="both"/>
      </w:pPr>
      <w:r>
        <w:rPr>
          <w:sz w:val="24"/>
          <w:szCs w:val="24"/>
        </w:rPr>
        <w:t xml:space="preserve">Where online, it resolves the token, confirms the mutual digests and the issuer’s authority over both representations (note C3).</w:t>
      </w:r>
    </w:p>
    <w:p>
      <w:pPr>
        <w:pStyle w:val="ListParagraph"/>
        <w:numPr>
          <w:ilvl w:val="0"/>
          <w:numId w:val="3"/>
        </w:numPr>
        <w:spacing w:after="60" w:line="276" w:lineRule="auto"/>
        <w:jc w:val="both"/>
      </w:pPr>
      <w:r>
        <w:rPr>
          <w:sz w:val="24"/>
          <w:szCs w:val="24"/>
        </w:rPr>
        <w:t xml:space="preserve">Where offline, it relies on the credential alone and reconciles the token later — the binding still holds because the credential commits to the token.</w:t>
      </w:r>
    </w:p>
    <w:p>
      <w:pPr>
        <w:pStyle w:val="Heading2"/>
        <w:spacing w:after="100" w:before="220"/>
      </w:pPr>
      <w:r>
        <w:t xml:space="preserve">7.5 Cross-border verification</w:t>
      </w:r>
    </w:p>
    <w:p>
      <w:pPr>
        <w:pStyle w:val="ListParagraph"/>
        <w:numPr>
          <w:ilvl w:val="0"/>
          <w:numId w:val="3"/>
        </w:numPr>
        <w:spacing w:after="60" w:line="276" w:lineRule="auto"/>
        <w:jc w:val="both"/>
      </w:pPr>
      <w:r>
        <w:rPr>
          <w:sz w:val="24"/>
          <w:szCs w:val="24"/>
        </w:rPr>
        <w:t xml:space="preserve">An entitlement issued under one Member State’s scheme is presented to a verifier in another.</w:t>
      </w:r>
    </w:p>
    <w:p>
      <w:pPr>
        <w:pStyle w:val="ListParagraph"/>
        <w:numPr>
          <w:ilvl w:val="0"/>
          <w:numId w:val="3"/>
        </w:numPr>
        <w:spacing w:after="60" w:line="276" w:lineRule="auto"/>
        <w:jc w:val="both"/>
      </w:pPr>
      <w:r>
        <w:rPr>
          <w:sz w:val="24"/>
          <w:szCs w:val="24"/>
        </w:rPr>
        <w:t xml:space="preserve">The verifier resolves the issuer’s legitimacy through eIDAS-aligned trust and interprets the coded, language-independent entitlement type and scope.</w:t>
      </w:r>
    </w:p>
    <w:p>
      <w:pPr>
        <w:pStyle w:val="ListParagraph"/>
        <w:numPr>
          <w:ilvl w:val="0"/>
          <w:numId w:val="3"/>
        </w:numPr>
        <w:spacing w:after="60" w:line="276" w:lineRule="auto"/>
        <w:jc w:val="both"/>
      </w:pPr>
      <w:r>
        <w:rPr>
          <w:sz w:val="24"/>
          <w:szCs w:val="24"/>
        </w:rPr>
        <w:t xml:space="preserve">The entitlement verifies unchanged — no re-issuance — satisfying cross-border interoperability (D9, requirement TW-NF-03).</w:t>
      </w:r>
    </w:p>
    <w:p>
      <w:pPr>
        <w:pageBreakBefore/>
      </w:pPr>
    </w:p>
    <w:p>
      <w:pPr>
        <w:pStyle w:val="Heading1"/>
        <w:spacing w:after="140" w:before="320"/>
      </w:pPr>
      <w:r>
        <w:t xml:space="preserve">8. Interoperability testing and conformance</w:t>
      </w:r>
    </w:p>
    <w:p>
      <w:pPr>
        <w:pStyle w:val="Heading2"/>
        <w:spacing w:after="100" w:before="220"/>
      </w:pPr>
      <w:r>
        <w:t xml:space="preserve">8.1 Test approach</w:t>
      </w:r>
    </w:p>
    <w:p>
      <w:pPr>
        <w:spacing w:after="120" w:line="276" w:lineRule="auto"/>
        <w:jc w:val="both"/>
      </w:pPr>
      <w:r>
        <w:rPr>
          <w:sz w:val="24"/>
          <w:szCs w:val="24"/>
        </w:rPr>
        <w:t xml:space="preserve">Interoperability is demonstrated, not asserted. The approach has three components. First, conformance testing: implementations run the OpenID Foundation conformance suite for OpenID4VCI, OpenID4VP and, where applicable, HAIP, covering both SD-JWT VC and mdoc. Second, tourism profile test vectors: a set of signed example entitlements, presentation requests and credential–token bindings (including negative cases) that exercise the tourism-specific dimensions D4, D6 and D7, which the generic suites do not cover. Third, interoperability events: cross-vendor plugfests in which independent wallets, issuers and verifiers test against each other, in the manner of the European pilots and the OpenID Foundation interop events. The reference implementation (section 9) is intended to supply both a tested reference and the tourism test vectors.</w:t>
      </w:r>
    </w:p>
    <w:p>
      <w:pPr>
        <w:pStyle w:val="Heading2"/>
        <w:spacing w:after="100" w:before="220"/>
      </w:pPr>
      <w:r>
        <w:t xml:space="preserve">8.2 Requirement-to-test mapping</w:t>
      </w:r>
    </w:p>
    <w:p>
      <w:pPr>
        <w:spacing w:after="120" w:line="276" w:lineRule="auto"/>
        <w:jc w:val="both"/>
      </w:pPr>
      <w:r>
        <w:rPr>
          <w:sz w:val="24"/>
          <w:szCs w:val="24"/>
        </w:rPr>
        <w:t xml:space="preserve">Each priority requirement maps to an interoperability test concept, so conformance can be checked against the requirements rather than against 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Interoperability test concept</w:t>
            </w:r>
          </w:p>
        </w:tc>
      </w:tr>
      <w:tr>
        <w:trPr>
          <w:cantSplit/>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TW-F-03 (binding)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Given a credential and its bound token, the verifier confirms the mutual binding and issuer authority; a mismatched digest is rejected.</w:t>
            </w:r>
          </w:p>
        </w:tc>
      </w:tr>
      <w:tr>
        <w:trPr>
          <w:cantSplit/>
        </w:trP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TW-F-04 (validity)</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The verifier deterministically accepts or rejects across the validity window and venue scope, including offline.</w:t>
            </w:r>
          </w:p>
        </w:tc>
      </w:tr>
      <w:tr>
        <w:trPr>
          <w:cantSplit/>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TW-NF-01 (offline)</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End-to-end verification completes with no connectivity at offline tiers 0 and 1.</w:t>
            </w:r>
          </w:p>
        </w:tc>
      </w:tr>
      <w:tr>
        <w:trPr>
          <w:cantSplit/>
        </w:trP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TW-NF-03 (cross-border)</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An entitlement issued under scheme A verifies under scheme B, unchanged.</w:t>
            </w:r>
          </w:p>
        </w:tc>
      </w:tr>
      <w:tr>
        <w:trPr>
          <w:cantSplit/>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TW-SP-01 (minimisation)</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presentation reveals only the minimal set for the stated purpose; an over-broad request is flagged.</w:t>
            </w:r>
          </w:p>
        </w:tc>
      </w:tr>
      <w:tr>
        <w:trPr>
          <w:cantSplit/>
        </w:trP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TW-SP-04 (status)</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revoked entitlement is rejected; cached-status freshness is honoured offline.</w:t>
            </w:r>
          </w:p>
        </w:tc>
      </w:tr>
      <w:tr>
        <w:trPr>
          <w:cantSplit/>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TW-TL-02 (recovery)</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Entitlements are restored after device loss with no third-party custody.</w:t>
            </w:r>
          </w:p>
        </w:tc>
      </w:tr>
      <w:tr>
        <w:trPr>
          <w:cantSplit/>
        </w:trP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TW-TL-04 (EUDI)</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 and verify as an attestation through an EUDI-compatible OpenID4VCI/VP flow.</w:t>
            </w:r>
          </w:p>
        </w:tc>
      </w:tr>
    </w:tbl>
    <w:p>
      <w:pPr>
        <w:pageBreakBefore/>
      </w:pPr>
    </w:p>
    <w:p>
      <w:pPr>
        <w:pStyle w:val="Heading1"/>
        <w:spacing w:after="140" w:before="320"/>
      </w:pPr>
      <w:r>
        <w:t xml:space="preserve">9. The open-source reference implementation</w:t>
      </w:r>
    </w:p>
    <w:p>
      <w:pPr>
        <w:pStyle w:val="Heading2"/>
        <w:spacing w:after="100" w:before="220"/>
      </w:pPr>
      <w:r>
        <w:t xml:space="preserve">9.1 Purpose and interoperability posture</w:t>
      </w:r>
    </w:p>
    <w:p>
      <w:pPr>
        <w:spacing w:after="120" w:line="276" w:lineRule="auto"/>
        <w:jc w:val="both"/>
      </w:pPr>
      <w:r>
        <w:rPr>
          <w:sz w:val="24"/>
          <w:szCs w:val="24"/>
        </w:rPr>
        <w:t xml:space="preserve">The open-source reference implementation, under development in this fellowship, has two purposes: to demonstrate that the priority requirements and the tourism profile are realisable with existing standards, and to serve as an interoperability testbed and a reference others can build against. Its interoperability posture is to align with the European baseline rather than to extend it gratuitously: it should target the OpenID Foundation conformance tests, adopt SD-JWT VC and mdoc, and remain compatible with the EUDI Architecture and Reference Framework, so that what it demonstrates is credible to the bodies the contributions address.</w:t>
      </w:r>
    </w:p>
    <w:p>
      <w:pPr>
        <w:pStyle w:val="Heading2"/>
        <w:spacing w:after="100" w:before="220"/>
      </w:pPr>
      <w:r>
        <w:t xml:space="preserve">9.2 Recommended architecture</w:t>
      </w:r>
    </w:p>
    <w:p>
      <w:pPr>
        <w:spacing w:after="120" w:line="276" w:lineRule="auto"/>
        <w:jc w:val="both"/>
      </w:pPr>
      <w:r>
        <w:rPr>
          <w:sz w:val="24"/>
          <w:szCs w:val="24"/>
        </w:rPr>
        <w:t xml:space="preserve">A modular structure lets each interoperability dimension be exercised and swapped independently:</w:t>
      </w:r>
    </w:p>
    <w:p>
      <w:pPr>
        <w:pStyle w:val="ListParagraph"/>
        <w:numPr>
          <w:ilvl w:val="0"/>
          <w:numId w:val="2"/>
        </w:numPr>
        <w:spacing w:after="80" w:line="276" w:lineRule="auto"/>
        <w:jc w:val="both"/>
      </w:pPr>
      <w:r>
        <w:rPr>
          <w:b/>
          <w:bCs/>
          <w:sz w:val="24"/>
          <w:szCs w:val="24"/>
        </w:rPr>
        <w:t xml:space="preserve">Wallet component. </w:t>
      </w:r>
      <w:r>
        <w:rPr>
          <w:sz w:val="24"/>
          <w:szCs w:val="24"/>
        </w:rPr>
        <w:t xml:space="preserve">Holds keys and credentials non-custodially; supports OpenID4VCI receipt, OpenID4VP presentation and mdoc device retrieval; implements selective disclosure and recovery.</w:t>
      </w:r>
    </w:p>
    <w:p>
      <w:pPr>
        <w:pStyle w:val="ListParagraph"/>
        <w:numPr>
          <w:ilvl w:val="0"/>
          <w:numId w:val="2"/>
        </w:numPr>
        <w:spacing w:after="80" w:line="276" w:lineRule="auto"/>
        <w:jc w:val="both"/>
      </w:pPr>
      <w:r>
        <w:rPr>
          <w:b/>
          <w:bCs/>
          <w:sz w:val="24"/>
          <w:szCs w:val="24"/>
        </w:rPr>
        <w:t xml:space="preserve">Issuer service. </w:t>
      </w:r>
      <w:r>
        <w:rPr>
          <w:sz w:val="24"/>
          <w:szCs w:val="24"/>
        </w:rPr>
        <w:t xml:space="preserve">Issues SD-JWT VC and mdoc entitlements via OpenID4VCI; publishes a status list; optionally mints a token and writes the binding.</w:t>
      </w:r>
    </w:p>
    <w:p>
      <w:pPr>
        <w:pStyle w:val="ListParagraph"/>
        <w:numPr>
          <w:ilvl w:val="0"/>
          <w:numId w:val="2"/>
        </w:numPr>
        <w:spacing w:after="80" w:line="276" w:lineRule="auto"/>
        <w:jc w:val="both"/>
      </w:pPr>
      <w:r>
        <w:rPr>
          <w:b/>
          <w:bCs/>
          <w:sz w:val="24"/>
          <w:szCs w:val="24"/>
        </w:rPr>
        <w:t xml:space="preserve">Verifier service. </w:t>
      </w:r>
      <w:r>
        <w:rPr>
          <w:sz w:val="24"/>
          <w:szCs w:val="24"/>
        </w:rPr>
        <w:t xml:space="preserve">Requests presentations via OpenID4VP/DCQL; verifies online and offline; checks trust and status; optionally verifies the binding.</w:t>
      </w:r>
    </w:p>
    <w:p>
      <w:pPr>
        <w:pStyle w:val="ListParagraph"/>
        <w:numPr>
          <w:ilvl w:val="0"/>
          <w:numId w:val="2"/>
        </w:numPr>
        <w:spacing w:after="80" w:line="276" w:lineRule="auto"/>
        <w:jc w:val="both"/>
      </w:pPr>
      <w:r>
        <w:rPr>
          <w:b/>
          <w:bCs/>
          <w:sz w:val="24"/>
          <w:szCs w:val="24"/>
        </w:rPr>
        <w:t xml:space="preserve">Trust registry stub. </w:t>
      </w:r>
      <w:r>
        <w:rPr>
          <w:sz w:val="24"/>
          <w:szCs w:val="24"/>
        </w:rPr>
        <w:t xml:space="preserve">Provides issuer/verifier legitimacy data in an eIDAS-aligned shape for the test environment.</w:t>
      </w:r>
    </w:p>
    <w:p>
      <w:pPr>
        <w:pStyle w:val="ListParagraph"/>
        <w:numPr>
          <w:ilvl w:val="0"/>
          <w:numId w:val="2"/>
        </w:numPr>
        <w:spacing w:after="80" w:line="276" w:lineRule="auto"/>
        <w:jc w:val="both"/>
      </w:pPr>
      <w:r>
        <w:rPr>
          <w:b/>
          <w:bCs/>
          <w:sz w:val="24"/>
          <w:szCs w:val="24"/>
        </w:rPr>
        <w:t xml:space="preserve">Ledger adapter. </w:t>
      </w:r>
      <w:r>
        <w:rPr>
          <w:sz w:val="24"/>
          <w:szCs w:val="24"/>
        </w:rPr>
        <w:t xml:space="preserve">An optional, swappable adapter (for example for an EVM chain) that mints ERC-721/6672 tokens and exposes the data needed to verify the credential–token binding.</w:t>
      </w:r>
    </w:p>
    <w:p>
      <w:pPr>
        <w:pStyle w:val="ListParagraph"/>
        <w:numPr>
          <w:ilvl w:val="0"/>
          <w:numId w:val="2"/>
        </w:numPr>
        <w:spacing w:after="80" w:line="276" w:lineRule="auto"/>
        <w:jc w:val="both"/>
      </w:pPr>
      <w:r>
        <w:rPr>
          <w:b/>
          <w:bCs/>
          <w:sz w:val="24"/>
          <w:szCs w:val="24"/>
        </w:rPr>
        <w:t xml:space="preserve">Conformance harness. </w:t>
      </w:r>
      <w:r>
        <w:rPr>
          <w:sz w:val="24"/>
          <w:szCs w:val="24"/>
        </w:rPr>
        <w:t xml:space="preserve">Runs the OpenID Foundation tests and the tourism profile test vectors against the components.</w:t>
      </w:r>
    </w:p>
    <w:p>
      <w:pPr>
        <w:pStyle w:val="Heading2"/>
        <w:spacing w:after="100" w:before="220"/>
      </w:pPr>
      <w:r>
        <w:t xml:space="preserve">9.3 What it demonstrates</w:t>
      </w:r>
    </w:p>
    <w:p>
      <w:pPr>
        <w:spacing w:after="120" w:line="276" w:lineRule="auto"/>
        <w:jc w:val="both"/>
      </w:pPr>
      <w:r>
        <w:rPr>
          <w:sz w:val="24"/>
          <w:szCs w:val="24"/>
        </w:rPr>
        <w:t xml:space="preserve">Mapped to the dimensions and the priority requirements, the implementation should demonstrate at minimum:</w:t>
      </w:r>
    </w:p>
    <w:p>
      <w:pPr>
        <w:pStyle w:val="ListParagraph"/>
        <w:numPr>
          <w:ilvl w:val="0"/>
          <w:numId w:val="2"/>
        </w:numPr>
        <w:spacing w:after="80" w:line="276" w:lineRule="auto"/>
        <w:jc w:val="both"/>
      </w:pPr>
      <w:r>
        <w:rPr>
          <w:sz w:val="24"/>
          <w:szCs w:val="24"/>
        </w:rPr>
        <w:t xml:space="preserve">Issuance and online presentation with selective disclosure (D1, D2, D3; TW-F-07, TW-SP-01).</w:t>
      </w:r>
    </w:p>
    <w:p>
      <w:pPr>
        <w:pStyle w:val="ListParagraph"/>
        <w:numPr>
          <w:ilvl w:val="0"/>
          <w:numId w:val="2"/>
        </w:numPr>
        <w:spacing w:after="80" w:line="276" w:lineRule="auto"/>
        <w:jc w:val="both"/>
      </w:pPr>
      <w:r>
        <w:rPr>
          <w:sz w:val="24"/>
          <w:szCs w:val="24"/>
        </w:rPr>
        <w:t xml:space="preserve">Offline gate verification at tiers 0 and 1 (D2, D6; TW-NF-01, TW-SP-04).</w:t>
      </w:r>
    </w:p>
    <w:p>
      <w:pPr>
        <w:pStyle w:val="ListParagraph"/>
        <w:numPr>
          <w:ilvl w:val="0"/>
          <w:numId w:val="2"/>
        </w:numPr>
        <w:spacing w:after="80" w:line="276" w:lineRule="auto"/>
        <w:jc w:val="both"/>
      </w:pPr>
      <w:r>
        <w:rPr>
          <w:sz w:val="24"/>
          <w:szCs w:val="24"/>
        </w:rPr>
        <w:t xml:space="preserve">Credential–token binding issuance and verification (D7; TW-F-03).</w:t>
      </w:r>
    </w:p>
    <w:p>
      <w:pPr>
        <w:pStyle w:val="ListParagraph"/>
        <w:numPr>
          <w:ilvl w:val="0"/>
          <w:numId w:val="2"/>
        </w:numPr>
        <w:spacing w:after="80" w:line="276" w:lineRule="auto"/>
        <w:jc w:val="both"/>
      </w:pPr>
      <w:r>
        <w:rPr>
          <w:sz w:val="24"/>
          <w:szCs w:val="24"/>
        </w:rPr>
        <w:t xml:space="preserve">Time- and venue-bound validity evaluated offline (TW-F-04).</w:t>
      </w:r>
    </w:p>
    <w:p>
      <w:pPr>
        <w:pStyle w:val="ListParagraph"/>
        <w:numPr>
          <w:ilvl w:val="0"/>
          <w:numId w:val="2"/>
        </w:numPr>
        <w:spacing w:after="80" w:line="276" w:lineRule="auto"/>
        <w:jc w:val="both"/>
      </w:pPr>
      <w:r>
        <w:rPr>
          <w:sz w:val="24"/>
          <w:szCs w:val="24"/>
        </w:rPr>
        <w:t xml:space="preserve">Recovery after device loss without custody (D8; TW-TL-02).</w:t>
      </w:r>
    </w:p>
    <w:p>
      <w:pPr>
        <w:pStyle w:val="ListParagraph"/>
        <w:numPr>
          <w:ilvl w:val="0"/>
          <w:numId w:val="2"/>
        </w:numPr>
        <w:spacing w:after="80" w:line="276" w:lineRule="auto"/>
        <w:jc w:val="both"/>
      </w:pPr>
      <w:r>
        <w:rPr>
          <w:sz w:val="24"/>
          <w:szCs w:val="24"/>
        </w:rPr>
        <w:t xml:space="preserve">An EUDI-compatible issuance/verification path for a tourism attestation (D9; TW-TL-04).</w:t>
      </w:r>
    </w:p>
    <w:p>
      <w:pPr>
        <w:pStyle w:val="Heading2"/>
        <w:spacing w:after="100" w:before="220"/>
      </w:pPr>
      <w:r>
        <w:t xml:space="preserve">9.4 Scope, licensing and roadmap</w:t>
      </w:r>
    </w:p>
    <w:p>
      <w:pPr>
        <w:spacing w:after="120" w:line="276" w:lineRule="auto"/>
        <w:jc w:val="both"/>
      </w:pPr>
      <w:r>
        <w:rPr>
          <w:sz w:val="24"/>
          <w:szCs w:val="24"/>
        </w:rPr>
        <w:t xml:space="preserve">To stay credible and finishable, the implementation should be scoped to the priority dimensions above, with a single ledger adapter and a small set of entitlement types, and released under a permissive open-source licence so operators and other implementers can reuse it. Out of scope for the proof of concept are production-grade key management, a full trust-registry deployment, and multi-ledger support; these are noted as roadmap items. The staged roadmap is: (1) issuance and online presentation; (2) offline tiers; (3) credential–token binding; (4) the tourism profile test vectors and a conformance run; (5) an interoperability event with at least one independent implementation.</w:t>
      </w:r>
    </w:p>
    <w:p>
      <w:pPr>
        <w:pageBreakBefore/>
      </w:pPr>
    </w:p>
    <w:p>
      <w:pPr>
        <w:pStyle w:val="Heading1"/>
        <w:spacing w:after="140" w:before="320"/>
      </w:pPr>
      <w:r>
        <w:t xml:space="preserve">10. Open challenges and recommendations</w:t>
      </w:r>
    </w:p>
    <w:p>
      <w:pPr>
        <w:pStyle w:val="ListParagraph"/>
        <w:numPr>
          <w:ilvl w:val="0"/>
          <w:numId w:val="2"/>
        </w:numPr>
        <w:spacing w:after="80" w:line="276" w:lineRule="auto"/>
        <w:jc w:val="both"/>
      </w:pPr>
      <w:r>
        <w:rPr>
          <w:b/>
          <w:bCs/>
          <w:sz w:val="24"/>
          <w:szCs w:val="24"/>
        </w:rPr>
        <w:t xml:space="preserve">Wallet plurality. </w:t>
      </w:r>
      <w:r>
        <w:rPr>
          <w:sz w:val="24"/>
          <w:szCs w:val="24"/>
        </w:rPr>
        <w:t xml:space="preserve">With at least one wallet per Member State and many private wallets, interoperability for non-identity entitlements cannot be assumed; the tourism profile and shared test vectors are the mitigation. Recommendation: pursue the profile and contribute test vectors early.</w:t>
      </w:r>
    </w:p>
    <w:p>
      <w:pPr>
        <w:pStyle w:val="ListParagraph"/>
        <w:numPr>
          <w:ilvl w:val="0"/>
          <w:numId w:val="2"/>
        </w:numPr>
        <w:spacing w:after="80" w:line="276" w:lineRule="auto"/>
        <w:jc w:val="both"/>
      </w:pPr>
      <w:r>
        <w:rPr>
          <w:b/>
          <w:bCs/>
          <w:sz w:val="24"/>
          <w:szCs w:val="24"/>
        </w:rPr>
        <w:t xml:space="preserve">Profile governance. </w:t>
      </w:r>
      <w:r>
        <w:rPr>
          <w:sz w:val="24"/>
          <w:szCs w:val="24"/>
        </w:rPr>
        <w:t xml:space="preserve">A sector profile needs an owner. Recommendation: incubate it across W3C (credential side), the OpenID Foundation (protocol profile, alongside HAIP) and ETSI/ISO, coordinated through liaison.</w:t>
      </w:r>
    </w:p>
    <w:p>
      <w:pPr>
        <w:pStyle w:val="ListParagraph"/>
        <w:numPr>
          <w:ilvl w:val="0"/>
          <w:numId w:val="2"/>
        </w:numPr>
        <w:spacing w:after="80" w:line="276" w:lineRule="auto"/>
        <w:jc w:val="both"/>
      </w:pPr>
      <w:r>
        <w:rPr>
          <w:b/>
          <w:bCs/>
          <w:sz w:val="24"/>
          <w:szCs w:val="24"/>
        </w:rPr>
        <w:t xml:space="preserve">Offline status freshness. </w:t>
      </w:r>
      <w:r>
        <w:rPr>
          <w:sz w:val="24"/>
          <w:szCs w:val="24"/>
        </w:rPr>
        <w:t xml:space="preserve">Bounded staleness is unavoidable offline. Recommendation: standardise the acceptance policy (tier and freshness) inside the entitlement (note C4).</w:t>
      </w:r>
    </w:p>
    <w:p>
      <w:pPr>
        <w:pStyle w:val="ListParagraph"/>
        <w:numPr>
          <w:ilvl w:val="0"/>
          <w:numId w:val="2"/>
        </w:numPr>
        <w:spacing w:after="80" w:line="276" w:lineRule="auto"/>
        <w:jc w:val="both"/>
      </w:pPr>
      <w:r>
        <w:rPr>
          <w:b/>
          <w:bCs/>
          <w:sz w:val="24"/>
          <w:szCs w:val="24"/>
        </w:rPr>
        <w:t xml:space="preserve">Binding canonicalisation. </w:t>
      </w:r>
      <w:r>
        <w:rPr>
          <w:sz w:val="24"/>
          <w:szCs w:val="24"/>
        </w:rPr>
        <w:t xml:space="preserve">Reproducible digests require an agreed canonical form for the token descriptor. Recommendation: resolve in the CCG/PDL incubation of note C3.</w:t>
      </w:r>
    </w:p>
    <w:p>
      <w:pPr>
        <w:pStyle w:val="ListParagraph"/>
        <w:numPr>
          <w:ilvl w:val="0"/>
          <w:numId w:val="2"/>
        </w:numPr>
        <w:spacing w:after="80" w:line="276" w:lineRule="auto"/>
        <w:jc w:val="both"/>
      </w:pPr>
      <w:r>
        <w:rPr>
          <w:b/>
          <w:bCs/>
          <w:sz w:val="24"/>
          <w:szCs w:val="24"/>
        </w:rPr>
        <w:t xml:space="preserve">Trust at scale. </w:t>
      </w:r>
      <w:r>
        <w:rPr>
          <w:sz w:val="24"/>
          <w:szCs w:val="24"/>
        </w:rPr>
        <w:t xml:space="preserve">Establishing trust for the very large population of tourism issuers and verifiers is unsolved. Recommendation: bring the sector-registry requirement to ETSI TC ESI and the eIDAS process.</w:t>
      </w:r>
    </w:p>
    <w:p>
      <w:pPr>
        <w:pStyle w:val="ListParagraph"/>
        <w:numPr>
          <w:ilvl w:val="0"/>
          <w:numId w:val="2"/>
        </w:numPr>
        <w:spacing w:after="80" w:line="276" w:lineRule="auto"/>
        <w:jc w:val="both"/>
      </w:pPr>
      <w:r>
        <w:rPr>
          <w:b/>
          <w:bCs/>
          <w:sz w:val="24"/>
          <w:szCs w:val="24"/>
        </w:rPr>
        <w:t xml:space="preserve">Entitlement vs identity boundary. </w:t>
      </w:r>
      <w:r>
        <w:rPr>
          <w:sz w:val="24"/>
          <w:szCs w:val="24"/>
        </w:rPr>
        <w:t xml:space="preserve">The Digital Travel Credential (identity) and tourism entitlements should interoperate without conflation. Recommendation: keep them as distinct, separately presentable credentials in one wallet.</w:t>
      </w:r>
    </w:p>
    <w:p>
      <w:pPr>
        <w:pageBreakBefore/>
      </w:pPr>
    </w:p>
    <w:p>
      <w:pPr>
        <w:pStyle w:val="Heading1"/>
        <w:spacing w:after="140" w:before="320"/>
      </w:pPr>
      <w:r>
        <w:t xml:space="preserve">11. Conclusion</w:t>
      </w:r>
    </w:p>
    <w:p>
      <w:pPr>
        <w:spacing w:after="120" w:line="276" w:lineRule="auto"/>
        <w:jc w:val="both"/>
      </w:pPr>
      <w:r>
        <w:rPr>
          <w:sz w:val="24"/>
          <w:szCs w:val="24"/>
        </w:rPr>
        <w:t xml:space="preserve">Interoperability for non-custodial tourism wallets is achievable on the existing European baseline, provided the sector-specific choices are pinned down in a profile and demonstrated through conformance testing rather than asserted. This document has defined what interoperability means across nine dimensions, given a reference architecture and conformance roles, proposed a Tourism Interoperability Profile aligned with the EUDI Wallet and HAIP, shown the principal flows, and set out how the open-source reference implementation will demonstrate and test all of this. The implementation, once complete, will provide both the evidence base for the standards contributions in D2.1 and a reusable reference for operators — closing the loop from the gaps identified in D1.1 to a working, interoperable demonstration.</w:t>
      </w:r>
    </w:p>
    <w:p>
      <w:pPr>
        <w:pageBreakBefore/>
      </w:pPr>
    </w:p>
    <w:p>
      <w:pPr>
        <w:pStyle w:val="Heading1"/>
        <w:spacing w:after="140" w:before="320"/>
      </w:pPr>
      <w:r>
        <w:t xml:space="preserve">Annex A — Interoperability dimensions and governing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200"/>
        <w:gridCol w:w="176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Dim.</w:t>
            </w:r>
          </w:p>
        </w:tc>
        <w:tc>
          <w:tcPr>
            <w:tcW w:type="dxa" w:w="3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Concern</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Governing / aligned standard</w:t>
            </w:r>
          </w:p>
        </w:tc>
        <w:tc>
          <w:tcPr>
            <w:tcW w:type="dxa" w:w="1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Status (May 2026)</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Issuance protocol</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1.0</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 self-cert Feb 2026</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Presentation protocol</w:t>
            </w:r>
          </w:p>
        </w:tc>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OpenID4VP 1.0; DCQL</w:t>
            </w:r>
          </w:p>
        </w:tc>
        <w:tc>
          <w:tcPr>
            <w:tcW w:type="dxa" w:w="1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 self-cert Feb 2026</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D3</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 formats</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 ISO 18013-5 mdoc; W3C VC 2.0</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VC 2.0 Rec; mdoc IS; SD-JWT VC maturing</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D4</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Semantics</w:t>
            </w:r>
          </w:p>
        </w:tc>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Shared vocabulary (proposed); ISO 22739</w:t>
            </w:r>
          </w:p>
        </w:tc>
        <w:tc>
          <w:tcPr>
            <w:tcW w:type="dxa" w:w="1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Proposed / under revision</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D5</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trust framework; ETSI EN 319 4xx</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 force</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D6</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Bitstring Status List v1.0</w:t>
            </w:r>
          </w:p>
        </w:tc>
        <w:tc>
          <w:tcPr>
            <w:tcW w:type="dxa" w:w="1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Recommendation</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D7</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Binding</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D2.1 note C3; CAIP; ERC-721/6672</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Proposed (closes gap G1)</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D8</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Portability/recovery</w:t>
            </w:r>
          </w:p>
        </w:tc>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Proposed (closes gap G9)</w:t>
            </w:r>
          </w:p>
        </w:tc>
        <w:tc>
          <w:tcPr>
            <w:tcW w:type="dxa" w:w="1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D9</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ARF v2.4.0; HAIP 1.0</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ARF Jan 2026; HAIP final late 2025</w:t>
            </w:r>
          </w:p>
        </w:tc>
      </w:tr>
    </w:tbl>
    <w:p>
      <w:pPr>
        <w:pageBreakBefore/>
      </w:pPr>
    </w:p>
    <w:p>
      <w:pPr>
        <w:pStyle w:val="Heading1"/>
        <w:spacing w:after="140" w:before="320"/>
      </w:pPr>
      <w:r>
        <w:t xml:space="preserve">Annex B — Requirement-to-interoperability-test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cantSplit/>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Dimension</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Interoperability test concept</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D7</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Verify mutual credential–token binding and issuer authority; reject mismatched digest.</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TW-F-04</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D2/D9</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Deterministic accept/reject across validity window and venue scope, offline.</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TW-F-07</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D2/D3</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 of only requested attributes across SD-JWT VC and mdoc.</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D2/D6</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End-to-end offline verification at tiers 0 and 1.</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D9</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Cross-scheme verification without re-issuance.</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Minimal-set presentation per purpose; over-broad request flagged.</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TW-SP-04</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Revoked entitlement rejected; offline cached-status freshness honoured.</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TW-TL-02</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D8</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Recovery after device loss with no third-party custody.</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TW-TL-04</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D1/D9</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EUDI-compatible issuance and verification of a tourism attestation.</w:t>
            </w:r>
          </w:p>
        </w:tc>
      </w:tr>
    </w:tbl>
    <w:p>
      <w:pPr>
        <w:spacing w:after="60"/>
      </w:pPr>
    </w:p>
    <w:p>
      <w:pPr>
        <w:spacing w:after="120" w:line="276" w:lineRule="auto"/>
        <w:jc w:val="both"/>
      </w:pPr>
      <w:r>
        <w:rPr>
          <w:i/>
          <w:iCs/>
          <w:color w:val="595959"/>
          <w:sz w:val="19"/>
          <w:szCs w:val="19"/>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tabs>
        <w:tab w:val="right" w:pos="9026"/>
      </w:tabs>
    </w:pPr>
    <w:r>
      <w:rPr>
        <w:color w:val="595959"/>
        <w:sz w:val="16"/>
        <w:szCs w:val="16"/>
      </w:rPr>
      <w:t xml:space="preserve">StandICT.eu 2029 · 2029-01-1530 · D2.2</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StandICT.eu 2029 · 2029-01-1530 · D2.2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pPr>
    <w:r>
      <w:rPr>
        <w:color w:val="595959"/>
        <w:sz w:val="16"/>
        <w:szCs w:val="16"/>
      </w:rPr>
      <w:t xml:space="preserve">Wallet Interoperability Concepts for Non-Custodial Tourism Wallets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 Interoperability Concepts for Non-Custodial Tourism Wallets</dc:title>
  <dc:creator>Hugo Perez</dc:creator>
  <dc:description>StandICT.eu 2029 Fellowship 2029-01-1530 - Deliverable D2.2</dc:description>
  <cp:lastModifiedBy>Un-named</cp:lastModifiedBy>
  <cp:revision>1</cp:revision>
  <dcterms:created xsi:type="dcterms:W3CDTF">2026-05-31T16:05:40.328Z</dcterms:created>
  <dcterms:modified xsi:type="dcterms:W3CDTF">2026-05-31T16:05:40.328Z</dcterms:modified>
</cp:coreProperties>
</file>

<file path=docProps/custom.xml><?xml version="1.0" encoding="utf-8"?>
<Properties xmlns="http://schemas.openxmlformats.org/officeDocument/2006/custom-properties" xmlns:vt="http://schemas.openxmlformats.org/officeDocument/2006/docPropsVTypes"/>
</file>