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2E5496"/>
          <w:sz w:val="24"/>
          <w:szCs w:val="24"/>
        </w:rPr>
        <w:t xml:space="preserve">StandICT.eu 2029 — 1st Open Call</w:t>
      </w:r>
    </w:p>
    <w:p>
      <w:pPr>
        <w:pBdr>
          <w:bottom w:val="single" w:color="1F3864" w:sz="8" w:space="6"/>
        </w:pBdr>
        <w:spacing w:after="480"/>
      </w:pPr>
      <w:r>
        <w:rPr>
          <w:color w:val="595959"/>
          <w:sz w:val="22"/>
          <w:szCs w:val="22"/>
        </w:rPr>
        <w:t xml:space="preserve">Fellowship Project 2029-01-1530</w:t>
      </w:r>
    </w:p>
    <w:p>
      <w:pPr>
        <w:spacing w:after="120"/>
      </w:pPr>
      <w:r>
        <w:rPr>
          <w:b/>
          <w:bCs/>
          <w:color w:val="1F3864"/>
          <w:sz w:val="44"/>
          <w:szCs w:val="44"/>
        </w:rPr>
        <w:t xml:space="preserve">Requirements Document:</w:t>
      </w:r>
    </w:p>
    <w:p>
      <w:pPr>
        <w:spacing w:after="360"/>
      </w:pPr>
      <w:r>
        <w:rPr>
          <w:b/>
          <w:bCs/>
          <w:color w:val="1F3864"/>
          <w:sz w:val="38"/>
          <w:szCs w:val="38"/>
        </w:rPr>
        <w:t xml:space="preserve">Requirements for Non-Custodial Tourism Wallets — A Structured Submission to Standards-Development Organisations</w:t>
      </w:r>
    </w:p>
    <w:p>
      <w:pPr>
        <w:spacing w:after="80"/>
      </w:pPr>
      <w:r>
        <w:rPr>
          <w:b/>
          <w:bCs/>
          <w:sz w:val="24"/>
          <w:szCs w:val="24"/>
        </w:rPr>
        <w:t xml:space="preserve">Project: Standardizing Non-Custodial Wallet Infrastructure for Tourism</w:t>
      </w:r>
    </w:p>
    <w:p>
      <w:pPr>
        <w:spacing w:after="80"/>
      </w:pPr>
      <w:r>
        <w:rPr>
          <w:color w:val="595959"/>
          <w:sz w:val="22"/>
          <w:szCs w:val="22"/>
        </w:rPr>
        <w:t xml:space="preserve">Phase 1 — Analysis and Requirements Definition · Deliverable D1.2</w:t>
      </w:r>
    </w:p>
    <w:p>
      <w:pPr>
        <w:spacing w:after="480"/>
      </w:pPr>
      <w:r>
        <w:rPr>
          <w:color w:val="595959"/>
          <w:sz w:val="22"/>
          <w:szCs w:val="22"/>
        </w:rPr>
        <w:t xml:space="preserve">Mid-term reporting period · May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Value</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Fellow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Organisation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KODE de Hugo A Perez S. SL (Spain)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Application ID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2029-01-1530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Companion deliverable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D1.1 State of the Art and Standards Gaps for Non-Custodial Tourism Wallets</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Target SSO(s)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W3C/ERCIM; ISO/IEC (ISO/TC 307, JTC 1/SC 27); ETSI (TC ESI, ISG PDL)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Dissemination level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Public</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specification (structured for submission to standardisation bodies)</w:t>
            </w:r>
          </w:p>
        </w:tc>
      </w:tr>
    </w:tbl>
    <w:p>
      <w:pPr>
        <w:pageBreakBefore/>
      </w:pPr>
    </w:p>
    <w:p>
      <w:pPr>
        <w:pStyle w:val="Heading1"/>
        <w:spacing w:after="140" w:before="32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Item</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Detail</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Document title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for Non-Custodial Tourism Wallets — A Structured Submission to SDOs</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Deliverable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D1.2 (Phase 1 — Analysis and Requirements Definition)</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Date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Author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Hugo Perez (KODE de Hugo A Perez S. SL)</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Status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 — mid-term reporting period</w:t>
            </w:r>
          </w:p>
        </w:tc>
      </w:tr>
      <w:tr>
        <w:trPr>
          <w:cantSplit/>
        </w:trP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Basis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Derived from the gap analysis and requirements in deliverable D1.1</w:t>
            </w:r>
          </w:p>
        </w:tc>
      </w:tr>
      <w:tr>
        <w:trPr>
          <w:cantSplit/>
        </w:trP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Conformance language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RFC 2119 / BCP 14 key words, with an ISO/IEC Directives Part 2 mapping in Annex B</w:t>
            </w:r>
          </w:p>
        </w:tc>
      </w:tr>
    </w:tbl>
    <w:p>
      <w:pPr>
        <w:spacing w:after="60"/>
      </w:pPr>
    </w:p>
    <w:p>
      <w:pPr>
        <w:spacing w:after="80" w:before="120"/>
      </w:pPr>
      <w:r>
        <w:rPr>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cantSplit/>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Date</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Notes</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0.1</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Apr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Requirements derived from D1.1 gap analysis</w:t>
            </w:r>
          </w:p>
        </w:tc>
      </w:tr>
      <w:tr>
        <w:trPr>
          <w:cantSplit/>
        </w:trPr>
        <w:tc>
          <w:tcPr>
            <w:tcW w:type="dxa" w:w="1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0.9</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cases formalised; submission packages added</w:t>
            </w:r>
          </w:p>
        </w:tc>
      </w:tr>
      <w:tr>
        <w:trPr>
          <w:cantSplit/>
        </w:trP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1.0</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2026</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Finalised for mid-term reporting period</w:t>
            </w:r>
          </w:p>
        </w:tc>
      </w:tr>
    </w:tbl>
    <w:p>
      <w:pPr>
        <w:pageBreakBefore/>
      </w:pPr>
    </w:p>
    <w:p>
      <w:pPr>
        <w:pStyle w:val="Heading1"/>
        <w:spacing w:after="140" w:before="320"/>
      </w:pPr>
      <w:r>
        <w:t xml:space="preserve">Table of contents</w:t>
      </w:r>
    </w:p>
    <w:p>
      <w:pPr>
        <w:tabs>
          <w:tab w:val="right" w:pos="9360" w:leader="dot"/>
        </w:tabs>
        <w:spacing w:after="40" w:line="264" w:lineRule="auto"/>
        <w:ind w:left="0"/>
      </w:pPr>
      <w:r>
        <w:rPr>
          <w:b/>
          <w:bCs/>
          <w:color w:val="1F3864"/>
          <w:sz w:val="22"/>
          <w:szCs w:val="22"/>
        </w:rPr>
        <w:t xml:space="preserve">Executive summary</w:t>
      </w:r>
      <w:r>
        <w:rPr>
          <w:sz w:val="21"/>
          <w:szCs w:val="21"/>
        </w:rPr>
        <w:t xml:space="preserve">	4</w:t>
      </w:r>
    </w:p>
    <w:p>
      <w:pPr>
        <w:tabs>
          <w:tab w:val="right" w:pos="9360" w:leader="dot"/>
        </w:tabs>
        <w:spacing w:after="40" w:line="264" w:lineRule="auto"/>
        <w:ind w:left="0"/>
      </w:pPr>
      <w:r>
        <w:rPr>
          <w:b/>
          <w:bCs/>
          <w:color w:val="1F3864"/>
          <w:sz w:val="22"/>
          <w:szCs w:val="22"/>
        </w:rPr>
        <w:t xml:space="preserve">1. Introduction</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1.1 Purpose</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1.2 Scope</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1.3 Relationship to D1.1 and Phase 2</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1.4 Structure of a requirement</w:t>
      </w:r>
      <w:r>
        <w:rPr>
          <w:sz w:val="21"/>
          <w:szCs w:val="21"/>
        </w:rPr>
        <w:t xml:space="preserve">	5</w:t>
      </w:r>
    </w:p>
    <w:p>
      <w:pPr>
        <w:tabs>
          <w:tab w:val="right" w:pos="9360" w:leader="dot"/>
        </w:tabs>
        <w:spacing w:after="40" w:line="264" w:lineRule="auto"/>
        <w:ind w:left="360"/>
      </w:pPr>
      <w:r>
        <w:rPr>
          <w:b w:val="false"/>
          <w:bCs w:val="false"/>
          <w:color w:val="000000"/>
          <w:sz w:val="21"/>
          <w:szCs w:val="21"/>
        </w:rPr>
        <w:t xml:space="preserve">1.5 Conformance and key words</w:t>
      </w:r>
      <w:r>
        <w:rPr>
          <w:sz w:val="21"/>
          <w:szCs w:val="21"/>
        </w:rPr>
        <w:t xml:space="preserve">	6</w:t>
      </w:r>
    </w:p>
    <w:p>
      <w:pPr>
        <w:tabs>
          <w:tab w:val="right" w:pos="9360" w:leader="dot"/>
        </w:tabs>
        <w:spacing w:after="40" w:line="264" w:lineRule="auto"/>
        <w:ind w:left="0"/>
      </w:pPr>
      <w:r>
        <w:rPr>
          <w:b/>
          <w:bCs/>
          <w:color w:val="1F3864"/>
          <w:sz w:val="22"/>
          <w:szCs w:val="22"/>
        </w:rPr>
        <w:t xml:space="preserve">2. Normative and informative references</w:t>
      </w:r>
      <w:r>
        <w:rPr>
          <w:sz w:val="21"/>
          <w:szCs w:val="21"/>
        </w:rPr>
        <w:t xml:space="preserve">	7</w:t>
      </w:r>
    </w:p>
    <w:p>
      <w:pPr>
        <w:tabs>
          <w:tab w:val="right" w:pos="9360" w:leader="dot"/>
        </w:tabs>
        <w:spacing w:after="40" w:line="264" w:lineRule="auto"/>
        <w:ind w:left="0"/>
      </w:pPr>
      <w:r>
        <w:rPr>
          <w:b/>
          <w:bCs/>
          <w:color w:val="1F3864"/>
          <w:sz w:val="22"/>
          <w:szCs w:val="22"/>
        </w:rPr>
        <w:t xml:space="preserve">3. Terms and definitions</w:t>
      </w:r>
      <w:r>
        <w:rPr>
          <w:sz w:val="21"/>
          <w:szCs w:val="21"/>
        </w:rPr>
        <w:t xml:space="preserve">	8</w:t>
      </w:r>
    </w:p>
    <w:p>
      <w:pPr>
        <w:tabs>
          <w:tab w:val="right" w:pos="9360" w:leader="dot"/>
        </w:tabs>
        <w:spacing w:after="40" w:line="264" w:lineRule="auto"/>
        <w:ind w:left="0"/>
      </w:pPr>
      <w:r>
        <w:rPr>
          <w:b/>
          <w:bCs/>
          <w:color w:val="1F3864"/>
          <w:sz w:val="22"/>
          <w:szCs w:val="22"/>
        </w:rPr>
        <w:t xml:space="preserve">4. Actors and roles</w:t>
      </w:r>
      <w:r>
        <w:rPr>
          <w:sz w:val="21"/>
          <w:szCs w:val="21"/>
        </w:rPr>
        <w:t xml:space="preserve">	9</w:t>
      </w:r>
    </w:p>
    <w:p>
      <w:pPr>
        <w:tabs>
          <w:tab w:val="right" w:pos="9360" w:leader="dot"/>
        </w:tabs>
        <w:spacing w:after="40" w:line="264" w:lineRule="auto"/>
        <w:ind w:left="0"/>
      </w:pPr>
      <w:r>
        <w:rPr>
          <w:b/>
          <w:bCs/>
          <w:color w:val="1F3864"/>
          <w:sz w:val="22"/>
          <w:szCs w:val="22"/>
        </w:rPr>
        <w:t xml:space="preserve">5. Reference model</w:t>
      </w:r>
      <w:r>
        <w:rPr>
          <w:sz w:val="21"/>
          <w:szCs w:val="21"/>
        </w:rPr>
        <w:t xml:space="preserve">	10</w:t>
      </w:r>
    </w:p>
    <w:p>
      <w:pPr>
        <w:tabs>
          <w:tab w:val="right" w:pos="9360" w:leader="dot"/>
        </w:tabs>
        <w:spacing w:after="40" w:line="264" w:lineRule="auto"/>
        <w:ind w:left="0"/>
      </w:pPr>
      <w:r>
        <w:rPr>
          <w:b/>
          <w:bCs/>
          <w:color w:val="1F3864"/>
          <w:sz w:val="22"/>
          <w:szCs w:val="22"/>
        </w:rPr>
        <w:t xml:space="preserve">6. Use cases</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6.1 UC-A — Multi-entry city attractions pass</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6.2 UC-B — Cross-border multi-day transport entitlement</w:t>
      </w:r>
      <w:r>
        <w:rPr>
          <w:sz w:val="21"/>
          <w:szCs w:val="21"/>
        </w:rPr>
        <w:t xml:space="preserve">	11</w:t>
      </w:r>
    </w:p>
    <w:p>
      <w:pPr>
        <w:tabs>
          <w:tab w:val="right" w:pos="9360" w:leader="dot"/>
        </w:tabs>
        <w:spacing w:after="40" w:line="264" w:lineRule="auto"/>
        <w:ind w:left="360"/>
      </w:pPr>
      <w:r>
        <w:rPr>
          <w:b w:val="false"/>
          <w:bCs w:val="false"/>
          <w:color w:val="000000"/>
          <w:sz w:val="21"/>
          <w:szCs w:val="21"/>
        </w:rPr>
        <w:t xml:space="preserve">6.3 UC-C — Hotel check-in with minimal identity disclosure</w:t>
      </w:r>
      <w:r>
        <w:rPr>
          <w:sz w:val="21"/>
          <w:szCs w:val="21"/>
        </w:rPr>
        <w:t xml:space="preserve">	12</w:t>
      </w:r>
    </w:p>
    <w:p>
      <w:pPr>
        <w:tabs>
          <w:tab w:val="right" w:pos="9360" w:leader="dot"/>
        </w:tabs>
        <w:spacing w:after="40" w:line="264" w:lineRule="auto"/>
        <w:ind w:left="360"/>
      </w:pPr>
      <w:r>
        <w:rPr>
          <w:b w:val="false"/>
          <w:bCs w:val="false"/>
          <w:color w:val="000000"/>
          <w:sz w:val="21"/>
          <w:szCs w:val="21"/>
        </w:rPr>
        <w:t xml:space="preserve">6.4 UC-D — Cross-border festival with group tickets</w:t>
      </w:r>
      <w:r>
        <w:rPr>
          <w:sz w:val="21"/>
          <w:szCs w:val="21"/>
        </w:rPr>
        <w:t xml:space="preserve">	12</w:t>
      </w:r>
    </w:p>
    <w:p>
      <w:pPr>
        <w:tabs>
          <w:tab w:val="right" w:pos="9360" w:leader="dot"/>
        </w:tabs>
        <w:spacing w:after="40" w:line="264" w:lineRule="auto"/>
        <w:ind w:left="0"/>
      </w:pPr>
      <w:r>
        <w:rPr>
          <w:b/>
          <w:bCs/>
          <w:color w:val="1F3864"/>
          <w:sz w:val="22"/>
          <w:szCs w:val="22"/>
        </w:rPr>
        <w:t xml:space="preserve">7. Requirements</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7.1 Functional requirements</w:t>
      </w:r>
      <w:r>
        <w:rPr>
          <w:sz w:val="21"/>
          <w:szCs w:val="21"/>
        </w:rPr>
        <w:t xml:space="preserve">	14</w:t>
      </w:r>
    </w:p>
    <w:p>
      <w:pPr>
        <w:tabs>
          <w:tab w:val="right" w:pos="9360" w:leader="dot"/>
        </w:tabs>
        <w:spacing w:after="40" w:line="264" w:lineRule="auto"/>
        <w:ind w:left="360"/>
      </w:pPr>
      <w:r>
        <w:rPr>
          <w:b w:val="false"/>
          <w:bCs w:val="false"/>
          <w:color w:val="000000"/>
          <w:sz w:val="21"/>
          <w:szCs w:val="21"/>
        </w:rPr>
        <w:t xml:space="preserve">7.2 Operational and non-functional requirements</w:t>
      </w:r>
      <w:r>
        <w:rPr>
          <w:sz w:val="21"/>
          <w:szCs w:val="21"/>
        </w:rPr>
        <w:t xml:space="preserve">	16</w:t>
      </w:r>
    </w:p>
    <w:p>
      <w:pPr>
        <w:tabs>
          <w:tab w:val="right" w:pos="9360" w:leader="dot"/>
        </w:tabs>
        <w:spacing w:after="40" w:line="264" w:lineRule="auto"/>
        <w:ind w:left="360"/>
      </w:pPr>
      <w:r>
        <w:rPr>
          <w:b w:val="false"/>
          <w:bCs w:val="false"/>
          <w:color w:val="000000"/>
          <w:sz w:val="21"/>
          <w:szCs w:val="21"/>
        </w:rPr>
        <w:t xml:space="preserve">7.3 Security and privacy requirements</w:t>
      </w:r>
      <w:r>
        <w:rPr>
          <w:sz w:val="21"/>
          <w:szCs w:val="21"/>
        </w:rPr>
        <w:t xml:space="preserve">	17</w:t>
      </w:r>
    </w:p>
    <w:p>
      <w:pPr>
        <w:tabs>
          <w:tab w:val="right" w:pos="9360" w:leader="dot"/>
        </w:tabs>
        <w:spacing w:after="40" w:line="264" w:lineRule="auto"/>
        <w:ind w:left="360"/>
      </w:pPr>
      <w:r>
        <w:rPr>
          <w:b w:val="false"/>
          <w:bCs w:val="false"/>
          <w:color w:val="000000"/>
          <w:sz w:val="21"/>
          <w:szCs w:val="21"/>
        </w:rPr>
        <w:t xml:space="preserve">7.4 Trust and lifecycle requirements</w:t>
      </w:r>
      <w:r>
        <w:rPr>
          <w:sz w:val="21"/>
          <w:szCs w:val="21"/>
        </w:rPr>
        <w:t xml:space="preserve">	19</w:t>
      </w:r>
    </w:p>
    <w:p>
      <w:pPr>
        <w:tabs>
          <w:tab w:val="right" w:pos="9360" w:leader="dot"/>
        </w:tabs>
        <w:spacing w:after="40" w:line="264" w:lineRule="auto"/>
        <w:ind w:left="0"/>
      </w:pPr>
      <w:r>
        <w:rPr>
          <w:b/>
          <w:bCs/>
          <w:color w:val="1F3864"/>
          <w:sz w:val="22"/>
          <w:szCs w:val="22"/>
        </w:rPr>
        <w:t xml:space="preserve">8. Traceability matrix</w:t>
      </w:r>
      <w:r>
        <w:rPr>
          <w:sz w:val="21"/>
          <w:szCs w:val="21"/>
        </w:rPr>
        <w:t xml:space="preserve">	21</w:t>
      </w:r>
    </w:p>
    <w:p>
      <w:pPr>
        <w:tabs>
          <w:tab w:val="right" w:pos="9360" w:leader="dot"/>
        </w:tabs>
        <w:spacing w:after="40" w:line="264" w:lineRule="auto"/>
        <w:ind w:left="0"/>
      </w:pPr>
      <w:r>
        <w:rPr>
          <w:b/>
          <w:bCs/>
          <w:color w:val="1F3864"/>
          <w:sz w:val="22"/>
          <w:szCs w:val="22"/>
        </w:rPr>
        <w:t xml:space="preserve">9. Submission packages by standards body</w:t>
      </w:r>
      <w:r>
        <w:rPr>
          <w:sz w:val="21"/>
          <w:szCs w:val="21"/>
        </w:rPr>
        <w:t xml:space="preserve">	22</w:t>
      </w:r>
    </w:p>
    <w:p>
      <w:pPr>
        <w:tabs>
          <w:tab w:val="right" w:pos="9360" w:leader="dot"/>
        </w:tabs>
        <w:spacing w:after="40" w:line="264" w:lineRule="auto"/>
        <w:ind w:left="360"/>
      </w:pPr>
      <w:r>
        <w:rPr>
          <w:b w:val="false"/>
          <w:bCs w:val="false"/>
          <w:color w:val="000000"/>
          <w:sz w:val="21"/>
          <w:szCs w:val="21"/>
        </w:rPr>
        <w:t xml:space="preserve">9.1 W3C</w:t>
      </w:r>
      <w:r>
        <w:rPr>
          <w:sz w:val="21"/>
          <w:szCs w:val="21"/>
        </w:rPr>
        <w:t xml:space="preserve">	22</w:t>
      </w:r>
    </w:p>
    <w:p>
      <w:pPr>
        <w:tabs>
          <w:tab w:val="right" w:pos="9360" w:leader="dot"/>
        </w:tabs>
        <w:spacing w:after="40" w:line="264" w:lineRule="auto"/>
        <w:ind w:left="360"/>
      </w:pPr>
      <w:r>
        <w:rPr>
          <w:b w:val="false"/>
          <w:bCs w:val="false"/>
          <w:color w:val="000000"/>
          <w:sz w:val="21"/>
          <w:szCs w:val="21"/>
        </w:rPr>
        <w:t xml:space="preserve">9.2 ISO/TC 307 and JTC 1/SC 27 JWG 4</w:t>
      </w:r>
      <w:r>
        <w:rPr>
          <w:sz w:val="21"/>
          <w:szCs w:val="21"/>
        </w:rPr>
        <w:t xml:space="preserve">	22</w:t>
      </w:r>
    </w:p>
    <w:p>
      <w:pPr>
        <w:tabs>
          <w:tab w:val="right" w:pos="9360" w:leader="dot"/>
        </w:tabs>
        <w:spacing w:after="40" w:line="264" w:lineRule="auto"/>
        <w:ind w:left="360"/>
      </w:pPr>
      <w:r>
        <w:rPr>
          <w:b w:val="false"/>
          <w:bCs w:val="false"/>
          <w:color w:val="000000"/>
          <w:sz w:val="21"/>
          <w:szCs w:val="21"/>
        </w:rPr>
        <w:t xml:space="preserve">9.3 ETSI TC ESI</w:t>
      </w:r>
      <w:r>
        <w:rPr>
          <w:sz w:val="21"/>
          <w:szCs w:val="21"/>
        </w:rPr>
        <w:t xml:space="preserve">	22</w:t>
      </w:r>
    </w:p>
    <w:p>
      <w:pPr>
        <w:tabs>
          <w:tab w:val="right" w:pos="9360" w:leader="dot"/>
        </w:tabs>
        <w:spacing w:after="40" w:line="264" w:lineRule="auto"/>
        <w:ind w:left="360"/>
      </w:pPr>
      <w:r>
        <w:rPr>
          <w:b w:val="false"/>
          <w:bCs w:val="false"/>
          <w:color w:val="000000"/>
          <w:sz w:val="21"/>
          <w:szCs w:val="21"/>
        </w:rPr>
        <w:t xml:space="preserve">9.4 ETSI ISG PDL</w:t>
      </w:r>
      <w:r>
        <w:rPr>
          <w:sz w:val="21"/>
          <w:szCs w:val="21"/>
        </w:rPr>
        <w:t xml:space="preserve">	23</w:t>
      </w:r>
    </w:p>
    <w:p>
      <w:pPr>
        <w:tabs>
          <w:tab w:val="right" w:pos="9360" w:leader="dot"/>
        </w:tabs>
        <w:spacing w:after="40" w:line="264" w:lineRule="auto"/>
        <w:ind w:left="360"/>
      </w:pPr>
      <w:r>
        <w:rPr>
          <w:b w:val="false"/>
          <w:bCs w:val="false"/>
          <w:color w:val="000000"/>
          <w:sz w:val="21"/>
          <w:szCs w:val="21"/>
        </w:rPr>
        <w:t xml:space="preserve">9.5 EU Digital Identity Wallet / eIDAS expert group</w:t>
      </w:r>
      <w:r>
        <w:rPr>
          <w:sz w:val="21"/>
          <w:szCs w:val="21"/>
        </w:rPr>
        <w:t xml:space="preserve">	23</w:t>
      </w:r>
    </w:p>
    <w:p>
      <w:pPr>
        <w:tabs>
          <w:tab w:val="right" w:pos="9360" w:leader="dot"/>
        </w:tabs>
        <w:spacing w:after="40" w:line="264" w:lineRule="auto"/>
        <w:ind w:left="360"/>
      </w:pPr>
      <w:r>
        <w:rPr>
          <w:b w:val="false"/>
          <w:bCs w:val="false"/>
          <w:color w:val="000000"/>
          <w:sz w:val="21"/>
          <w:szCs w:val="21"/>
        </w:rPr>
        <w:t xml:space="preserve">9.6 OpenID Foundation and ISO/IEC 18013</w:t>
      </w:r>
      <w:r>
        <w:rPr>
          <w:sz w:val="21"/>
          <w:szCs w:val="21"/>
        </w:rPr>
        <w:t xml:space="preserve">	23</w:t>
      </w:r>
    </w:p>
    <w:p>
      <w:pPr>
        <w:tabs>
          <w:tab w:val="right" w:pos="9360" w:leader="dot"/>
        </w:tabs>
        <w:spacing w:after="40" w:line="264" w:lineRule="auto"/>
        <w:ind w:left="360"/>
      </w:pPr>
      <w:r>
        <w:rPr>
          <w:b w:val="false"/>
          <w:bCs w:val="false"/>
          <w:color w:val="000000"/>
          <w:sz w:val="21"/>
          <w:szCs w:val="21"/>
        </w:rPr>
        <w:t xml:space="preserve">9.7 Ethereum standards process</w:t>
      </w:r>
      <w:r>
        <w:rPr>
          <w:sz w:val="21"/>
          <w:szCs w:val="21"/>
        </w:rPr>
        <w:t xml:space="preserve">	23</w:t>
      </w:r>
    </w:p>
    <w:p>
      <w:pPr>
        <w:tabs>
          <w:tab w:val="right" w:pos="9360" w:leader="dot"/>
        </w:tabs>
        <w:spacing w:after="40" w:line="264" w:lineRule="auto"/>
        <w:ind w:left="0"/>
      </w:pPr>
      <w:r>
        <w:rPr>
          <w:b/>
          <w:bCs/>
          <w:color w:val="1F3864"/>
          <w:sz w:val="22"/>
          <w:szCs w:val="22"/>
        </w:rPr>
        <w:t xml:space="preserve">10. Open issues for SDO discussion</w:t>
      </w:r>
      <w:r>
        <w:rPr>
          <w:sz w:val="21"/>
          <w:szCs w:val="21"/>
        </w:rPr>
        <w:t xml:space="preserve">	24</w:t>
      </w:r>
    </w:p>
    <w:p>
      <w:pPr>
        <w:tabs>
          <w:tab w:val="right" w:pos="9360" w:leader="dot"/>
        </w:tabs>
        <w:spacing w:after="40" w:line="264" w:lineRule="auto"/>
        <w:ind w:left="0"/>
      </w:pPr>
      <w:r>
        <w:rPr>
          <w:b/>
          <w:bCs/>
          <w:color w:val="1F3864"/>
          <w:sz w:val="22"/>
          <w:szCs w:val="22"/>
        </w:rPr>
        <w:t xml:space="preserve">11. Conclusion and next steps</w:t>
      </w:r>
      <w:r>
        <w:rPr>
          <w:sz w:val="21"/>
          <w:szCs w:val="21"/>
        </w:rPr>
        <w:t xml:space="preserve">	25</w:t>
      </w:r>
    </w:p>
    <w:p>
      <w:pPr>
        <w:tabs>
          <w:tab w:val="right" w:pos="9360" w:leader="dot"/>
        </w:tabs>
        <w:spacing w:after="40" w:line="264" w:lineRule="auto"/>
        <w:ind w:left="0"/>
      </w:pPr>
      <w:r>
        <w:rPr>
          <w:b/>
          <w:bCs/>
          <w:color w:val="1F3864"/>
          <w:sz w:val="22"/>
          <w:szCs w:val="22"/>
        </w:rPr>
        <w:t xml:space="preserve">Annex A — Requirement register</w:t>
      </w:r>
      <w:r>
        <w:rPr>
          <w:sz w:val="21"/>
          <w:szCs w:val="21"/>
        </w:rPr>
        <w:t xml:space="preserve">	26</w:t>
      </w:r>
    </w:p>
    <w:p>
      <w:pPr>
        <w:tabs>
          <w:tab w:val="right" w:pos="9360" w:leader="dot"/>
        </w:tabs>
        <w:spacing w:after="40" w:line="264" w:lineRule="auto"/>
        <w:ind w:left="0"/>
      </w:pPr>
      <w:r>
        <w:rPr>
          <w:b/>
          <w:bCs/>
          <w:color w:val="1F3864"/>
          <w:sz w:val="22"/>
          <w:szCs w:val="22"/>
        </w:rPr>
        <w:t xml:space="preserve">Annex B — RFC 2119 to ISO verbal-form mapping</w:t>
      </w:r>
      <w:r>
        <w:rPr>
          <w:sz w:val="21"/>
          <w:szCs w:val="21"/>
        </w:rPr>
        <w:t xml:space="preserve">	27</w:t>
      </w:r>
    </w:p>
    <w:p>
      <w:pPr>
        <w:pageBreakBefore/>
      </w:pPr>
    </w:p>
    <w:p>
      <w:pPr>
        <w:pStyle w:val="Heading1"/>
        <w:spacing w:after="140" w:before="320"/>
      </w:pPr>
      <w:r>
        <w:t xml:space="preserve">Executive summary</w:t>
      </w:r>
    </w:p>
    <w:p>
      <w:pPr>
        <w:spacing w:after="120" w:line="276" w:lineRule="auto"/>
        <w:jc w:val="both"/>
      </w:pPr>
      <w:r>
        <w:rPr>
          <w:sz w:val="24"/>
          <w:szCs w:val="24"/>
        </w:rPr>
        <w:t xml:space="preserve">This document specifies the requirements for non-custodial tourism wallets and presents them in a form intended for submission to standards-development organisations (SDOs). It is the second Phase-1 deliverable (D1.2) of the StandICT.eu 2029 fellowship “Standardizing Non-Custodial Wallet Infrastructure for Tourism” (Application 2029-01-1530), and it is derived directly from the state-of-the-art survey and gap analysis in the companion deliverable D1.1.</w:t>
      </w:r>
    </w:p>
    <w:p>
      <w:pPr>
        <w:spacing w:after="120" w:line="276" w:lineRule="auto"/>
        <w:jc w:val="both"/>
      </w:pPr>
      <w:r>
        <w:rPr>
          <w:sz w:val="24"/>
          <w:szCs w:val="24"/>
        </w:rPr>
        <w:t xml:space="preserve">The document does three things. It restates the sector use cases in a formal, testable form (section 6). It specifies twenty atomic requirements, written in RFC 2119 normative language and grouped into functional, operational, security-and-privacy, and trust-and-lifecycle categories, each with a rationale, a source use case, the gap it closes, a verification criterion, a priority, and a target standardisation venue (section 7). And it organises those requirements into ready-to-submit packages addressed to specific bodies and work items — W3C, ISO/TC 307 (including ISO/TS 23516 and ISO/AWI 7603) and JTC 1/SC 27 JWG 4, ETSI TC ESI and ISG PDL, the EU Digital Identity / eIDAS expert process, the OpenID Foundation and ISO/IEC 18013 work, and the Ethereum standards process (section 9).</w:t>
      </w:r>
    </w:p>
    <w:p>
      <w:pPr>
        <w:spacing w:after="120" w:line="276" w:lineRule="auto"/>
        <w:jc w:val="both"/>
      </w:pPr>
      <w:r>
        <w:rPr>
          <w:sz w:val="24"/>
          <w:szCs w:val="24"/>
        </w:rPr>
        <w:t xml:space="preserve">Five requirements are flagged as the Phase-2 priorities, corresponding to the highest-leverage gaps identified in D1.1: a standardised binding between the credential and ledger-token representations of an entitlement (TW-F-03), a wallet-portable expression of time- and venue-bound validity (TW-F-04), offline verification at a defined assurance level (TW-NF-01), a tourism data-minimisation profile (TW-SP-01), and alignment of tourism attestations with the EU Digital Identity Wallet (TW-TL-04). To keep the document usable by both W3C/IETF-style and ISO/ETSI-style processes, Annex B maps the RFC 2119 key words used here to the verbal forms of the ISO/IEC Directives.</w:t>
      </w:r>
    </w:p>
    <w:p>
      <w:pPr>
        <w:pageBreakBefore/>
      </w:pPr>
    </w:p>
    <w:p>
      <w:pPr>
        <w:pStyle w:val="Heading1"/>
        <w:spacing w:after="140" w:before="320"/>
      </w:pPr>
      <w:r>
        <w:t xml:space="preserve">1. Introduction</w:t>
      </w:r>
    </w:p>
    <w:p>
      <w:pPr>
        <w:pStyle w:val="Heading2"/>
        <w:spacing w:after="100" w:before="220"/>
      </w:pPr>
      <w:r>
        <w:t xml:space="preserve">1.1 Purpose</w:t>
      </w:r>
    </w:p>
    <w:p>
      <w:pPr>
        <w:spacing w:after="120" w:line="276" w:lineRule="auto"/>
        <w:jc w:val="both"/>
      </w:pPr>
      <w:r>
        <w:rPr>
          <w:sz w:val="24"/>
          <w:szCs w:val="24"/>
        </w:rPr>
        <w:t xml:space="preserve">The purpose of this document is to express, precisely and verifiably, what a non-custodial tourism wallet and its supporting credential and entitlement formats must do, and to package those requirements so that they can be contributed to the relevant standardisation efforts with minimal reshaping. It is a requirements specification, not a design: it states what is required and why, not how a particular product implements it.</w:t>
      </w:r>
    </w:p>
    <w:p>
      <w:pPr>
        <w:pStyle w:val="Heading2"/>
        <w:spacing w:after="100" w:before="220"/>
      </w:pPr>
      <w:r>
        <w:t xml:space="preserve">1.2 Scope</w:t>
      </w:r>
    </w:p>
    <w:p>
      <w:pPr>
        <w:spacing w:after="120" w:line="276" w:lineRule="auto"/>
        <w:jc w:val="both"/>
      </w:pPr>
      <w:r>
        <w:rPr>
          <w:sz w:val="24"/>
          <w:szCs w:val="24"/>
        </w:rPr>
        <w:t xml:space="preserve">The scope is the wallet, credential and entitlement layer for tourism: how a traveller holds and presents tourism rights and identity attributes in a wallet they control, and how an operator, venue or authority verifies those rights. Consensus mechanisms, payment-scheme specifics, token economics and the internals of ticketing or property-management systems are out of scope except at their interfaces to the wallet. The requirements are technology-neutral: they reference existing standards as targets and alignment points but do not mandate a specific ledger or vendor.</w:t>
      </w:r>
    </w:p>
    <w:p>
      <w:pPr>
        <w:pStyle w:val="Heading2"/>
        <w:spacing w:after="100" w:before="220"/>
      </w:pPr>
      <w:r>
        <w:t xml:space="preserve">1.3 Relationship to D1.1 and Phase 2</w:t>
      </w:r>
    </w:p>
    <w:p>
      <w:pPr>
        <w:spacing w:after="120" w:line="276" w:lineRule="auto"/>
        <w:jc w:val="both"/>
      </w:pPr>
      <w:r>
        <w:rPr>
          <w:sz w:val="24"/>
          <w:szCs w:val="24"/>
        </w:rPr>
        <w:t xml:space="preserve">D1.1 surveyed the state of the art and identified fourteen gaps (G1–G14) against twelve high-level requirements (R1–R12). This document refines those into twenty atomic, normative requirements (TW-…), each traceable back to the D1.1 gaps and to the use cases. The submission packages in section 9 correspond to the Phase-2 plan: they define the artifacts (use-case contributions, requirements inputs, profile drafts and technical notes) that will be taken into the working groups during Phase 2 (Standards Contribution and Technical Drafting).</w:t>
      </w:r>
    </w:p>
    <w:p>
      <w:pPr>
        <w:pStyle w:val="Heading2"/>
        <w:spacing w:after="100" w:before="220"/>
      </w:pPr>
      <w:r>
        <w:t xml:space="preserve">1.4 Structure of a requirement</w:t>
      </w:r>
    </w:p>
    <w:p>
      <w:pPr>
        <w:spacing w:after="120" w:line="276" w:lineRule="auto"/>
        <w:jc w:val="both"/>
      </w:pPr>
      <w:r>
        <w:rPr>
          <w:sz w:val="24"/>
          <w:szCs w:val="24"/>
        </w:rPr>
        <w:t xml:space="preserve">Each requirement in section 7 is presented with a stable identifier and title, a single normative statement, and the following attributes: Rationale (why the requirement exists); Source &amp; gap (the use case it derives from and the D1.1 gap it closes); Verification (an objective criterion by which conformance can be judged); Priority (Must, Should or Could, with Phase-2 priorities flagged); and Target venue (the SDO and work item best placed to take it forward). Identifiers use the prefix TW- (tourism wallet) followed by a category code: F (functional), NF (non-functional/operational), SP (security and privacy) and TL (trust and lifecycle).</w:t>
      </w:r>
    </w:p>
    <w:p>
      <w:pPr>
        <w:pStyle w:val="Heading2"/>
        <w:spacing w:after="100" w:before="220"/>
      </w:pPr>
      <w:r>
        <w:t xml:space="preserve">1.5 Conformance and key words</w:t>
      </w:r>
    </w:p>
    <w:p>
      <w:pPr>
        <w:spacing w:after="120" w:line="276" w:lineRule="auto"/>
        <w:jc w:val="both"/>
      </w:pPr>
      <w:r>
        <w:rPr>
          <w:sz w:val="24"/>
          <w:szCs w:val="24"/>
        </w:rPr>
        <w:t xml:space="preserve">The key words MUST, MUST NOT, REQUIRED, SHALL, SHALL NOT, SHOULD, SHOULD NOT, RECOMMENDED, MAY and OPTIONAL in this document are to be interpreted as described in RFC 2119 and RFC 8174 (BCP 14) when, and only when, they appear in capitals. Because several target bodies (ISO, ETSI) draft requirements using the verbal forms of the ISO/IEC Directives Part 2 (“shall”, “should”, “may”), Annex B gives the mapping so that each requirement can be reformatted for the receiving body without changing its meaning. Priorities (Must/Should/Could) follow the MoSCoW convention and are distinct from the normative key words: a requirement may be normatively expressed with SHOULD yet be prioritised as a Must for the fellowship’s purposes, or vice versa.</w:t>
      </w:r>
    </w:p>
    <w:p>
      <w:pPr>
        <w:pageBreakBefore/>
      </w:pPr>
    </w:p>
    <w:p>
      <w:pPr>
        <w:pStyle w:val="Heading1"/>
        <w:spacing w:after="140" w:before="320"/>
      </w:pPr>
      <w:r>
        <w:t xml:space="preserve">2. Normative and informative references</w:t>
      </w:r>
    </w:p>
    <w:p>
      <w:pPr>
        <w:spacing w:after="120" w:line="276" w:lineRule="auto"/>
        <w:jc w:val="both"/>
      </w:pPr>
      <w:r>
        <w:rPr>
          <w:sz w:val="22"/>
          <w:szCs w:val="22"/>
        </w:rPr>
        <w:t xml:space="preserve">The following documents are referenced as the standards and work items against which these requirements are framed. Their detailed status (as of May 2026) is given in D1.1, Annex A.</w:t>
      </w:r>
    </w:p>
    <w:p>
      <w:pPr>
        <w:spacing w:after="70" w:line="264" w:lineRule="auto"/>
      </w:pPr>
      <w:r>
        <w:rPr>
          <w:b/>
          <w:bCs/>
          <w:sz w:val="20"/>
          <w:szCs w:val="20"/>
        </w:rPr>
        <w:t xml:space="preserve">[1] </w:t>
      </w:r>
      <w:r>
        <w:rPr>
          <w:sz w:val="20"/>
          <w:szCs w:val="20"/>
        </w:rPr>
        <w:t xml:space="preserve">W3C, Verifiable Credentials Data Model v2.0 (family), W3C Recommendation, 15 May 2025.</w:t>
      </w:r>
    </w:p>
    <w:p>
      <w:pPr>
        <w:spacing w:after="70" w:line="264" w:lineRule="auto"/>
      </w:pPr>
      <w:r>
        <w:rPr>
          <w:b/>
          <w:bCs/>
          <w:sz w:val="20"/>
          <w:szCs w:val="20"/>
        </w:rPr>
        <w:t xml:space="preserve">[2] </w:t>
      </w:r>
      <w:r>
        <w:rPr>
          <w:sz w:val="20"/>
          <w:szCs w:val="20"/>
        </w:rPr>
        <w:t xml:space="preserve">W3C, Decentralized Identifiers (DIDs) v1.0 (Recommendation, 2022) and v1.1 (Candidate Recommendation, March 2026).</w:t>
      </w:r>
    </w:p>
    <w:p>
      <w:pPr>
        <w:spacing w:after="70" w:line="264" w:lineRule="auto"/>
      </w:pPr>
      <w:r>
        <w:rPr>
          <w:b/>
          <w:bCs/>
          <w:sz w:val="20"/>
          <w:szCs w:val="20"/>
        </w:rPr>
        <w:t xml:space="preserve">[3] </w:t>
      </w:r>
      <w:r>
        <w:rPr>
          <w:sz w:val="20"/>
          <w:szCs w:val="20"/>
        </w:rPr>
        <w:t xml:space="preserve">W3C, Bitstring Status List v1.0; Controlled Identifiers v1.0.</w:t>
      </w:r>
    </w:p>
    <w:p>
      <w:pPr>
        <w:spacing w:after="70" w:line="264" w:lineRule="auto"/>
      </w:pPr>
      <w:r>
        <w:rPr>
          <w:b/>
          <w:bCs/>
          <w:sz w:val="20"/>
          <w:szCs w:val="20"/>
        </w:rPr>
        <w:t xml:space="preserve">[4] </w:t>
      </w:r>
      <w:r>
        <w:rPr>
          <w:sz w:val="20"/>
          <w:szCs w:val="20"/>
        </w:rPr>
        <w:t xml:space="preserve">OpenID Foundation, OpenID4VCI and OpenID4VP.</w:t>
      </w:r>
    </w:p>
    <w:p>
      <w:pPr>
        <w:spacing w:after="70" w:line="264" w:lineRule="auto"/>
      </w:pPr>
      <w:r>
        <w:rPr>
          <w:b/>
          <w:bCs/>
          <w:sz w:val="20"/>
          <w:szCs w:val="20"/>
        </w:rPr>
        <w:t xml:space="preserve">[5] </w:t>
      </w:r>
      <w:r>
        <w:rPr>
          <w:sz w:val="20"/>
          <w:szCs w:val="20"/>
        </w:rPr>
        <w:t xml:space="preserve">IETF, SD-JWT and SD-JWT VC (selective disclosure for JWT-based credentials).</w:t>
      </w:r>
    </w:p>
    <w:p>
      <w:pPr>
        <w:spacing w:after="70" w:line="264" w:lineRule="auto"/>
      </w:pPr>
      <w:r>
        <w:rPr>
          <w:b/>
          <w:bCs/>
          <w:sz w:val="20"/>
          <w:szCs w:val="20"/>
        </w:rPr>
        <w:t xml:space="preserve">[6] </w:t>
      </w:r>
      <w:r>
        <w:rPr>
          <w:sz w:val="20"/>
          <w:szCs w:val="20"/>
        </w:rPr>
        <w:t xml:space="preserve">ISO/IEC 18013-5 (mobile driving licence / mdoc) and ISO/IEC 18013-7; ISO/IEC 23220 series.</w:t>
      </w:r>
    </w:p>
    <w:p>
      <w:pPr>
        <w:spacing w:after="70" w:line="264" w:lineRule="auto"/>
      </w:pPr>
      <w:r>
        <w:rPr>
          <w:b/>
          <w:bCs/>
          <w:sz w:val="20"/>
          <w:szCs w:val="20"/>
        </w:rPr>
        <w:t xml:space="preserve">[7] </w:t>
      </w:r>
      <w:r>
        <w:rPr>
          <w:sz w:val="20"/>
          <w:szCs w:val="20"/>
        </w:rPr>
        <w:t xml:space="preserve">ISO 22739 (Vocabulary); ISO 23257 (Reference architecture); ISO/TR 23244 (Privacy/PII); ISO/TR 23576 (Custodian security); ISO/TS 23635 (Governance); ISO/TR 23644 (TADIM).</w:t>
      </w:r>
    </w:p>
    <w:p>
      <w:pPr>
        <w:spacing w:after="70" w:line="264" w:lineRule="auto"/>
      </w:pPr>
      <w:r>
        <w:rPr>
          <w:b/>
          <w:bCs/>
          <w:sz w:val="20"/>
          <w:szCs w:val="20"/>
        </w:rPr>
        <w:t xml:space="preserve">[8] </w:t>
      </w:r>
      <w:r>
        <w:rPr>
          <w:sz w:val="20"/>
          <w:szCs w:val="20"/>
        </w:rPr>
        <w:t xml:space="preserve">ISO/TS 23516 (Interoperability framework, under development); ISO/AWI 7603 (Decentralized identity, under development).</w:t>
      </w:r>
    </w:p>
    <w:p>
      <w:pPr>
        <w:spacing w:after="70" w:line="264" w:lineRule="auto"/>
      </w:pPr>
      <w:r>
        <w:rPr>
          <w:b/>
          <w:bCs/>
          <w:sz w:val="20"/>
          <w:szCs w:val="20"/>
        </w:rPr>
        <w:t xml:space="preserve">[9] </w:t>
      </w:r>
      <w:r>
        <w:rPr>
          <w:sz w:val="20"/>
          <w:szCs w:val="20"/>
        </w:rPr>
        <w:t xml:space="preserve">ETSI EN 319 4xx series (TC ESI); ETSI GS PDL 027 (user-centric identity) and GS PDL 033 (NFT standards); ETSI GR PDL 034.</w:t>
      </w:r>
    </w:p>
    <w:p>
      <w:pPr>
        <w:spacing w:after="70" w:line="264" w:lineRule="auto"/>
      </w:pPr>
      <w:r>
        <w:rPr>
          <w:b/>
          <w:bCs/>
          <w:sz w:val="20"/>
          <w:szCs w:val="20"/>
        </w:rPr>
        <w:t xml:space="preserve">[10] </w:t>
      </w:r>
      <w:r>
        <w:rPr>
          <w:sz w:val="20"/>
          <w:szCs w:val="20"/>
        </w:rPr>
        <w:t xml:space="preserve">Regulation (EU) 2024/1183 (eIDAS 2.0); EU Digital Identity Wallet Architecture and Reference Framework v2.4.0 (January 2026) and related Implementing Regulations.</w:t>
      </w:r>
    </w:p>
    <w:p>
      <w:pPr>
        <w:spacing w:after="70" w:line="264" w:lineRule="auto"/>
      </w:pPr>
      <w:r>
        <w:rPr>
          <w:b/>
          <w:bCs/>
          <w:sz w:val="20"/>
          <w:szCs w:val="20"/>
        </w:rPr>
        <w:t xml:space="preserve">[11] </w:t>
      </w:r>
      <w:r>
        <w:rPr>
          <w:sz w:val="20"/>
          <w:szCs w:val="20"/>
        </w:rPr>
        <w:t xml:space="preserve">Ethereum: ERC-20, ERC-721, ERC-1155, ERC-4907, ERC-6672, ERC-5192, ERC-4337.</w:t>
      </w:r>
    </w:p>
    <w:p>
      <w:pPr>
        <w:spacing w:after="70" w:line="264" w:lineRule="auto"/>
      </w:pPr>
      <w:r>
        <w:rPr>
          <w:b/>
          <w:bCs/>
          <w:sz w:val="20"/>
          <w:szCs w:val="20"/>
        </w:rPr>
        <w:t xml:space="preserve">[12] </w:t>
      </w:r>
      <w:r>
        <w:rPr>
          <w:sz w:val="20"/>
          <w:szCs w:val="20"/>
        </w:rPr>
        <w:t xml:space="preserve">RFC 2119 and RFC 8174 (BCP 14); ISO/IEC Directives, Part 2.</w:t>
      </w:r>
    </w:p>
    <w:p>
      <w:pPr>
        <w:spacing w:after="70" w:line="264" w:lineRule="auto"/>
      </w:pPr>
      <w:r>
        <w:rPr>
          <w:b/>
          <w:bCs/>
          <w:sz w:val="20"/>
          <w:szCs w:val="20"/>
        </w:rPr>
        <w:t xml:space="preserve">[13] </w:t>
      </w:r>
      <w:r>
        <w:rPr>
          <w:sz w:val="20"/>
          <w:szCs w:val="20"/>
        </w:rPr>
        <w:t xml:space="preserve">European Commission, Rolling Plan for ICT Standardisation 2026.</w:t>
      </w:r>
    </w:p>
    <w:p>
      <w:pPr>
        <w:pageBreakBefore/>
      </w:pPr>
    </w:p>
    <w:p>
      <w:pPr>
        <w:pStyle w:val="Heading1"/>
        <w:spacing w:after="140" w:before="320"/>
      </w:pPr>
      <w:r>
        <w:t xml:space="preserve">3. Terms and definitions</w:t>
      </w:r>
    </w:p>
    <w:p>
      <w:pPr>
        <w:spacing w:after="120" w:line="276" w:lineRule="auto"/>
        <w:jc w:val="both"/>
      </w:pPr>
      <w:r>
        <w:rPr>
          <w:sz w:val="24"/>
          <w:szCs w:val="24"/>
        </w:rPr>
        <w:t xml:space="preserve">For the purposes of this document, the following terms and definitions apply. Abbreviations are expanded on first use elsewhere in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Term</w:t>
            </w:r>
          </w:p>
        </w:tc>
        <w:tc>
          <w:tcPr>
            <w:tcW w:type="dxa" w:w="6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Definition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Non-custodial wallet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wallet in which the holder alone controls the keys, credentials and entitlements; no third party holds custody.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Holder</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The traveller who holds and presents entitlements and identity attributes from their wallet.</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An operator, venue or authority that issues signed entitlements or attestations and may revoke them.</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Verifier (relying party)</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venue, inspector or service that requests and verifies a presentation.</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Entitlement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tourism right held in a wallet — a ticket, reservation, pass, access right or loyalty balance.</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Verifiable Credential (VC)</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tamper-evident, issuer-signed set of claims (W3C VC Data Model 2.0).</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Decentralized Identifier (W3C) — a controller-provable identifier independent of a central registry.</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Electronic attestation of attributes (EAA)</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An eIDAS attestation about a person or entity; QEAA is its qualified form.</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Disclosing only the attributes a verifier requires for a stated purpose.</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Redemption</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The act of using an entitlement (e.g. gate entry), recorded so that its state can be verified.</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 registry / trust list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published, verifiable source establishing which issuers or verifiers are legitimate.</w:t>
            </w:r>
          </w:p>
        </w:tc>
      </w:tr>
    </w:tbl>
    <w:p>
      <w:pPr>
        <w:pageBreakBefore/>
      </w:pPr>
    </w:p>
    <w:p>
      <w:pPr>
        <w:pStyle w:val="Heading1"/>
        <w:spacing w:after="140" w:before="320"/>
      </w:pPr>
      <w:r>
        <w:t xml:space="preserve">4. Actors and roles</w:t>
      </w:r>
    </w:p>
    <w:p>
      <w:pPr>
        <w:spacing w:after="120" w:line="276" w:lineRule="auto"/>
        <w:jc w:val="both"/>
      </w:pPr>
      <w:r>
        <w:rPr>
          <w:sz w:val="24"/>
          <w:szCs w:val="24"/>
        </w:rPr>
        <w:t xml:space="preserve">The requirements assume the following actors. A single legal entity may play more than one role (for example, an attraction may be both issuer and verifier), but the roles are kept distinct because the requirements differ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Actor</w:t>
            </w:r>
          </w:p>
        </w:tc>
        <w:tc>
          <w:tcPr>
            <w:tcW w:type="dxa" w:w="6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Role and responsibilities</w:t>
            </w:r>
          </w:p>
        </w:tc>
      </w:tr>
      <w:tr>
        <w:trPr>
          <w:cantSplit/>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Traveller (Holder)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Holds entitlements and attributes; controls keys; consents to and performs presentations; may hold entitlements for a group.</w:t>
            </w:r>
          </w:p>
        </w:tc>
      </w:tr>
      <w:tr>
        <w:trPr>
          <w:cantSplit/>
        </w:trPr>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Issuer</w:t>
            </w:r>
          </w:p>
        </w:tc>
        <w:tc>
          <w:tcPr>
            <w:tcW w:type="dxa" w:w="6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Issues signed entitlements/attestations; defines their validity and constraints; revokes or suspends them; is discoverable via a trust registry.</w:t>
            </w:r>
          </w:p>
        </w:tc>
      </w:tr>
      <w:tr>
        <w:trPr>
          <w:cantSplit/>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Verifier (Relying Party)</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Requests a presentation for a stated purpose; verifies signature, validity, status and trust; records redemption where applicable.</w:t>
            </w:r>
          </w:p>
        </w:tc>
      </w:tr>
      <w:tr>
        <w:trPr>
          <w:cantSplit/>
        </w:trPr>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Wallet provider</w:t>
            </w:r>
          </w:p>
        </w:tc>
        <w:tc>
          <w:tcPr>
            <w:tcW w:type="dxa" w:w="6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Supplies the wallet software and recovery features; never holds custody of the holder’s keys or credentials.</w:t>
            </w:r>
          </w:p>
        </w:tc>
      </w:tr>
      <w:tr>
        <w:trPr>
          <w:cantSplit/>
        </w:trP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Trust registry / anchor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Publishes verifiable information about legitimate issuers and verifiers (e.g. eIDAS trust lists, sectoral registries).</w:t>
            </w:r>
          </w:p>
        </w:tc>
      </w:tr>
      <w:tr>
        <w:trPr>
          <w:cantSplit/>
        </w:trPr>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Ledger / network</w:t>
            </w:r>
          </w:p>
        </w:tc>
        <w:tc>
          <w:tcPr>
            <w:tcW w:type="dxa" w:w="6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Optional substrate where token-form entitlements and redemption or status data may be recorded.</w:t>
            </w:r>
          </w:p>
        </w:tc>
      </w:tr>
    </w:tbl>
    <w:p>
      <w:pPr>
        <w:pageBreakBefore/>
      </w:pPr>
    </w:p>
    <w:p>
      <w:pPr>
        <w:pStyle w:val="Heading1"/>
        <w:spacing w:after="140" w:before="320"/>
      </w:pPr>
      <w:r>
        <w:t xml:space="preserve">5. Reference model</w:t>
      </w:r>
    </w:p>
    <w:p>
      <w:pPr>
        <w:spacing w:after="120" w:line="276" w:lineRule="auto"/>
        <w:jc w:val="both"/>
      </w:pPr>
      <w:r>
        <w:rPr>
          <w:sz w:val="24"/>
          <w:szCs w:val="24"/>
        </w:rPr>
        <w:t xml:space="preserve">The reference model combines the W3C three-party model (issuer – holder – verifier) with the three-layer view established in D1.1. Requirements are located deliberately at the seams between the layers, because that is where the gaps 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Layer</w:t>
            </w:r>
          </w:p>
        </w:tc>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Provides</w:t>
            </w:r>
          </w:p>
        </w:tc>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Representative standards</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Identity &amp; trust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Who and what is trusted; identity attributes; revocation; eIDAS-grade trust</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DID &amp; VC 2.0; eIDAS 2.0 / EUDI; ETSI EN 319 4xx</w:t>
            </w:r>
          </w:p>
        </w:tc>
      </w:tr>
      <w:tr>
        <w:trPr>
          <w:cantSplit/>
        </w:trP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Exchange</w:t>
            </w:r>
          </w:p>
        </w:tc>
        <w:tc>
          <w:tcPr>
            <w:tcW w:type="dxa" w:w="3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How credentials are issued and presented; selective disclosure; offline retrieval</w:t>
            </w:r>
          </w:p>
        </w:tc>
        <w:tc>
          <w:tcPr>
            <w:tcW w:type="dxa" w:w="3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OpenID4VCI/VP; SD-JWT VC; ISO/IEC 18013-5</w:t>
            </w:r>
          </w:p>
        </w:tc>
      </w:tr>
      <w:tr>
        <w:trPr>
          <w:cantSplit/>
        </w:trP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Ledger / entitlement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Programmable entitlements; transfer; on-chain redemption and status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ERC-20/721/1155/4907/6672/5192; ISO/TS 23516</w:t>
            </w:r>
          </w:p>
        </w:tc>
      </w:tr>
    </w:tbl>
    <w:p>
      <w:pPr>
        <w:spacing w:after="120" w:line="276" w:lineRule="auto"/>
        <w:jc w:val="both"/>
      </w:pPr>
      <w:r>
        <w:rPr>
          <w:sz w:val="24"/>
          <w:szCs w:val="24"/>
        </w:rPr>
        <w:t xml:space="preserve">A tourism entitlement may be expressed in the identity-and-trust layer (as a verifiable credential or attestation), in the ledger layer (as a token), or in both. The requirements that follow do not force a choice; instead, several of them require that the layers be bound and verifiable together (notably TW-F-03).</w:t>
      </w:r>
    </w:p>
    <w:p>
      <w:pPr>
        <w:pageBreakBefore/>
      </w:pPr>
    </w:p>
    <w:p>
      <w:pPr>
        <w:pStyle w:val="Heading1"/>
        <w:spacing w:after="140" w:before="320"/>
      </w:pPr>
      <w:r>
        <w:t xml:space="preserve">6. Use cases</w:t>
      </w:r>
    </w:p>
    <w:p>
      <w:pPr>
        <w:spacing w:after="120" w:line="276" w:lineRule="auto"/>
        <w:jc w:val="both"/>
      </w:pPr>
      <w:r>
        <w:rPr>
          <w:sz w:val="24"/>
          <w:szCs w:val="24"/>
        </w:rPr>
        <w:t xml:space="preserve">The four use cases from D1.1 are restated here in a formal structure (actors, preconditions, trigger, main flow, postconditions) so that requirements can be traced to them. They are representative, not exhaustive.</w:t>
      </w:r>
    </w:p>
    <w:p>
      <w:pPr>
        <w:pStyle w:val="Heading2"/>
        <w:spacing w:after="100" w:before="220"/>
      </w:pPr>
      <w:r>
        <w:t xml:space="preserve">6.1 UC-A — Multi-entry city attractions pass</w:t>
      </w:r>
    </w:p>
    <w:p>
      <w:pPr>
        <w:spacing w:after="120" w:line="276" w:lineRule="auto"/>
        <w:jc w:val="both"/>
      </w:pPr>
      <w:r>
        <w:rPr>
          <w:b/>
          <w:bCs/>
          <w:sz w:val="24"/>
          <w:szCs w:val="24"/>
        </w:rPr>
        <w:t xml:space="preserve">Actors. </w:t>
      </w:r>
      <w:r>
        <w:rPr>
          <w:sz w:val="24"/>
          <w:szCs w:val="24"/>
        </w:rPr>
        <w:t xml:space="preserve">Issuer (city pass operator), Holder (traveller, with family), Verifier (attraction staff).</w:t>
      </w:r>
    </w:p>
    <w:p>
      <w:pPr>
        <w:spacing w:after="120" w:line="276" w:lineRule="auto"/>
        <w:jc w:val="both"/>
      </w:pPr>
      <w:r>
        <w:rPr>
          <w:b/>
          <w:bCs/>
          <w:sz w:val="24"/>
          <w:szCs w:val="24"/>
        </w:rPr>
        <w:t xml:space="preserve">Preconditions. </w:t>
      </w:r>
      <w:r>
        <w:rPr>
          <w:sz w:val="24"/>
          <w:szCs w:val="24"/>
        </w:rPr>
        <w:t xml:space="preserve">The traveller has a non-custodial wallet; the operator is listed in a trust registry.</w:t>
      </w:r>
    </w:p>
    <w:p>
      <w:pPr>
        <w:spacing w:after="120" w:line="276" w:lineRule="auto"/>
        <w:jc w:val="both"/>
      </w:pPr>
      <w:r>
        <w:rPr>
          <w:b/>
          <w:bCs/>
          <w:sz w:val="24"/>
          <w:szCs w:val="24"/>
        </w:rPr>
        <w:t xml:space="preserve">Trigger. </w:t>
      </w:r>
      <w:r>
        <w:rPr>
          <w:sz w:val="24"/>
          <w:szCs w:val="24"/>
        </w:rPr>
        <w:t xml:space="preserve">The traveller purchases a three-day multi-attraction pass.</w:t>
      </w:r>
    </w:p>
    <w:p>
      <w:pPr>
        <w:spacing w:after="40" w:line="276" w:lineRule="auto"/>
        <w:jc w:val="both"/>
      </w:pPr>
      <w:r>
        <w:rPr>
          <w:sz w:val="24"/>
          <w:szCs w:val="24"/>
        </w:rPr>
        <w:t xml:space="preserve">Main flow:</w:t>
      </w:r>
    </w:p>
    <w:p>
      <w:pPr>
        <w:pStyle w:val="ListParagraph"/>
        <w:numPr>
          <w:ilvl w:val="0"/>
          <w:numId w:val="2"/>
        </w:numPr>
        <w:spacing w:after="60" w:line="276" w:lineRule="auto"/>
        <w:jc w:val="both"/>
      </w:pPr>
      <w:r>
        <w:rPr>
          <w:sz w:val="24"/>
          <w:szCs w:val="24"/>
        </w:rPr>
        <w:t xml:space="preserve">The operator issues the pass to the wallet as a verifiable entitlement carrying a validity window and the set of eligible venues.</w:t>
      </w:r>
    </w:p>
    <w:p>
      <w:pPr>
        <w:pStyle w:val="ListParagraph"/>
        <w:numPr>
          <w:ilvl w:val="0"/>
          <w:numId w:val="2"/>
        </w:numPr>
        <w:spacing w:after="60" w:line="276" w:lineRule="auto"/>
        <w:jc w:val="both"/>
      </w:pPr>
      <w:r>
        <w:rPr>
          <w:sz w:val="24"/>
          <w:szCs w:val="24"/>
        </w:rPr>
        <w:t xml:space="preserve">At each attraction the traveller presents the pass; the verifier checks the validity window, venue scope and current redemption state.</w:t>
      </w:r>
    </w:p>
    <w:p>
      <w:pPr>
        <w:pStyle w:val="ListParagraph"/>
        <w:numPr>
          <w:ilvl w:val="0"/>
          <w:numId w:val="2"/>
        </w:numPr>
        <w:spacing w:after="60" w:line="276" w:lineRule="auto"/>
        <w:jc w:val="both"/>
      </w:pPr>
      <w:r>
        <w:rPr>
          <w:sz w:val="24"/>
          <w:szCs w:val="24"/>
        </w:rPr>
        <w:t xml:space="preserve">Where connectivity is poor, the verifier evaluates the presentation offline against locally cached issuer trust data.</w:t>
      </w:r>
    </w:p>
    <w:p>
      <w:pPr>
        <w:pStyle w:val="ListParagraph"/>
        <w:numPr>
          <w:ilvl w:val="0"/>
          <w:numId w:val="2"/>
        </w:numPr>
        <w:spacing w:after="60" w:line="276" w:lineRule="auto"/>
        <w:jc w:val="both"/>
      </w:pPr>
      <w:r>
        <w:rPr>
          <w:sz w:val="24"/>
          <w:szCs w:val="24"/>
        </w:rPr>
        <w:t xml:space="preserve">The pass is bound to the holder and family and cannot be resold; group members are admitted under the holder’s presentation.</w:t>
      </w:r>
    </w:p>
    <w:p>
      <w:pPr>
        <w:pStyle w:val="ListParagraph"/>
        <w:numPr>
          <w:ilvl w:val="0"/>
          <w:numId w:val="2"/>
        </w:numPr>
        <w:spacing w:after="60" w:line="276" w:lineRule="auto"/>
        <w:jc w:val="both"/>
      </w:pPr>
      <w:r>
        <w:rPr>
          <w:sz w:val="24"/>
          <w:szCs w:val="24"/>
        </w:rPr>
        <w:t xml:space="preserve">Entry is recorded so any per-venue entry limits can be enforced.</w:t>
      </w:r>
    </w:p>
    <w:p>
      <w:pPr>
        <w:spacing w:after="120" w:line="276" w:lineRule="auto"/>
        <w:jc w:val="both"/>
      </w:pPr>
      <w:r>
        <w:rPr>
          <w:b/>
          <w:bCs/>
          <w:sz w:val="24"/>
          <w:szCs w:val="24"/>
        </w:rPr>
        <w:t xml:space="preserve">Postconditions. </w:t>
      </w:r>
      <w:r>
        <w:rPr>
          <w:sz w:val="24"/>
          <w:szCs w:val="24"/>
        </w:rPr>
        <w:t xml:space="preserve">Entries are recorded; the pass remains valid until the window expires.</w:t>
      </w:r>
    </w:p>
    <w:p>
      <w:pPr>
        <w:spacing w:after="120" w:line="276" w:lineRule="auto"/>
        <w:jc w:val="both"/>
      </w:pPr>
      <w:r>
        <w:rPr>
          <w:b/>
          <w:bCs/>
          <w:sz w:val="24"/>
          <w:szCs w:val="24"/>
        </w:rPr>
        <w:t xml:space="preserve">Requirements exercised. </w:t>
      </w:r>
      <w:r>
        <w:rPr>
          <w:sz w:val="24"/>
          <w:szCs w:val="24"/>
        </w:rPr>
        <w:t xml:space="preserve">TW-F-01, TW-F-04, TW-F-06, TW-NF-01, TW-NF-02, TW-TL-03, TW-SP-04.</w:t>
      </w:r>
    </w:p>
    <w:p>
      <w:pPr>
        <w:pStyle w:val="Heading2"/>
        <w:spacing w:after="100" w:before="220"/>
      </w:pPr>
      <w:r>
        <w:t xml:space="preserve">6.2 UC-B — Cross-border multi-day transport entitlement</w:t>
      </w:r>
    </w:p>
    <w:p>
      <w:pPr>
        <w:spacing w:after="120" w:line="276" w:lineRule="auto"/>
        <w:jc w:val="both"/>
      </w:pPr>
      <w:r>
        <w:rPr>
          <w:b/>
          <w:bCs/>
          <w:sz w:val="24"/>
          <w:szCs w:val="24"/>
        </w:rPr>
        <w:t xml:space="preserve">Actors. </w:t>
      </w:r>
      <w:r>
        <w:rPr>
          <w:sz w:val="24"/>
          <w:szCs w:val="24"/>
        </w:rPr>
        <w:t xml:space="preserve">Issuer (regional transport authority), Holder (traveller), Verifier (inspector across operators and borders).</w:t>
      </w:r>
    </w:p>
    <w:p>
      <w:pPr>
        <w:spacing w:after="120" w:line="276" w:lineRule="auto"/>
        <w:jc w:val="both"/>
      </w:pPr>
      <w:r>
        <w:rPr>
          <w:b/>
          <w:bCs/>
          <w:sz w:val="24"/>
          <w:szCs w:val="24"/>
        </w:rPr>
        <w:t xml:space="preserve">Preconditions. </w:t>
      </w:r>
      <w:r>
        <w:rPr>
          <w:sz w:val="24"/>
          <w:szCs w:val="24"/>
        </w:rPr>
        <w:t xml:space="preserve">Cross-border trust data is available to inspectors’ devices.</w:t>
      </w:r>
    </w:p>
    <w:p>
      <w:pPr>
        <w:spacing w:after="120" w:line="276" w:lineRule="auto"/>
        <w:jc w:val="both"/>
      </w:pPr>
      <w:r>
        <w:rPr>
          <w:b/>
          <w:bCs/>
          <w:sz w:val="24"/>
          <w:szCs w:val="24"/>
        </w:rPr>
        <w:t xml:space="preserve">Trigger. </w:t>
      </w:r>
      <w:r>
        <w:rPr>
          <w:sz w:val="24"/>
          <w:szCs w:val="24"/>
        </w:rPr>
        <w:t xml:space="preserve">The traveller obtains a multi-day, multi-operator transport entitlement valid across two Member States.</w:t>
      </w:r>
    </w:p>
    <w:p>
      <w:pPr>
        <w:spacing w:after="40" w:line="276" w:lineRule="auto"/>
        <w:jc w:val="both"/>
      </w:pPr>
      <w:r>
        <w:rPr>
          <w:sz w:val="24"/>
          <w:szCs w:val="24"/>
        </w:rPr>
        <w:t xml:space="preserve">Main flow:</w:t>
      </w:r>
    </w:p>
    <w:p>
      <w:pPr>
        <w:pStyle w:val="ListParagraph"/>
        <w:numPr>
          <w:ilvl w:val="0"/>
          <w:numId w:val="2"/>
        </w:numPr>
        <w:spacing w:after="60" w:line="276" w:lineRule="auto"/>
        <w:jc w:val="both"/>
      </w:pPr>
      <w:r>
        <w:rPr>
          <w:sz w:val="24"/>
          <w:szCs w:val="24"/>
        </w:rPr>
        <w:t xml:space="preserve">The authority issues the entitlement with coded zone and validity-window constraints.</w:t>
      </w:r>
    </w:p>
    <w:p>
      <w:pPr>
        <w:pStyle w:val="ListParagraph"/>
        <w:numPr>
          <w:ilvl w:val="0"/>
          <w:numId w:val="2"/>
        </w:numPr>
        <w:spacing w:after="60" w:line="276" w:lineRule="auto"/>
        <w:jc w:val="both"/>
      </w:pPr>
      <w:r>
        <w:rPr>
          <w:sz w:val="24"/>
          <w:szCs w:val="24"/>
        </w:rPr>
        <w:t xml:space="preserve">An inspector requests a presentation on a handheld device, sometimes offline on a moving vehicle.</w:t>
      </w:r>
    </w:p>
    <w:p>
      <w:pPr>
        <w:pStyle w:val="ListParagraph"/>
        <w:numPr>
          <w:ilvl w:val="0"/>
          <w:numId w:val="2"/>
        </w:numPr>
        <w:spacing w:after="60" w:line="276" w:lineRule="auto"/>
        <w:jc w:val="both"/>
      </w:pPr>
      <w:r>
        <w:rPr>
          <w:sz w:val="24"/>
          <w:szCs w:val="24"/>
        </w:rPr>
        <w:t xml:space="preserve">The entitlement verifies against cross-border trust data; its coded semantics are language-independent.</w:t>
      </w:r>
    </w:p>
    <w:p>
      <w:pPr>
        <w:pStyle w:val="ListParagraph"/>
        <w:numPr>
          <w:ilvl w:val="0"/>
          <w:numId w:val="2"/>
        </w:numPr>
        <w:spacing w:after="60" w:line="276" w:lineRule="auto"/>
        <w:jc w:val="both"/>
      </w:pPr>
      <w:r>
        <w:rPr>
          <w:sz w:val="24"/>
          <w:szCs w:val="24"/>
        </w:rPr>
        <w:t xml:space="preserve">The inspector confirms the validity window and zone scope.</w:t>
      </w:r>
    </w:p>
    <w:p>
      <w:pPr>
        <w:spacing w:after="120" w:line="276" w:lineRule="auto"/>
        <w:jc w:val="both"/>
      </w:pPr>
      <w:r>
        <w:rPr>
          <w:b/>
          <w:bCs/>
          <w:sz w:val="24"/>
          <w:szCs w:val="24"/>
        </w:rPr>
        <w:t xml:space="preserve">Postconditions. </w:t>
      </w:r>
      <w:r>
        <w:rPr>
          <w:sz w:val="24"/>
          <w:szCs w:val="24"/>
        </w:rPr>
        <w:t xml:space="preserve">A privacy-preserving record that the entitlement was checked.</w:t>
      </w:r>
    </w:p>
    <w:p>
      <w:pPr>
        <w:spacing w:after="120" w:line="276" w:lineRule="auto"/>
        <w:jc w:val="both"/>
      </w:pPr>
      <w:r>
        <w:rPr>
          <w:b/>
          <w:bCs/>
          <w:sz w:val="24"/>
          <w:szCs w:val="24"/>
        </w:rPr>
        <w:t xml:space="preserve">Requirements exercised. </w:t>
      </w:r>
      <w:r>
        <w:rPr>
          <w:sz w:val="24"/>
          <w:szCs w:val="24"/>
        </w:rPr>
        <w:t xml:space="preserve">TW-F-02, TW-F-04, TW-NF-01, TW-NF-03, TW-SP-03, TW-SP-04.</w:t>
      </w:r>
    </w:p>
    <w:p>
      <w:pPr>
        <w:pStyle w:val="Heading2"/>
        <w:spacing w:after="100" w:before="220"/>
      </w:pPr>
      <w:r>
        <w:t xml:space="preserve">6.3 UC-C — Hotel check-in with minimal identity disclosure</w:t>
      </w:r>
    </w:p>
    <w:p>
      <w:pPr>
        <w:spacing w:after="120" w:line="276" w:lineRule="auto"/>
        <w:jc w:val="both"/>
      </w:pPr>
      <w:r>
        <w:rPr>
          <w:b/>
          <w:bCs/>
          <w:sz w:val="24"/>
          <w:szCs w:val="24"/>
        </w:rPr>
        <w:t xml:space="preserve">Actors. </w:t>
      </w:r>
      <w:r>
        <w:rPr>
          <w:sz w:val="24"/>
          <w:szCs w:val="24"/>
        </w:rPr>
        <w:t xml:space="preserve">Issuer (identity/credential issuer; booking platform), Holder (guest), Verifier (hotel front desk).</w:t>
      </w:r>
    </w:p>
    <w:p>
      <w:pPr>
        <w:spacing w:after="120" w:line="276" w:lineRule="auto"/>
        <w:jc w:val="both"/>
      </w:pPr>
      <w:r>
        <w:rPr>
          <w:b/>
          <w:bCs/>
          <w:sz w:val="24"/>
          <w:szCs w:val="24"/>
        </w:rPr>
        <w:t xml:space="preserve">Preconditions. </w:t>
      </w:r>
      <w:r>
        <w:rPr>
          <w:sz w:val="24"/>
          <w:szCs w:val="24"/>
        </w:rPr>
        <w:t xml:space="preserve">The guest holds identity attributes and a reservation entitlement; the hotel can check issuer trust.</w:t>
      </w:r>
    </w:p>
    <w:p>
      <w:pPr>
        <w:spacing w:after="120" w:line="276" w:lineRule="auto"/>
        <w:jc w:val="both"/>
      </w:pPr>
      <w:r>
        <w:rPr>
          <w:b/>
          <w:bCs/>
          <w:sz w:val="24"/>
          <w:szCs w:val="24"/>
        </w:rPr>
        <w:t xml:space="preserve">Trigger. </w:t>
      </w:r>
      <w:r>
        <w:rPr>
          <w:sz w:val="24"/>
          <w:szCs w:val="24"/>
        </w:rPr>
        <w:t xml:space="preserve">The guest arrives to check in.</w:t>
      </w:r>
    </w:p>
    <w:p>
      <w:pPr>
        <w:spacing w:after="40" w:line="276" w:lineRule="auto"/>
        <w:jc w:val="both"/>
      </w:pPr>
      <w:r>
        <w:rPr>
          <w:sz w:val="24"/>
          <w:szCs w:val="24"/>
        </w:rPr>
        <w:t xml:space="preserve">Main flow:</w:t>
      </w:r>
    </w:p>
    <w:p>
      <w:pPr>
        <w:pStyle w:val="ListParagraph"/>
        <w:numPr>
          <w:ilvl w:val="0"/>
          <w:numId w:val="2"/>
        </w:numPr>
        <w:spacing w:after="60" w:line="276" w:lineRule="auto"/>
        <w:jc w:val="both"/>
      </w:pPr>
      <w:r>
        <w:rPr>
          <w:sz w:val="24"/>
          <w:szCs w:val="24"/>
        </w:rPr>
        <w:t xml:space="preserve">The hotel requests confirmation of identity, legal age and a valid reservation, for the stated purpose of check-in.</w:t>
      </w:r>
    </w:p>
    <w:p>
      <w:pPr>
        <w:pStyle w:val="ListParagraph"/>
        <w:numPr>
          <w:ilvl w:val="0"/>
          <w:numId w:val="2"/>
        </w:numPr>
        <w:spacing w:after="60" w:line="276" w:lineRule="auto"/>
        <w:jc w:val="both"/>
      </w:pPr>
      <w:r>
        <w:rPr>
          <w:sz w:val="24"/>
          <w:szCs w:val="24"/>
        </w:rPr>
        <w:t xml:space="preserve">The wallet presents only the minimal attributes: a name match, an age-over assertion and the reservation entitlement.</w:t>
      </w:r>
    </w:p>
    <w:p>
      <w:pPr>
        <w:pStyle w:val="ListParagraph"/>
        <w:numPr>
          <w:ilvl w:val="0"/>
          <w:numId w:val="2"/>
        </w:numPr>
        <w:spacing w:after="60" w:line="276" w:lineRule="auto"/>
        <w:jc w:val="both"/>
      </w:pPr>
      <w:r>
        <w:rPr>
          <w:sz w:val="24"/>
          <w:szCs w:val="24"/>
        </w:rPr>
        <w:t xml:space="preserve">The hotel verifies issuer legitimacy via an eIDAS-aligned trust mechanism.</w:t>
      </w:r>
    </w:p>
    <w:p>
      <w:pPr>
        <w:pStyle w:val="ListParagraph"/>
        <w:numPr>
          <w:ilvl w:val="0"/>
          <w:numId w:val="2"/>
        </w:numPr>
        <w:spacing w:after="60" w:line="276" w:lineRule="auto"/>
        <w:jc w:val="both"/>
      </w:pPr>
      <w:r>
        <w:rPr>
          <w:sz w:val="24"/>
          <w:szCs w:val="24"/>
        </w:rPr>
        <w:t xml:space="preserve">No full identity document is copied or stored.</w:t>
      </w:r>
    </w:p>
    <w:p>
      <w:pPr>
        <w:spacing w:after="120" w:line="276" w:lineRule="auto"/>
        <w:jc w:val="both"/>
      </w:pPr>
      <w:r>
        <w:rPr>
          <w:b/>
          <w:bCs/>
          <w:sz w:val="24"/>
          <w:szCs w:val="24"/>
        </w:rPr>
        <w:t xml:space="preserve">Postconditions. </w:t>
      </w:r>
      <w:r>
        <w:rPr>
          <w:sz w:val="24"/>
          <w:szCs w:val="24"/>
        </w:rPr>
        <w:t xml:space="preserve">Check-in is completed with minimal personal data retained.</w:t>
      </w:r>
    </w:p>
    <w:p>
      <w:pPr>
        <w:spacing w:after="120" w:line="276" w:lineRule="auto"/>
        <w:jc w:val="both"/>
      </w:pPr>
      <w:r>
        <w:rPr>
          <w:b/>
          <w:bCs/>
          <w:sz w:val="24"/>
          <w:szCs w:val="24"/>
        </w:rPr>
        <w:t xml:space="preserve">Requirements exercised. </w:t>
      </w:r>
      <w:r>
        <w:rPr>
          <w:sz w:val="24"/>
          <w:szCs w:val="24"/>
        </w:rPr>
        <w:t xml:space="preserve">TW-F-07, TW-NF-03, TW-SP-01, TW-SP-03, TW-TL-04.</w:t>
      </w:r>
    </w:p>
    <w:p>
      <w:pPr>
        <w:pStyle w:val="Heading2"/>
        <w:spacing w:after="100" w:before="220"/>
      </w:pPr>
      <w:r>
        <w:t xml:space="preserve">6.4 UC-D — Cross-border festival with group tickets</w:t>
      </w:r>
    </w:p>
    <w:p>
      <w:pPr>
        <w:spacing w:after="120" w:line="276" w:lineRule="auto"/>
        <w:jc w:val="both"/>
      </w:pPr>
      <w:r>
        <w:rPr>
          <w:b/>
          <w:bCs/>
          <w:sz w:val="24"/>
          <w:szCs w:val="24"/>
        </w:rPr>
        <w:t xml:space="preserve">Actors. </w:t>
      </w:r>
      <w:r>
        <w:rPr>
          <w:sz w:val="24"/>
          <w:szCs w:val="24"/>
        </w:rPr>
        <w:t xml:space="preserve">Issuer (festival organiser), Holder (group buyer), Verifier (gate and on-site benefit points).</w:t>
      </w:r>
    </w:p>
    <w:p>
      <w:pPr>
        <w:spacing w:after="120" w:line="276" w:lineRule="auto"/>
        <w:jc w:val="both"/>
      </w:pPr>
      <w:r>
        <w:rPr>
          <w:b/>
          <w:bCs/>
          <w:sz w:val="24"/>
          <w:szCs w:val="24"/>
        </w:rPr>
        <w:t xml:space="preserve">Preconditions. </w:t>
      </w:r>
      <w:r>
        <w:rPr>
          <w:sz w:val="24"/>
          <w:szCs w:val="24"/>
        </w:rPr>
        <w:t xml:space="preserve">The buyer holds the group’s tickets; resale constraints are defined.</w:t>
      </w:r>
    </w:p>
    <w:p>
      <w:pPr>
        <w:spacing w:after="120" w:line="276" w:lineRule="auto"/>
        <w:jc w:val="both"/>
      </w:pPr>
      <w:r>
        <w:rPr>
          <w:b/>
          <w:bCs/>
          <w:sz w:val="24"/>
          <w:szCs w:val="24"/>
        </w:rPr>
        <w:t xml:space="preserve">Trigger. </w:t>
      </w:r>
      <w:r>
        <w:rPr>
          <w:sz w:val="24"/>
          <w:szCs w:val="24"/>
        </w:rPr>
        <w:t xml:space="preserve">The group arrives at the festival.</w:t>
      </w:r>
    </w:p>
    <w:p>
      <w:pPr>
        <w:spacing w:after="40" w:line="276" w:lineRule="auto"/>
        <w:jc w:val="both"/>
      </w:pPr>
      <w:r>
        <w:rPr>
          <w:sz w:val="24"/>
          <w:szCs w:val="24"/>
        </w:rPr>
        <w:t xml:space="preserve">Main flow:</w:t>
      </w:r>
    </w:p>
    <w:p>
      <w:pPr>
        <w:pStyle w:val="ListParagraph"/>
        <w:numPr>
          <w:ilvl w:val="0"/>
          <w:numId w:val="2"/>
        </w:numPr>
        <w:spacing w:after="60" w:line="276" w:lineRule="auto"/>
        <w:jc w:val="both"/>
      </w:pPr>
      <w:r>
        <w:rPr>
          <w:sz w:val="24"/>
          <w:szCs w:val="24"/>
        </w:rPr>
        <w:t xml:space="preserve">One buyer receives the group’s tickets in their wallet, each bound to a beneficiary.</w:t>
      </w:r>
    </w:p>
    <w:p>
      <w:pPr>
        <w:pStyle w:val="ListParagraph"/>
        <w:numPr>
          <w:ilvl w:val="0"/>
          <w:numId w:val="2"/>
        </w:numPr>
        <w:spacing w:after="60" w:line="276" w:lineRule="auto"/>
        <w:jc w:val="both"/>
      </w:pPr>
      <w:r>
        <w:rPr>
          <w:sz w:val="24"/>
          <w:szCs w:val="24"/>
        </w:rPr>
        <w:t xml:space="preserve">At the gate, tickets are redeemed and the redemption state updates.</w:t>
      </w:r>
    </w:p>
    <w:p>
      <w:pPr>
        <w:pStyle w:val="ListParagraph"/>
        <w:numPr>
          <w:ilvl w:val="0"/>
          <w:numId w:val="2"/>
        </w:numPr>
        <w:spacing w:after="60" w:line="276" w:lineRule="auto"/>
        <w:jc w:val="both"/>
      </w:pPr>
      <w:r>
        <w:rPr>
          <w:sz w:val="24"/>
          <w:szCs w:val="24"/>
        </w:rPr>
        <w:t xml:space="preserve">The same tokens later unlock on-site benefits through additional redemptions.</w:t>
      </w:r>
    </w:p>
    <w:p>
      <w:pPr>
        <w:pStyle w:val="ListParagraph"/>
        <w:numPr>
          <w:ilvl w:val="0"/>
          <w:numId w:val="2"/>
        </w:numPr>
        <w:spacing w:after="60" w:line="276" w:lineRule="auto"/>
        <w:jc w:val="both"/>
      </w:pPr>
      <w:r>
        <w:rPr>
          <w:sz w:val="24"/>
          <w:szCs w:val="24"/>
        </w:rPr>
        <w:t xml:space="preserve">Resale is constrained; any “already used” dispute is resolved from privacy-preserving evidence.</w:t>
      </w:r>
    </w:p>
    <w:p>
      <w:pPr>
        <w:spacing w:after="120" w:line="276" w:lineRule="auto"/>
        <w:jc w:val="both"/>
      </w:pPr>
      <w:r>
        <w:rPr>
          <w:b/>
          <w:bCs/>
          <w:sz w:val="24"/>
          <w:szCs w:val="24"/>
        </w:rPr>
        <w:t xml:space="preserve">Postconditions. </w:t>
      </w:r>
      <w:r>
        <w:rPr>
          <w:sz w:val="24"/>
          <w:szCs w:val="24"/>
        </w:rPr>
        <w:t xml:space="preserve">Redemption states are recorded; benefits are granted; audit evidence is available.</w:t>
      </w:r>
    </w:p>
    <w:p>
      <w:pPr>
        <w:spacing w:after="120" w:line="276" w:lineRule="auto"/>
        <w:jc w:val="both"/>
      </w:pPr>
      <w:r>
        <w:rPr>
          <w:b/>
          <w:bCs/>
          <w:sz w:val="24"/>
          <w:szCs w:val="24"/>
        </w:rPr>
        <w:t xml:space="preserve">Requirements exercised. </w:t>
      </w:r>
      <w:r>
        <w:rPr>
          <w:sz w:val="24"/>
          <w:szCs w:val="24"/>
        </w:rPr>
        <w:t xml:space="preserve">TW-F-03, TW-F-05, TW-F-06, TW-NF-02, TW-TL-03, TW-SP-05.</w:t>
      </w:r>
    </w:p>
    <w:p>
      <w:pPr>
        <w:pageBreakBefore/>
      </w:pPr>
    </w:p>
    <w:p>
      <w:pPr>
        <w:pStyle w:val="Heading1"/>
        <w:spacing w:after="140" w:before="320"/>
      </w:pPr>
      <w:r>
        <w:t xml:space="preserve">7. Requirements</w:t>
      </w:r>
    </w:p>
    <w:p>
      <w:pPr>
        <w:spacing w:after="120" w:line="276" w:lineRule="auto"/>
        <w:jc w:val="both"/>
      </w:pPr>
      <w:r>
        <w:rPr>
          <w:sz w:val="24"/>
          <w:szCs w:val="24"/>
        </w:rPr>
        <w:t xml:space="preserve">Twenty atomic requirements follow, grouped into four categories. Each is traceable to one or more use cases and to a D1.1 gap. Five are flagged “Must (Phase-2 priority)”, corresponding to the highest-leverage gaps.</w:t>
      </w:r>
    </w:p>
    <w:p>
      <w:pPr>
        <w:pStyle w:val="Heading2"/>
        <w:spacing w:after="100" w:before="220"/>
      </w:pPr>
      <w:r>
        <w:t xml:space="preserve">7.1 Functional requirements</w:t>
      </w:r>
    </w:p>
    <w:p>
      <w:pPr>
        <w:spacing w:after="60" w:before="160"/>
      </w:pPr>
      <w:r>
        <w:rPr>
          <w:b/>
          <w:bCs/>
          <w:color w:val="1F3864"/>
          <w:sz w:val="23"/>
          <w:szCs w:val="23"/>
        </w:rPr>
        <w:t xml:space="preserve">TW-F-01 — Entitlement representation</w:t>
      </w:r>
    </w:p>
    <w:p>
      <w:pPr>
        <w:spacing w:after="70" w:line="276" w:lineRule="auto"/>
        <w:jc w:val="both"/>
      </w:pPr>
      <w:r>
        <w:rPr>
          <w:b/>
          <w:bCs/>
          <w:sz w:val="24"/>
          <w:szCs w:val="24"/>
        </w:rPr>
        <w:t xml:space="preserve">Requirement (MUST). </w:t>
      </w:r>
      <w:r>
        <w:rPr>
          <w:sz w:val="24"/>
          <w:szCs w:val="24"/>
        </w:rPr>
        <w:t xml:space="preserve">A non-custodial tourism wallet MUST be able to hold tourism entitlements — tickets, reservations, access rights and loyalty — as issuer-signed, verifiable objects that are independent of any single operator’s platform.</w:t>
      </w:r>
    </w:p>
    <w:p>
      <w:pPr>
        <w:spacing w:after="120" w:line="276" w:lineRule="auto"/>
        <w:jc w:val="both"/>
      </w:pPr>
      <w:r>
        <w:rPr>
          <w:b/>
          <w:bCs/>
          <w:sz w:val="24"/>
          <w:szCs w:val="24"/>
        </w:rPr>
        <w:t xml:space="preserve">Rationale. </w:t>
      </w:r>
      <w:r>
        <w:rPr>
          <w:sz w:val="24"/>
          <w:szCs w:val="24"/>
        </w:rPr>
        <w:t xml:space="preserve">Entitlements today are locked into proprietary platforms, which prevents portability and raises integration cost for SMEs.</w:t>
      </w:r>
    </w:p>
    <w:p>
      <w:pPr>
        <w:spacing w:after="120" w:line="276" w:lineRule="auto"/>
        <w:jc w:val="both"/>
      </w:pPr>
      <w:r>
        <w:rPr>
          <w:b/>
          <w:bCs/>
          <w:sz w:val="24"/>
          <w:szCs w:val="24"/>
        </w:rPr>
        <w:t xml:space="preserve">Source &amp; gap. </w:t>
      </w:r>
      <w:r>
        <w:rPr>
          <w:sz w:val="24"/>
          <w:szCs w:val="24"/>
        </w:rPr>
        <w:t xml:space="preserve">UC-A, UC-C, UC-D; closes gap G11 and contributes to G1.</w:t>
      </w:r>
    </w:p>
    <w:p>
      <w:pPr>
        <w:spacing w:after="120" w:line="276" w:lineRule="auto"/>
        <w:jc w:val="both"/>
      </w:pPr>
      <w:r>
        <w:rPr>
          <w:b/>
          <w:bCs/>
          <w:sz w:val="24"/>
          <w:szCs w:val="24"/>
        </w:rPr>
        <w:t xml:space="preserve">Verification. </w:t>
      </w:r>
      <w:r>
        <w:rPr>
          <w:sz w:val="24"/>
          <w:szCs w:val="24"/>
        </w:rPr>
        <w:t xml:space="preserve">A wallet holds an entitlement issued by one operator and presents it for verification without that operator’s application.</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W3C Verifiable Credentials Working Group; ISO/AWI 7603.</w:t>
      </w:r>
    </w:p>
    <w:p>
      <w:pPr>
        <w:spacing w:after="60" w:before="160"/>
      </w:pPr>
      <w:r>
        <w:rPr>
          <w:b/>
          <w:bCs/>
          <w:color w:val="1F3864"/>
          <w:sz w:val="23"/>
          <w:szCs w:val="23"/>
        </w:rPr>
        <w:t xml:space="preserve">TW-F-02 — Shared entitlement semantics</w:t>
      </w:r>
    </w:p>
    <w:p>
      <w:pPr>
        <w:spacing w:after="70" w:line="276" w:lineRule="auto"/>
        <w:jc w:val="both"/>
      </w:pPr>
      <w:r>
        <w:rPr>
          <w:b/>
          <w:bCs/>
          <w:sz w:val="24"/>
          <w:szCs w:val="24"/>
        </w:rPr>
        <w:t xml:space="preserve">Requirement (SHOULD). </w:t>
      </w:r>
      <w:r>
        <w:rPr>
          <w:sz w:val="24"/>
          <w:szCs w:val="24"/>
        </w:rPr>
        <w:t xml:space="preserve">Entitlement types and their attributes SHOULD be expressed using a shared, machine-readable vocabulary so that meaning is preserved across issuers, operators and Member States.</w:t>
      </w:r>
    </w:p>
    <w:p>
      <w:pPr>
        <w:spacing w:after="120" w:line="276" w:lineRule="auto"/>
        <w:jc w:val="both"/>
      </w:pPr>
      <w:r>
        <w:rPr>
          <w:b/>
          <w:bCs/>
          <w:sz w:val="24"/>
          <w:szCs w:val="24"/>
        </w:rPr>
        <w:t xml:space="preserve">Rationale. </w:t>
      </w:r>
      <w:r>
        <w:rPr>
          <w:sz w:val="24"/>
          <w:szCs w:val="24"/>
        </w:rPr>
        <w:t xml:space="preserve">Cross-border verification fails silently when semantics differ even where formats agree.</w:t>
      </w:r>
    </w:p>
    <w:p>
      <w:pPr>
        <w:spacing w:after="120" w:line="276" w:lineRule="auto"/>
        <w:jc w:val="both"/>
      </w:pPr>
      <w:r>
        <w:rPr>
          <w:b/>
          <w:bCs/>
          <w:sz w:val="24"/>
          <w:szCs w:val="24"/>
        </w:rPr>
        <w:t xml:space="preserve">Source &amp; gap. </w:t>
      </w:r>
      <w:r>
        <w:rPr>
          <w:sz w:val="24"/>
          <w:szCs w:val="24"/>
        </w:rPr>
        <w:t xml:space="preserve">UC-B, UC-C; closes gap G11 and contributes to G5.</w:t>
      </w:r>
    </w:p>
    <w:p>
      <w:pPr>
        <w:spacing w:after="120" w:line="276" w:lineRule="auto"/>
        <w:jc w:val="both"/>
      </w:pPr>
      <w:r>
        <w:rPr>
          <w:b/>
          <w:bCs/>
          <w:sz w:val="24"/>
          <w:szCs w:val="24"/>
        </w:rPr>
        <w:t xml:space="preserve">Verification. </w:t>
      </w:r>
      <w:r>
        <w:rPr>
          <w:sz w:val="24"/>
          <w:szCs w:val="24"/>
        </w:rPr>
        <w:t xml:space="preserve">An entitlement’s type and attributes resolve to the same semantics for a verifier in another Member State.</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ISO/TC 307 (ISO 22739 revision); W3C.</w:t>
      </w:r>
    </w:p>
    <w:p>
      <w:pPr>
        <w:spacing w:after="60" w:before="160"/>
      </w:pPr>
      <w:r>
        <w:rPr>
          <w:b/>
          <w:bCs/>
          <w:color w:val="1F3864"/>
          <w:sz w:val="23"/>
          <w:szCs w:val="23"/>
        </w:rPr>
        <w:t xml:space="preserve">TW-F-03 — Credential–token binding</w:t>
      </w:r>
    </w:p>
    <w:p>
      <w:pPr>
        <w:spacing w:after="70" w:line="276" w:lineRule="auto"/>
        <w:jc w:val="both"/>
      </w:pPr>
      <w:r>
        <w:rPr>
          <w:b/>
          <w:bCs/>
          <w:sz w:val="24"/>
          <w:szCs w:val="24"/>
        </w:rPr>
        <w:t xml:space="preserve">Requirement (MUST). </w:t>
      </w:r>
      <w:r>
        <w:rPr>
          <w:sz w:val="24"/>
          <w:szCs w:val="24"/>
        </w:rPr>
        <w:t xml:space="preserve">Where an entitlement is represented both as a verifiable credential and as a distributed-ledger token, the entitlement model MUST support a standardised binding enabling a verifier to confirm that both representations refer to the same entitlement, without mandating a specific ledger.</w:t>
      </w:r>
    </w:p>
    <w:p>
      <w:pPr>
        <w:spacing w:after="120" w:line="276" w:lineRule="auto"/>
        <w:jc w:val="both"/>
      </w:pPr>
      <w:r>
        <w:rPr>
          <w:b/>
          <w:bCs/>
          <w:sz w:val="24"/>
          <w:szCs w:val="24"/>
        </w:rPr>
        <w:t xml:space="preserve">Rationale. </w:t>
      </w:r>
      <w:r>
        <w:rPr>
          <w:sz w:val="24"/>
          <w:szCs w:val="24"/>
        </w:rPr>
        <w:t xml:space="preserve">This seam between the credential and ledger layers is the single highest-leverage gap identified in D1.1.</w:t>
      </w:r>
    </w:p>
    <w:p>
      <w:pPr>
        <w:spacing w:after="120" w:line="276" w:lineRule="auto"/>
        <w:jc w:val="both"/>
      </w:pPr>
      <w:r>
        <w:rPr>
          <w:b/>
          <w:bCs/>
          <w:sz w:val="24"/>
          <w:szCs w:val="24"/>
        </w:rPr>
        <w:t xml:space="preserve">Source &amp; gap. </w:t>
      </w:r>
      <w:r>
        <w:rPr>
          <w:sz w:val="24"/>
          <w:szCs w:val="24"/>
        </w:rPr>
        <w:t xml:space="preserve">UC-D, UC-A; closes gap G1.</w:t>
      </w:r>
    </w:p>
    <w:p>
      <w:pPr>
        <w:spacing w:after="120" w:line="276" w:lineRule="auto"/>
        <w:jc w:val="both"/>
      </w:pPr>
      <w:r>
        <w:rPr>
          <w:b/>
          <w:bCs/>
          <w:sz w:val="24"/>
          <w:szCs w:val="24"/>
        </w:rPr>
        <w:t xml:space="preserve">Verification. </w:t>
      </w:r>
      <w:r>
        <w:rPr>
          <w:sz w:val="24"/>
          <w:szCs w:val="24"/>
        </w:rPr>
        <w:t xml:space="preserve">A verifier validates either representation and cryptographically confirms the two refer to the same entitlement.</w:t>
      </w:r>
    </w:p>
    <w:p>
      <w:pPr>
        <w:spacing w:after="120" w:line="276" w:lineRule="auto"/>
        <w:jc w:val="both"/>
      </w:pPr>
      <w:r>
        <w:rPr>
          <w:b/>
          <w:bCs/>
          <w:sz w:val="24"/>
          <w:szCs w:val="24"/>
        </w:rPr>
        <w:t xml:space="preserve">Priority. </w:t>
      </w:r>
      <w:r>
        <w:rPr>
          <w:sz w:val="24"/>
          <w:szCs w:val="24"/>
        </w:rPr>
        <w:t xml:space="preserve">Must (Phase-2 priority).</w:t>
      </w:r>
    </w:p>
    <w:p>
      <w:pPr>
        <w:spacing w:after="120" w:line="276" w:lineRule="auto"/>
        <w:jc w:val="both"/>
      </w:pPr>
      <w:r>
        <w:rPr>
          <w:b/>
          <w:bCs/>
          <w:sz w:val="24"/>
          <w:szCs w:val="24"/>
        </w:rPr>
        <w:t xml:space="preserve">Target venue. </w:t>
      </w:r>
      <w:r>
        <w:rPr>
          <w:sz w:val="24"/>
          <w:szCs w:val="24"/>
        </w:rPr>
        <w:t xml:space="preserve">W3C Credentials Community Group; ISO/TS 23516; ETSI ISG PDL.</w:t>
      </w:r>
    </w:p>
    <w:p>
      <w:pPr>
        <w:spacing w:after="60" w:before="160"/>
      </w:pPr>
      <w:r>
        <w:rPr>
          <w:b/>
          <w:bCs/>
          <w:color w:val="1F3864"/>
          <w:sz w:val="23"/>
          <w:szCs w:val="23"/>
        </w:rPr>
        <w:t xml:space="preserve">TW-F-04 — Time- and venue-bound validity</w:t>
      </w:r>
    </w:p>
    <w:p>
      <w:pPr>
        <w:spacing w:after="70" w:line="276" w:lineRule="auto"/>
        <w:jc w:val="both"/>
      </w:pPr>
      <w:r>
        <w:rPr>
          <w:b/>
          <w:bCs/>
          <w:sz w:val="24"/>
          <w:szCs w:val="24"/>
        </w:rPr>
        <w:t xml:space="preserve">Requirement (MUST). </w:t>
      </w:r>
      <w:r>
        <w:rPr>
          <w:sz w:val="24"/>
          <w:szCs w:val="24"/>
        </w:rPr>
        <w:t xml:space="preserve">An entitlement MUST carry machine-evaluable validity constraints (time window, venue or scope) that a verifier can evaluate deterministically and, where required, offline.</w:t>
      </w:r>
    </w:p>
    <w:p>
      <w:pPr>
        <w:spacing w:after="120" w:line="276" w:lineRule="auto"/>
        <w:jc w:val="both"/>
      </w:pPr>
      <w:r>
        <w:rPr>
          <w:b/>
          <w:bCs/>
          <w:sz w:val="24"/>
          <w:szCs w:val="24"/>
        </w:rPr>
        <w:t xml:space="preserve">Rationale. </w:t>
      </w:r>
      <w:r>
        <w:rPr>
          <w:sz w:val="24"/>
          <w:szCs w:val="24"/>
        </w:rPr>
        <w:t xml:space="preserve">Tourism rights are intrinsically time- and place-bound; current credential models do not express this portably.</w:t>
      </w:r>
    </w:p>
    <w:p>
      <w:pPr>
        <w:spacing w:after="120" w:line="276" w:lineRule="auto"/>
        <w:jc w:val="both"/>
      </w:pPr>
      <w:r>
        <w:rPr>
          <w:b/>
          <w:bCs/>
          <w:sz w:val="24"/>
          <w:szCs w:val="24"/>
        </w:rPr>
        <w:t xml:space="preserve">Source &amp; gap. </w:t>
      </w:r>
      <w:r>
        <w:rPr>
          <w:sz w:val="24"/>
          <w:szCs w:val="24"/>
        </w:rPr>
        <w:t xml:space="preserve">UC-A, UC-B; closes gap G3.</w:t>
      </w:r>
    </w:p>
    <w:p>
      <w:pPr>
        <w:spacing w:after="120" w:line="276" w:lineRule="auto"/>
        <w:jc w:val="both"/>
      </w:pPr>
      <w:r>
        <w:rPr>
          <w:b/>
          <w:bCs/>
          <w:sz w:val="24"/>
          <w:szCs w:val="24"/>
        </w:rPr>
        <w:t xml:space="preserve">Verification. </w:t>
      </w:r>
      <w:r>
        <w:rPr>
          <w:sz w:val="24"/>
          <w:szCs w:val="24"/>
        </w:rPr>
        <w:t xml:space="preserve">A verifier accepts or rejects a presentation solely from the presented constraints, including offline.</w:t>
      </w:r>
    </w:p>
    <w:p>
      <w:pPr>
        <w:spacing w:after="120" w:line="276" w:lineRule="auto"/>
        <w:jc w:val="both"/>
      </w:pPr>
      <w:r>
        <w:rPr>
          <w:b/>
          <w:bCs/>
          <w:sz w:val="24"/>
          <w:szCs w:val="24"/>
        </w:rPr>
        <w:t xml:space="preserve">Priority. </w:t>
      </w:r>
      <w:r>
        <w:rPr>
          <w:sz w:val="24"/>
          <w:szCs w:val="24"/>
        </w:rPr>
        <w:t xml:space="preserve">Must (Phase-2 priority).</w:t>
      </w:r>
    </w:p>
    <w:p>
      <w:pPr>
        <w:spacing w:after="120" w:line="276" w:lineRule="auto"/>
        <w:jc w:val="both"/>
      </w:pPr>
      <w:r>
        <w:rPr>
          <w:b/>
          <w:bCs/>
          <w:sz w:val="24"/>
          <w:szCs w:val="24"/>
        </w:rPr>
        <w:t xml:space="preserve">Target venue. </w:t>
      </w:r>
      <w:r>
        <w:rPr>
          <w:sz w:val="24"/>
          <w:szCs w:val="24"/>
        </w:rPr>
        <w:t xml:space="preserve">W3C Verifiable Credentials Working Group; aligns ERC-4907; ISO/TS 23516.</w:t>
      </w:r>
    </w:p>
    <w:p>
      <w:pPr>
        <w:spacing w:after="60" w:before="160"/>
      </w:pPr>
      <w:r>
        <w:rPr>
          <w:b/>
          <w:bCs/>
          <w:color w:val="1F3864"/>
          <w:sz w:val="23"/>
          <w:szCs w:val="23"/>
        </w:rPr>
        <w:t xml:space="preserve">TW-F-05 — Redemption semantics</w:t>
      </w:r>
    </w:p>
    <w:p>
      <w:pPr>
        <w:spacing w:after="70" w:line="276" w:lineRule="auto"/>
        <w:jc w:val="both"/>
      </w:pPr>
      <w:r>
        <w:rPr>
          <w:b/>
          <w:bCs/>
          <w:sz w:val="24"/>
          <w:szCs w:val="24"/>
        </w:rPr>
        <w:t xml:space="preserve">Requirement (MUST). </w:t>
      </w:r>
      <w:r>
        <w:rPr>
          <w:sz w:val="24"/>
          <w:szCs w:val="24"/>
        </w:rPr>
        <w:t xml:space="preserve">The entitlement model MUST support interoperable recording and verification of redemption events, including multi-step redemption, so that a verifier can determine the current redemption state.</w:t>
      </w:r>
    </w:p>
    <w:p>
      <w:pPr>
        <w:spacing w:after="120" w:line="276" w:lineRule="auto"/>
        <w:jc w:val="both"/>
      </w:pPr>
      <w:r>
        <w:rPr>
          <w:b/>
          <w:bCs/>
          <w:sz w:val="24"/>
          <w:szCs w:val="24"/>
        </w:rPr>
        <w:t xml:space="preserve">Rationale. </w:t>
      </w:r>
      <w:r>
        <w:rPr>
          <w:sz w:val="24"/>
          <w:szCs w:val="24"/>
        </w:rPr>
        <w:t xml:space="preserve">Gate check-in and multi-benefit passes require a redemption record that is not tied to one ecosystem.</w:t>
      </w:r>
    </w:p>
    <w:p>
      <w:pPr>
        <w:spacing w:after="120" w:line="276" w:lineRule="auto"/>
        <w:jc w:val="both"/>
      </w:pPr>
      <w:r>
        <w:rPr>
          <w:b/>
          <w:bCs/>
          <w:sz w:val="24"/>
          <w:szCs w:val="24"/>
        </w:rPr>
        <w:t xml:space="preserve">Source &amp; gap. </w:t>
      </w:r>
      <w:r>
        <w:rPr>
          <w:sz w:val="24"/>
          <w:szCs w:val="24"/>
        </w:rPr>
        <w:t xml:space="preserve">UC-D; closes gap G4.</w:t>
      </w:r>
    </w:p>
    <w:p>
      <w:pPr>
        <w:spacing w:after="120" w:line="276" w:lineRule="auto"/>
        <w:jc w:val="both"/>
      </w:pPr>
      <w:r>
        <w:rPr>
          <w:b/>
          <w:bCs/>
          <w:sz w:val="24"/>
          <w:szCs w:val="24"/>
        </w:rPr>
        <w:t xml:space="preserve">Verification. </w:t>
      </w:r>
      <w:r>
        <w:rPr>
          <w:sz w:val="24"/>
          <w:szCs w:val="24"/>
        </w:rPr>
        <w:t xml:space="preserve">A multi-redeemable entitlement reports correct state across two redemptions performed at different verifiers.</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ETSI ISG PDL; W3C Credentials Community Group; aligns ERC-6672.</w:t>
      </w:r>
    </w:p>
    <w:p>
      <w:pPr>
        <w:spacing w:after="60" w:before="160"/>
      </w:pPr>
      <w:r>
        <w:rPr>
          <w:b/>
          <w:bCs/>
          <w:color w:val="1F3864"/>
          <w:sz w:val="23"/>
          <w:szCs w:val="23"/>
        </w:rPr>
        <w:t xml:space="preserve">TW-F-06 — Group and delegated holding</w:t>
      </w:r>
    </w:p>
    <w:p>
      <w:pPr>
        <w:spacing w:after="70" w:line="276" w:lineRule="auto"/>
        <w:jc w:val="both"/>
      </w:pPr>
      <w:r>
        <w:rPr>
          <w:b/>
          <w:bCs/>
          <w:sz w:val="24"/>
          <w:szCs w:val="24"/>
        </w:rPr>
        <w:t xml:space="preserve">Requirement (SHOULD). </w:t>
      </w:r>
      <w:r>
        <w:rPr>
          <w:sz w:val="24"/>
          <w:szCs w:val="24"/>
        </w:rPr>
        <w:t xml:space="preserve">A holder MUST be able to hold and present entitlements bound to other beneficiaries (for example, a family), and SHOULD be able to delegate presentation to another holder, with verifiable linkage between holder, beneficiary and entitlement.</w:t>
      </w:r>
    </w:p>
    <w:p>
      <w:pPr>
        <w:spacing w:after="120" w:line="276" w:lineRule="auto"/>
        <w:jc w:val="both"/>
      </w:pPr>
      <w:r>
        <w:rPr>
          <w:b/>
          <w:bCs/>
          <w:sz w:val="24"/>
          <w:szCs w:val="24"/>
        </w:rPr>
        <w:t xml:space="preserve">Rationale. </w:t>
      </w:r>
      <w:r>
        <w:rPr>
          <w:sz w:val="24"/>
          <w:szCs w:val="24"/>
        </w:rPr>
        <w:t xml:space="preserve">Group and family travel is routine; the single-holder assumption in current models does not fit.</w:t>
      </w:r>
    </w:p>
    <w:p>
      <w:pPr>
        <w:spacing w:after="120" w:line="276" w:lineRule="auto"/>
        <w:jc w:val="both"/>
      </w:pPr>
      <w:r>
        <w:rPr>
          <w:b/>
          <w:bCs/>
          <w:sz w:val="24"/>
          <w:szCs w:val="24"/>
        </w:rPr>
        <w:t xml:space="preserve">Source &amp; gap. </w:t>
      </w:r>
      <w:r>
        <w:rPr>
          <w:sz w:val="24"/>
          <w:szCs w:val="24"/>
        </w:rPr>
        <w:t xml:space="preserve">UC-A, UC-D; closes gap G6.</w:t>
      </w:r>
    </w:p>
    <w:p>
      <w:pPr>
        <w:spacing w:after="120" w:line="276" w:lineRule="auto"/>
        <w:jc w:val="both"/>
      </w:pPr>
      <w:r>
        <w:rPr>
          <w:b/>
          <w:bCs/>
          <w:sz w:val="24"/>
          <w:szCs w:val="24"/>
        </w:rPr>
        <w:t xml:space="preserve">Verification. </w:t>
      </w:r>
      <w:r>
        <w:rPr>
          <w:sz w:val="24"/>
          <w:szCs w:val="24"/>
        </w:rPr>
        <w:t xml:space="preserve">One holder presents entitlements for several beneficiaries in a single interaction, each independently verifiable.</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W3C VCWG/CCG; EU Digital Identity Wallet (requirements input).</w:t>
      </w:r>
    </w:p>
    <w:p>
      <w:pPr>
        <w:spacing w:after="60" w:before="160"/>
      </w:pPr>
      <w:r>
        <w:rPr>
          <w:b/>
          <w:bCs/>
          <w:color w:val="1F3864"/>
          <w:sz w:val="23"/>
          <w:szCs w:val="23"/>
        </w:rPr>
        <w:t xml:space="preserve">TW-F-07 — Selective presentation</w:t>
      </w:r>
    </w:p>
    <w:p>
      <w:pPr>
        <w:spacing w:after="70" w:line="276" w:lineRule="auto"/>
        <w:jc w:val="both"/>
      </w:pPr>
      <w:r>
        <w:rPr>
          <w:b/>
          <w:bCs/>
          <w:sz w:val="24"/>
          <w:szCs w:val="24"/>
        </w:rPr>
        <w:t xml:space="preserve">Requirement (MUST). </w:t>
      </w:r>
      <w:r>
        <w:rPr>
          <w:sz w:val="24"/>
          <w:szCs w:val="24"/>
        </w:rPr>
        <w:t xml:space="preserve">Presentation MUST support selective disclosure, allowing the holder to present only the attributes a verifier requires for a stated purpose.</w:t>
      </w:r>
    </w:p>
    <w:p>
      <w:pPr>
        <w:spacing w:after="120" w:line="276" w:lineRule="auto"/>
        <w:jc w:val="both"/>
      </w:pPr>
      <w:r>
        <w:rPr>
          <w:b/>
          <w:bCs/>
          <w:sz w:val="24"/>
          <w:szCs w:val="24"/>
        </w:rPr>
        <w:t xml:space="preserve">Rationale. </w:t>
      </w:r>
      <w:r>
        <w:rPr>
          <w:sz w:val="24"/>
          <w:szCs w:val="24"/>
        </w:rPr>
        <w:t xml:space="preserve">Data minimisation is both a privacy duty and a user-trust requirement.</w:t>
      </w:r>
    </w:p>
    <w:p>
      <w:pPr>
        <w:spacing w:after="120" w:line="276" w:lineRule="auto"/>
        <w:jc w:val="both"/>
      </w:pPr>
      <w:r>
        <w:rPr>
          <w:b/>
          <w:bCs/>
          <w:sz w:val="24"/>
          <w:szCs w:val="24"/>
        </w:rPr>
        <w:t xml:space="preserve">Source &amp; gap. </w:t>
      </w:r>
      <w:r>
        <w:rPr>
          <w:sz w:val="24"/>
          <w:szCs w:val="24"/>
        </w:rPr>
        <w:t xml:space="preserve">UC-C; contributes to gap G8.</w:t>
      </w:r>
    </w:p>
    <w:p>
      <w:pPr>
        <w:spacing w:after="120" w:line="276" w:lineRule="auto"/>
        <w:jc w:val="both"/>
      </w:pPr>
      <w:r>
        <w:rPr>
          <w:b/>
          <w:bCs/>
          <w:sz w:val="24"/>
          <w:szCs w:val="24"/>
        </w:rPr>
        <w:t xml:space="preserve">Verification. </w:t>
      </w:r>
      <w:r>
        <w:rPr>
          <w:sz w:val="24"/>
          <w:szCs w:val="24"/>
        </w:rPr>
        <w:t xml:space="preserve">A holder satisfies an age check without disclosing a full date of birth.</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W3C; SD-JWT VC (IETF); ISO/IEC 18013-5.</w:t>
      </w:r>
    </w:p>
    <w:p>
      <w:pPr>
        <w:pStyle w:val="Heading2"/>
        <w:spacing w:after="100" w:before="220"/>
      </w:pPr>
      <w:r>
        <w:t xml:space="preserve">7.2 Operational and non-functional requirements</w:t>
      </w:r>
    </w:p>
    <w:p>
      <w:pPr>
        <w:spacing w:after="60" w:before="160"/>
      </w:pPr>
      <w:r>
        <w:rPr>
          <w:b/>
          <w:bCs/>
          <w:color w:val="1F3864"/>
          <w:sz w:val="23"/>
          <w:szCs w:val="23"/>
        </w:rPr>
        <w:t xml:space="preserve">TW-NF-01 — Offline verification</w:t>
      </w:r>
    </w:p>
    <w:p>
      <w:pPr>
        <w:spacing w:after="70" w:line="276" w:lineRule="auto"/>
        <w:jc w:val="both"/>
      </w:pPr>
      <w:r>
        <w:rPr>
          <w:b/>
          <w:bCs/>
          <w:sz w:val="24"/>
          <w:szCs w:val="24"/>
        </w:rPr>
        <w:t xml:space="preserve">Requirement (MUST). </w:t>
      </w:r>
      <w:r>
        <w:rPr>
          <w:sz w:val="24"/>
          <w:szCs w:val="24"/>
        </w:rPr>
        <w:t xml:space="preserve">Verification MUST be possible to a defined assurance level when there is no network connectivity at the point of presentation.</w:t>
      </w:r>
    </w:p>
    <w:p>
      <w:pPr>
        <w:spacing w:after="120" w:line="276" w:lineRule="auto"/>
        <w:jc w:val="both"/>
      </w:pPr>
      <w:r>
        <w:rPr>
          <w:b/>
          <w:bCs/>
          <w:sz w:val="24"/>
          <w:szCs w:val="24"/>
        </w:rPr>
        <w:t xml:space="preserve">Rationale. </w:t>
      </w:r>
      <w:r>
        <w:rPr>
          <w:sz w:val="24"/>
          <w:szCs w:val="24"/>
        </w:rPr>
        <w:t xml:space="preserve">Gates, vehicles and remote venues frequently lack reliable connectivity.</w:t>
      </w:r>
    </w:p>
    <w:p>
      <w:pPr>
        <w:spacing w:after="120" w:line="276" w:lineRule="auto"/>
        <w:jc w:val="both"/>
      </w:pPr>
      <w:r>
        <w:rPr>
          <w:b/>
          <w:bCs/>
          <w:sz w:val="24"/>
          <w:szCs w:val="24"/>
        </w:rPr>
        <w:t xml:space="preserve">Source &amp; gap. </w:t>
      </w:r>
      <w:r>
        <w:rPr>
          <w:sz w:val="24"/>
          <w:szCs w:val="24"/>
        </w:rPr>
        <w:t xml:space="preserve">UC-A, UC-B; closes gap G2.</w:t>
      </w:r>
    </w:p>
    <w:p>
      <w:pPr>
        <w:spacing w:after="120" w:line="276" w:lineRule="auto"/>
        <w:jc w:val="both"/>
      </w:pPr>
      <w:r>
        <w:rPr>
          <w:b/>
          <w:bCs/>
          <w:sz w:val="24"/>
          <w:szCs w:val="24"/>
        </w:rPr>
        <w:t xml:space="preserve">Verification. </w:t>
      </w:r>
      <w:r>
        <w:rPr>
          <w:sz w:val="24"/>
          <w:szCs w:val="24"/>
        </w:rPr>
        <w:t xml:space="preserve">An entitlement verifies on an offline device using only locally available data, to the stated assurance level.</w:t>
      </w:r>
    </w:p>
    <w:p>
      <w:pPr>
        <w:spacing w:after="120" w:line="276" w:lineRule="auto"/>
        <w:jc w:val="both"/>
      </w:pPr>
      <w:r>
        <w:rPr>
          <w:b/>
          <w:bCs/>
          <w:sz w:val="24"/>
          <w:szCs w:val="24"/>
        </w:rPr>
        <w:t xml:space="preserve">Priority. </w:t>
      </w:r>
      <w:r>
        <w:rPr>
          <w:sz w:val="24"/>
          <w:szCs w:val="24"/>
        </w:rPr>
        <w:t xml:space="preserve">Must (Phase-2 priority).</w:t>
      </w:r>
    </w:p>
    <w:p>
      <w:pPr>
        <w:spacing w:after="120" w:line="276" w:lineRule="auto"/>
        <w:jc w:val="both"/>
      </w:pPr>
      <w:r>
        <w:rPr>
          <w:b/>
          <w:bCs/>
          <w:sz w:val="24"/>
          <w:szCs w:val="24"/>
        </w:rPr>
        <w:t xml:space="preserve">Target venue. </w:t>
      </w:r>
      <w:r>
        <w:rPr>
          <w:sz w:val="24"/>
          <w:szCs w:val="24"/>
        </w:rPr>
        <w:t xml:space="preserve">ISO/IEC 18013 work; OpenID Foundation; tourism requirements via W3C and ISO/TC 307.</w:t>
      </w:r>
    </w:p>
    <w:p>
      <w:pPr>
        <w:spacing w:after="60" w:before="160"/>
      </w:pPr>
      <w:r>
        <w:rPr>
          <w:b/>
          <w:bCs/>
          <w:color w:val="1F3864"/>
          <w:sz w:val="23"/>
          <w:szCs w:val="23"/>
        </w:rPr>
        <w:t xml:space="preserve">TW-NF-02 — Verification performance</w:t>
      </w:r>
    </w:p>
    <w:p>
      <w:pPr>
        <w:spacing w:after="70" w:line="276" w:lineRule="auto"/>
        <w:jc w:val="both"/>
      </w:pPr>
      <w:r>
        <w:rPr>
          <w:b/>
          <w:bCs/>
          <w:sz w:val="24"/>
          <w:szCs w:val="24"/>
        </w:rPr>
        <w:t xml:space="preserve">Requirement (SHOULD). </w:t>
      </w:r>
      <w:r>
        <w:rPr>
          <w:sz w:val="24"/>
          <w:szCs w:val="24"/>
        </w:rPr>
        <w:t xml:space="preserve">Verification SHOULD complete within a defined latency budget under sustained peak arrival rates, and MUST NOT require per-presentation network round-trips whose cost scales with queue length.</w:t>
      </w:r>
    </w:p>
    <w:p>
      <w:pPr>
        <w:spacing w:after="120" w:line="276" w:lineRule="auto"/>
        <w:jc w:val="both"/>
      </w:pPr>
      <w:r>
        <w:rPr>
          <w:b/>
          <w:bCs/>
          <w:sz w:val="24"/>
          <w:szCs w:val="24"/>
        </w:rPr>
        <w:t xml:space="preserve">Rationale. </w:t>
      </w:r>
      <w:r>
        <w:rPr>
          <w:sz w:val="24"/>
          <w:szCs w:val="24"/>
        </w:rPr>
        <w:t xml:space="preserve">Peak-load gates fail when verification latency or connectivity dependence grows with the queue.</w:t>
      </w:r>
    </w:p>
    <w:p>
      <w:pPr>
        <w:spacing w:after="120" w:line="276" w:lineRule="auto"/>
        <w:jc w:val="both"/>
      </w:pPr>
      <w:r>
        <w:rPr>
          <w:b/>
          <w:bCs/>
          <w:sz w:val="24"/>
          <w:szCs w:val="24"/>
        </w:rPr>
        <w:t xml:space="preserve">Source &amp; gap. </w:t>
      </w:r>
      <w:r>
        <w:rPr>
          <w:sz w:val="24"/>
          <w:szCs w:val="24"/>
        </w:rPr>
        <w:t xml:space="preserve">UC-A, UC-D; closes gap G5.</w:t>
      </w:r>
    </w:p>
    <w:p>
      <w:pPr>
        <w:spacing w:after="120" w:line="276" w:lineRule="auto"/>
        <w:jc w:val="both"/>
      </w:pPr>
      <w:r>
        <w:rPr>
          <w:b/>
          <w:bCs/>
          <w:sz w:val="24"/>
          <w:szCs w:val="24"/>
        </w:rPr>
        <w:t xml:space="preserve">Verification. </w:t>
      </w:r>
      <w:r>
        <w:rPr>
          <w:sz w:val="24"/>
          <w:szCs w:val="24"/>
        </w:rPr>
        <w:t xml:space="preserve">Measured verification latency stays within the agreed target at the defined peak throughput.</w:t>
      </w:r>
    </w:p>
    <w:p>
      <w:pPr>
        <w:spacing w:after="120" w:line="276" w:lineRule="auto"/>
        <w:jc w:val="both"/>
      </w:pPr>
      <w:r>
        <w:rPr>
          <w:b/>
          <w:bCs/>
          <w:sz w:val="24"/>
          <w:szCs w:val="24"/>
        </w:rPr>
        <w:t xml:space="preserve">Priority. </w:t>
      </w:r>
      <w:r>
        <w:rPr>
          <w:sz w:val="24"/>
          <w:szCs w:val="24"/>
        </w:rPr>
        <w:t xml:space="preserve">Should (numeric target to be set with operators).</w:t>
      </w:r>
    </w:p>
    <w:p>
      <w:pPr>
        <w:spacing w:after="120" w:line="276" w:lineRule="auto"/>
        <w:jc w:val="both"/>
      </w:pPr>
      <w:r>
        <w:rPr>
          <w:b/>
          <w:bCs/>
          <w:sz w:val="24"/>
          <w:szCs w:val="24"/>
        </w:rPr>
        <w:t xml:space="preserve">Target venue. </w:t>
      </w:r>
      <w:r>
        <w:rPr>
          <w:sz w:val="24"/>
          <w:szCs w:val="24"/>
        </w:rPr>
        <w:t xml:space="preserve">ETSI; ISO/TC 307.</w:t>
      </w:r>
    </w:p>
    <w:p>
      <w:pPr>
        <w:spacing w:after="60" w:before="160"/>
      </w:pPr>
      <w:r>
        <w:rPr>
          <w:b/>
          <w:bCs/>
          <w:color w:val="1F3864"/>
          <w:sz w:val="23"/>
          <w:szCs w:val="23"/>
        </w:rPr>
        <w:t xml:space="preserve">TW-NF-03 — Cross-border interoperability</w:t>
      </w:r>
    </w:p>
    <w:p>
      <w:pPr>
        <w:spacing w:after="70" w:line="276" w:lineRule="auto"/>
        <w:jc w:val="both"/>
      </w:pPr>
      <w:r>
        <w:rPr>
          <w:b/>
          <w:bCs/>
          <w:sz w:val="24"/>
          <w:szCs w:val="24"/>
        </w:rPr>
        <w:t xml:space="preserve">Requirement (MUST). </w:t>
      </w:r>
      <w:r>
        <w:rPr>
          <w:sz w:val="24"/>
          <w:szCs w:val="24"/>
        </w:rPr>
        <w:t xml:space="preserve">An entitlement issued under one Member State’s scheme MUST be verifiable, unchanged, under another’s, using language-independent (coded) semantics.</w:t>
      </w:r>
    </w:p>
    <w:p>
      <w:pPr>
        <w:spacing w:after="120" w:line="276" w:lineRule="auto"/>
        <w:jc w:val="both"/>
      </w:pPr>
      <w:r>
        <w:rPr>
          <w:b/>
          <w:bCs/>
          <w:sz w:val="24"/>
          <w:szCs w:val="24"/>
        </w:rPr>
        <w:t xml:space="preserve">Rationale. </w:t>
      </w:r>
      <w:r>
        <w:rPr>
          <w:sz w:val="24"/>
          <w:szCs w:val="24"/>
        </w:rPr>
        <w:t xml:space="preserve">Trips cross jurisdictions within days; re-issuance per border is not viable.</w:t>
      </w:r>
    </w:p>
    <w:p>
      <w:pPr>
        <w:spacing w:after="120" w:line="276" w:lineRule="auto"/>
        <w:jc w:val="both"/>
      </w:pPr>
      <w:r>
        <w:rPr>
          <w:b/>
          <w:bCs/>
          <w:sz w:val="24"/>
          <w:szCs w:val="24"/>
        </w:rPr>
        <w:t xml:space="preserve">Source &amp; gap. </w:t>
      </w:r>
      <w:r>
        <w:rPr>
          <w:sz w:val="24"/>
          <w:szCs w:val="24"/>
        </w:rPr>
        <w:t xml:space="preserve">UC-B, UC-C; closes gaps G7 and G11.</w:t>
      </w:r>
    </w:p>
    <w:p>
      <w:pPr>
        <w:spacing w:after="120" w:line="276" w:lineRule="auto"/>
        <w:jc w:val="both"/>
      </w:pPr>
      <w:r>
        <w:rPr>
          <w:b/>
          <w:bCs/>
          <w:sz w:val="24"/>
          <w:szCs w:val="24"/>
        </w:rPr>
        <w:t xml:space="preserve">Verification. </w:t>
      </w:r>
      <w:r>
        <w:rPr>
          <w:sz w:val="24"/>
          <w:szCs w:val="24"/>
        </w:rPr>
        <w:t xml:space="preserve">An entitlement issued in Member State A verifies in Member State B without re-issuance.</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EU Digital Identity Wallet / eIDAS; ETSI TC ESI; ISO/TS 23516.</w:t>
      </w:r>
    </w:p>
    <w:p>
      <w:pPr>
        <w:spacing w:after="60" w:before="160"/>
      </w:pPr>
      <w:r>
        <w:rPr>
          <w:b/>
          <w:bCs/>
          <w:color w:val="1F3864"/>
          <w:sz w:val="23"/>
          <w:szCs w:val="23"/>
        </w:rPr>
        <w:t xml:space="preserve">TW-NF-04 — Accessibility</w:t>
      </w:r>
    </w:p>
    <w:p>
      <w:pPr>
        <w:spacing w:after="70" w:line="276" w:lineRule="auto"/>
        <w:jc w:val="both"/>
      </w:pPr>
      <w:r>
        <w:rPr>
          <w:b/>
          <w:bCs/>
          <w:sz w:val="24"/>
          <w:szCs w:val="24"/>
        </w:rPr>
        <w:t xml:space="preserve">Requirement (MUST). </w:t>
      </w:r>
      <w:r>
        <w:rPr>
          <w:sz w:val="24"/>
          <w:szCs w:val="24"/>
        </w:rPr>
        <w:t xml:space="preserve">Presentation and verification flows MUST meet the accessibility expectations of the European Accessibility Act, including non-visual alternatives to any visual verification step.</w:t>
      </w:r>
    </w:p>
    <w:p>
      <w:pPr>
        <w:spacing w:after="120" w:line="276" w:lineRule="auto"/>
        <w:jc w:val="both"/>
      </w:pPr>
      <w:r>
        <w:rPr>
          <w:b/>
          <w:bCs/>
          <w:sz w:val="24"/>
          <w:szCs w:val="24"/>
        </w:rPr>
        <w:t xml:space="preserve">Rationale. </w:t>
      </w:r>
      <w:r>
        <w:rPr>
          <w:sz w:val="24"/>
          <w:szCs w:val="24"/>
        </w:rPr>
        <w:t xml:space="preserve">Accessibility is a legal requirement and a precondition for equitable access to tourism.</w:t>
      </w:r>
    </w:p>
    <w:p>
      <w:pPr>
        <w:spacing w:after="120" w:line="276" w:lineRule="auto"/>
        <w:jc w:val="both"/>
      </w:pPr>
      <w:r>
        <w:rPr>
          <w:b/>
          <w:bCs/>
          <w:sz w:val="24"/>
          <w:szCs w:val="24"/>
        </w:rPr>
        <w:t xml:space="preserve">Source &amp; gap. </w:t>
      </w:r>
      <w:r>
        <w:rPr>
          <w:sz w:val="24"/>
          <w:szCs w:val="24"/>
        </w:rPr>
        <w:t xml:space="preserve">All use cases; closes gap G13.</w:t>
      </w:r>
    </w:p>
    <w:p>
      <w:pPr>
        <w:spacing w:after="120" w:line="276" w:lineRule="auto"/>
        <w:jc w:val="both"/>
      </w:pPr>
      <w:r>
        <w:rPr>
          <w:b/>
          <w:bCs/>
          <w:sz w:val="24"/>
          <w:szCs w:val="24"/>
        </w:rPr>
        <w:t xml:space="preserve">Verification. </w:t>
      </w:r>
      <w:r>
        <w:rPr>
          <w:sz w:val="24"/>
          <w:szCs w:val="24"/>
        </w:rPr>
        <w:t xml:space="preserve">A presentation can be completed without reliance on sight.</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ETSI / CEN-CENELEC accessibility work; EU Digital Identity Wallet alignment.</w:t>
      </w:r>
    </w:p>
    <w:p>
      <w:pPr>
        <w:pStyle w:val="Heading2"/>
        <w:spacing w:after="100" w:before="220"/>
      </w:pPr>
      <w:r>
        <w:t xml:space="preserve">7.3 Security and privacy requirements</w:t>
      </w:r>
    </w:p>
    <w:p>
      <w:pPr>
        <w:spacing w:after="60" w:before="160"/>
      </w:pPr>
      <w:r>
        <w:rPr>
          <w:b/>
          <w:bCs/>
          <w:color w:val="1F3864"/>
          <w:sz w:val="23"/>
          <w:szCs w:val="23"/>
        </w:rPr>
        <w:t xml:space="preserve">TW-SP-01 — Data-minimisation profile</w:t>
      </w:r>
    </w:p>
    <w:p>
      <w:pPr>
        <w:spacing w:after="70" w:line="276" w:lineRule="auto"/>
        <w:jc w:val="both"/>
      </w:pPr>
      <w:r>
        <w:rPr>
          <w:b/>
          <w:bCs/>
          <w:sz w:val="24"/>
          <w:szCs w:val="24"/>
        </w:rPr>
        <w:t xml:space="preserve">Requirement (MUST). </w:t>
      </w:r>
      <w:r>
        <w:rPr>
          <w:sz w:val="24"/>
          <w:szCs w:val="24"/>
        </w:rPr>
        <w:t xml:space="preserve">A tourism presentation MUST disclose only attributes within an agreed minimal set for the stated purpose, and the ecosystem SHOULD define minimal attribute sets per common purpose (for example, venue entry or age check).</w:t>
      </w:r>
    </w:p>
    <w:p>
      <w:pPr>
        <w:spacing w:after="120" w:line="276" w:lineRule="auto"/>
        <w:jc w:val="both"/>
      </w:pPr>
      <w:r>
        <w:rPr>
          <w:b/>
          <w:bCs/>
          <w:sz w:val="24"/>
          <w:szCs w:val="24"/>
        </w:rPr>
        <w:t xml:space="preserve">Rationale. </w:t>
      </w:r>
      <w:r>
        <w:rPr>
          <w:sz w:val="24"/>
          <w:szCs w:val="24"/>
        </w:rPr>
        <w:t xml:space="preserve">Selective disclosure exists technically but, without agreed minimal sets, minimisation is left to each implementer.</w:t>
      </w:r>
    </w:p>
    <w:p>
      <w:pPr>
        <w:spacing w:after="120" w:line="276" w:lineRule="auto"/>
        <w:jc w:val="both"/>
      </w:pPr>
      <w:r>
        <w:rPr>
          <w:b/>
          <w:bCs/>
          <w:sz w:val="24"/>
          <w:szCs w:val="24"/>
        </w:rPr>
        <w:t xml:space="preserve">Source &amp; gap. </w:t>
      </w:r>
      <w:r>
        <w:rPr>
          <w:sz w:val="24"/>
          <w:szCs w:val="24"/>
        </w:rPr>
        <w:t xml:space="preserve">UC-C; closes gap G8.</w:t>
      </w:r>
    </w:p>
    <w:p>
      <w:pPr>
        <w:spacing w:after="120" w:line="276" w:lineRule="auto"/>
        <w:jc w:val="both"/>
      </w:pPr>
      <w:r>
        <w:rPr>
          <w:b/>
          <w:bCs/>
          <w:sz w:val="24"/>
          <w:szCs w:val="24"/>
        </w:rPr>
        <w:t xml:space="preserve">Verification. </w:t>
      </w:r>
      <w:r>
        <w:rPr>
          <w:sz w:val="24"/>
          <w:szCs w:val="24"/>
        </w:rPr>
        <w:t xml:space="preserve">A documented minimal set exists for each purpose, and presentations conform to it.</w:t>
      </w:r>
    </w:p>
    <w:p>
      <w:pPr>
        <w:spacing w:after="120" w:line="276" w:lineRule="auto"/>
        <w:jc w:val="both"/>
      </w:pPr>
      <w:r>
        <w:rPr>
          <w:b/>
          <w:bCs/>
          <w:sz w:val="24"/>
          <w:szCs w:val="24"/>
        </w:rPr>
        <w:t xml:space="preserve">Priority. </w:t>
      </w:r>
      <w:r>
        <w:rPr>
          <w:sz w:val="24"/>
          <w:szCs w:val="24"/>
        </w:rPr>
        <w:t xml:space="preserve">Must (Phase-2 priority).</w:t>
      </w:r>
    </w:p>
    <w:p>
      <w:pPr>
        <w:spacing w:after="120" w:line="276" w:lineRule="auto"/>
        <w:jc w:val="both"/>
      </w:pPr>
      <w:r>
        <w:rPr>
          <w:b/>
          <w:bCs/>
          <w:sz w:val="24"/>
          <w:szCs w:val="24"/>
        </w:rPr>
        <w:t xml:space="preserve">Target venue. </w:t>
      </w:r>
      <w:r>
        <w:rPr>
          <w:sz w:val="24"/>
          <w:szCs w:val="24"/>
        </w:rPr>
        <w:t xml:space="preserve">ISO/IEC JTC 1/SC 27 – ISO/TC 307 JWG 4; W3C.</w:t>
      </w:r>
    </w:p>
    <w:p>
      <w:pPr>
        <w:spacing w:after="60" w:before="160"/>
      </w:pPr>
      <w:r>
        <w:rPr>
          <w:b/>
          <w:bCs/>
          <w:color w:val="1F3864"/>
          <w:sz w:val="23"/>
          <w:szCs w:val="23"/>
        </w:rPr>
        <w:t xml:space="preserve">TW-SP-02 — Limited correlation</w:t>
      </w:r>
    </w:p>
    <w:p>
      <w:pPr>
        <w:spacing w:after="70" w:line="276" w:lineRule="auto"/>
        <w:jc w:val="both"/>
      </w:pPr>
      <w:r>
        <w:rPr>
          <w:b/>
          <w:bCs/>
          <w:sz w:val="24"/>
          <w:szCs w:val="24"/>
        </w:rPr>
        <w:t xml:space="preserve">Requirement (SHOULD). </w:t>
      </w:r>
      <w:r>
        <w:rPr>
          <w:sz w:val="24"/>
          <w:szCs w:val="24"/>
        </w:rPr>
        <w:t xml:space="preserve">Repeated presentations of the same or related entitlements SHOULD NOT enable correlation of the holder across unrelated verifiers beyond what is necessary for the stated purpose.</w:t>
      </w:r>
    </w:p>
    <w:p>
      <w:pPr>
        <w:spacing w:after="120" w:line="276" w:lineRule="auto"/>
        <w:jc w:val="both"/>
      </w:pPr>
      <w:r>
        <w:rPr>
          <w:b/>
          <w:bCs/>
          <w:sz w:val="24"/>
          <w:szCs w:val="24"/>
        </w:rPr>
        <w:t xml:space="preserve">Rationale. </w:t>
      </w:r>
      <w:r>
        <w:rPr>
          <w:sz w:val="24"/>
          <w:szCs w:val="24"/>
        </w:rPr>
        <w:t xml:space="preserve">Tourism involves many short interactions; naive designs make travellers trivially trackable.</w:t>
      </w:r>
    </w:p>
    <w:p>
      <w:pPr>
        <w:spacing w:after="120" w:line="276" w:lineRule="auto"/>
        <w:jc w:val="both"/>
      </w:pPr>
      <w:r>
        <w:rPr>
          <w:b/>
          <w:bCs/>
          <w:sz w:val="24"/>
          <w:szCs w:val="24"/>
        </w:rPr>
        <w:t xml:space="preserve">Source &amp; gap. </w:t>
      </w:r>
      <w:r>
        <w:rPr>
          <w:sz w:val="24"/>
          <w:szCs w:val="24"/>
        </w:rPr>
        <w:t xml:space="preserve">UC-A, UC-B; contributes to gaps G8 and G14.</w:t>
      </w:r>
    </w:p>
    <w:p>
      <w:pPr>
        <w:spacing w:after="120" w:line="276" w:lineRule="auto"/>
        <w:jc w:val="both"/>
      </w:pPr>
      <w:r>
        <w:rPr>
          <w:b/>
          <w:bCs/>
          <w:sz w:val="24"/>
          <w:szCs w:val="24"/>
        </w:rPr>
        <w:t xml:space="preserve">Verification. </w:t>
      </w:r>
      <w:r>
        <w:rPr>
          <w:sz w:val="24"/>
          <w:szCs w:val="24"/>
        </w:rPr>
        <w:t xml:space="preserve">Two presentations at different venues are not trivially linkable by those verifiers.</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JWG 4; W3C (e.g. batch issuance, status-list privacy).</w:t>
      </w:r>
    </w:p>
    <w:p>
      <w:pPr>
        <w:spacing w:after="60" w:before="160"/>
      </w:pPr>
      <w:r>
        <w:rPr>
          <w:b/>
          <w:bCs/>
          <w:color w:val="1F3864"/>
          <w:sz w:val="23"/>
          <w:szCs w:val="23"/>
        </w:rPr>
        <w:t xml:space="preserve">TW-SP-03 — Issuer and verifier trust establishment</w:t>
      </w:r>
    </w:p>
    <w:p>
      <w:pPr>
        <w:spacing w:after="70" w:line="276" w:lineRule="auto"/>
        <w:jc w:val="both"/>
      </w:pPr>
      <w:r>
        <w:rPr>
          <w:b/>
          <w:bCs/>
          <w:sz w:val="24"/>
          <w:szCs w:val="24"/>
        </w:rPr>
        <w:t xml:space="preserve">Requirement (MUST). </w:t>
      </w:r>
      <w:r>
        <w:rPr>
          <w:sz w:val="24"/>
          <w:szCs w:val="24"/>
        </w:rPr>
        <w:t xml:space="preserve">A verifier MUST be able to establish the legitimacy of an issuer, and a holder SHOULD be able to establish the legitimacy of a verifier, through an eIDAS-aligned trust mechanism that scales to the large population of tourism issuers and verifiers.</w:t>
      </w:r>
    </w:p>
    <w:p>
      <w:pPr>
        <w:spacing w:after="120" w:line="276" w:lineRule="auto"/>
        <w:jc w:val="both"/>
      </w:pPr>
      <w:r>
        <w:rPr>
          <w:b/>
          <w:bCs/>
          <w:sz w:val="24"/>
          <w:szCs w:val="24"/>
        </w:rPr>
        <w:t xml:space="preserve">Rationale. </w:t>
      </w:r>
      <w:r>
        <w:rPr>
          <w:sz w:val="24"/>
          <w:szCs w:val="24"/>
        </w:rPr>
        <w:t xml:space="preserve">eIDAS trust lists cover qualified trust service providers, not the sector’s many operators and venues.</w:t>
      </w:r>
    </w:p>
    <w:p>
      <w:pPr>
        <w:spacing w:after="120" w:line="276" w:lineRule="auto"/>
        <w:jc w:val="both"/>
      </w:pPr>
      <w:r>
        <w:rPr>
          <w:b/>
          <w:bCs/>
          <w:sz w:val="24"/>
          <w:szCs w:val="24"/>
        </w:rPr>
        <w:t xml:space="preserve">Source &amp; gap. </w:t>
      </w:r>
      <w:r>
        <w:rPr>
          <w:sz w:val="24"/>
          <w:szCs w:val="24"/>
        </w:rPr>
        <w:t xml:space="preserve">UC-B, UC-C; closes gap G7.</w:t>
      </w:r>
    </w:p>
    <w:p>
      <w:pPr>
        <w:spacing w:after="120" w:line="276" w:lineRule="auto"/>
        <w:jc w:val="both"/>
      </w:pPr>
      <w:r>
        <w:rPr>
          <w:b/>
          <w:bCs/>
          <w:sz w:val="24"/>
          <w:szCs w:val="24"/>
        </w:rPr>
        <w:t xml:space="preserve">Verification. </w:t>
      </w:r>
      <w:r>
        <w:rPr>
          <w:sz w:val="24"/>
          <w:szCs w:val="24"/>
        </w:rPr>
        <w:t xml:space="preserve">A verifier confirms issuer legitimacy via a trust list or registry without prior bilateral setup.</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ETSI TC ESI; EU Digital Identity Wallet / eIDAS.</w:t>
      </w:r>
    </w:p>
    <w:p>
      <w:pPr>
        <w:spacing w:after="60" w:before="160"/>
      </w:pPr>
      <w:r>
        <w:rPr>
          <w:b/>
          <w:bCs/>
          <w:color w:val="1F3864"/>
          <w:sz w:val="23"/>
          <w:szCs w:val="23"/>
        </w:rPr>
        <w:t xml:space="preserve">TW-SP-04 — Revocation and suspension</w:t>
      </w:r>
    </w:p>
    <w:p>
      <w:pPr>
        <w:spacing w:after="70" w:line="276" w:lineRule="auto"/>
        <w:jc w:val="both"/>
      </w:pPr>
      <w:r>
        <w:rPr>
          <w:b/>
          <w:bCs/>
          <w:sz w:val="24"/>
          <w:szCs w:val="24"/>
        </w:rPr>
        <w:t xml:space="preserve">Requirement (MUST). </w:t>
      </w:r>
      <w:r>
        <w:rPr>
          <w:sz w:val="24"/>
          <w:szCs w:val="24"/>
        </w:rPr>
        <w:t xml:space="preserve">Issuers MUST be able to revoke or suspend an entitlement, and verifiers MUST be able to check status in a timely and privacy-preserving manner, including offline-tolerant status where feasible.</w:t>
      </w:r>
    </w:p>
    <w:p>
      <w:pPr>
        <w:spacing w:after="120" w:line="276" w:lineRule="auto"/>
        <w:jc w:val="both"/>
      </w:pPr>
      <w:r>
        <w:rPr>
          <w:b/>
          <w:bCs/>
          <w:sz w:val="24"/>
          <w:szCs w:val="24"/>
        </w:rPr>
        <w:t xml:space="preserve">Rationale. </w:t>
      </w:r>
      <w:r>
        <w:rPr>
          <w:sz w:val="24"/>
          <w:szCs w:val="24"/>
        </w:rPr>
        <w:t xml:space="preserve">Lost, refunded or fraudulent entitlements must be stoppable without leaking holder identity.</w:t>
      </w:r>
    </w:p>
    <w:p>
      <w:pPr>
        <w:spacing w:after="120" w:line="276" w:lineRule="auto"/>
        <w:jc w:val="both"/>
      </w:pPr>
      <w:r>
        <w:rPr>
          <w:b/>
          <w:bCs/>
          <w:sz w:val="24"/>
          <w:szCs w:val="24"/>
        </w:rPr>
        <w:t xml:space="preserve">Source &amp; gap. </w:t>
      </w:r>
      <w:r>
        <w:rPr>
          <w:sz w:val="24"/>
          <w:szCs w:val="24"/>
        </w:rPr>
        <w:t xml:space="preserve">UC-A, UC-B; contributes to gaps G2 and G14.</w:t>
      </w:r>
    </w:p>
    <w:p>
      <w:pPr>
        <w:spacing w:after="120" w:line="276" w:lineRule="auto"/>
        <w:jc w:val="both"/>
      </w:pPr>
      <w:r>
        <w:rPr>
          <w:b/>
          <w:bCs/>
          <w:sz w:val="24"/>
          <w:szCs w:val="24"/>
        </w:rPr>
        <w:t xml:space="preserve">Verification. </w:t>
      </w:r>
      <w:r>
        <w:rPr>
          <w:sz w:val="24"/>
          <w:szCs w:val="24"/>
        </w:rPr>
        <w:t xml:space="preserve">A revoked entitlement is rejected, and the status check does not reveal the holder’s identity.</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W3C (Bitstring Status List); JWG 4.</w:t>
      </w:r>
    </w:p>
    <w:p>
      <w:pPr>
        <w:spacing w:after="60" w:before="160"/>
      </w:pPr>
      <w:r>
        <w:rPr>
          <w:b/>
          <w:bCs/>
          <w:color w:val="1F3864"/>
          <w:sz w:val="23"/>
          <w:szCs w:val="23"/>
        </w:rPr>
        <w:t xml:space="preserve">TW-SP-05 — Auditability and dispute evidence</w:t>
      </w:r>
    </w:p>
    <w:p>
      <w:pPr>
        <w:spacing w:after="70" w:line="276" w:lineRule="auto"/>
        <w:jc w:val="both"/>
      </w:pPr>
      <w:r>
        <w:rPr>
          <w:b/>
          <w:bCs/>
          <w:sz w:val="24"/>
          <w:szCs w:val="24"/>
        </w:rPr>
        <w:t xml:space="preserve">Requirement (MUST). </w:t>
      </w:r>
      <w:r>
        <w:rPr>
          <w:sz w:val="24"/>
          <w:szCs w:val="24"/>
        </w:rPr>
        <w:t xml:space="preserve">It MUST be possible to produce privacy-preserving evidence that an entitlement was or was not used, sufficient to resolve a dispute, without exposing unnecessary personal data.</w:t>
      </w:r>
    </w:p>
    <w:p>
      <w:pPr>
        <w:spacing w:after="120" w:line="276" w:lineRule="auto"/>
        <w:jc w:val="both"/>
      </w:pPr>
      <w:r>
        <w:rPr>
          <w:b/>
          <w:bCs/>
          <w:sz w:val="24"/>
          <w:szCs w:val="24"/>
        </w:rPr>
        <w:t xml:space="preserve">Rationale. </w:t>
      </w:r>
      <w:r>
        <w:rPr>
          <w:sz w:val="24"/>
          <w:szCs w:val="24"/>
        </w:rPr>
        <w:t xml:space="preserve">Disputes over redemption are common in events and tourism and must be resolvable fairly.</w:t>
      </w:r>
    </w:p>
    <w:p>
      <w:pPr>
        <w:spacing w:after="120" w:line="276" w:lineRule="auto"/>
        <w:jc w:val="both"/>
      </w:pPr>
      <w:r>
        <w:rPr>
          <w:b/>
          <w:bCs/>
          <w:sz w:val="24"/>
          <w:szCs w:val="24"/>
        </w:rPr>
        <w:t xml:space="preserve">Source &amp; gap. </w:t>
      </w:r>
      <w:r>
        <w:rPr>
          <w:sz w:val="24"/>
          <w:szCs w:val="24"/>
        </w:rPr>
        <w:t xml:space="preserve">UC-D; closes gap G14.</w:t>
      </w:r>
    </w:p>
    <w:p>
      <w:pPr>
        <w:spacing w:after="120" w:line="276" w:lineRule="auto"/>
        <w:jc w:val="both"/>
      </w:pPr>
      <w:r>
        <w:rPr>
          <w:b/>
          <w:bCs/>
          <w:sz w:val="24"/>
          <w:szCs w:val="24"/>
        </w:rPr>
        <w:t xml:space="preserve">Verification. </w:t>
      </w:r>
      <w:r>
        <w:rPr>
          <w:sz w:val="24"/>
          <w:szCs w:val="24"/>
        </w:rPr>
        <w:t xml:space="preserve">An “already used” dispute is resolved from evidence that reveals no additional personal data.</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JWG 4; W3C.</w:t>
      </w:r>
    </w:p>
    <w:p>
      <w:pPr>
        <w:pStyle w:val="Heading2"/>
        <w:spacing w:after="100" w:before="220"/>
      </w:pPr>
      <w:r>
        <w:t xml:space="preserve">7.4 Trust and lifecycle requirements</w:t>
      </w:r>
    </w:p>
    <w:p>
      <w:pPr>
        <w:spacing w:after="60" w:before="160"/>
      </w:pPr>
      <w:r>
        <w:rPr>
          <w:b/>
          <w:bCs/>
          <w:color w:val="1F3864"/>
          <w:sz w:val="23"/>
          <w:szCs w:val="23"/>
        </w:rPr>
        <w:t xml:space="preserve">TW-TL-01 — Non-custodial control</w:t>
      </w:r>
    </w:p>
    <w:p>
      <w:pPr>
        <w:spacing w:after="70" w:line="276" w:lineRule="auto"/>
        <w:jc w:val="both"/>
      </w:pPr>
      <w:r>
        <w:rPr>
          <w:b/>
          <w:bCs/>
          <w:sz w:val="24"/>
          <w:szCs w:val="24"/>
        </w:rPr>
        <w:t xml:space="preserve">Requirement (MUST). </w:t>
      </w:r>
      <w:r>
        <w:rPr>
          <w:sz w:val="24"/>
          <w:szCs w:val="24"/>
        </w:rPr>
        <w:t xml:space="preserve">The holder MUST retain sole control of the keys and credentials in the wallet; no other party may exercise control over them except under an explicit, holder-granted, revocable authorisation.</w:t>
      </w:r>
    </w:p>
    <w:p>
      <w:pPr>
        <w:spacing w:after="120" w:line="276" w:lineRule="auto"/>
        <w:jc w:val="both"/>
      </w:pPr>
      <w:r>
        <w:rPr>
          <w:b/>
          <w:bCs/>
          <w:sz w:val="24"/>
          <w:szCs w:val="24"/>
        </w:rPr>
        <w:t xml:space="preserve">Rationale. </w:t>
      </w:r>
      <w:r>
        <w:rPr>
          <w:sz w:val="24"/>
          <w:szCs w:val="24"/>
        </w:rPr>
        <w:t xml:space="preserve">This is the defining property of the model and the basis of user data sovereignty.</w:t>
      </w:r>
    </w:p>
    <w:p>
      <w:pPr>
        <w:spacing w:after="120" w:line="276" w:lineRule="auto"/>
        <w:jc w:val="both"/>
      </w:pPr>
      <w:r>
        <w:rPr>
          <w:b/>
          <w:bCs/>
          <w:sz w:val="24"/>
          <w:szCs w:val="24"/>
        </w:rPr>
        <w:t xml:space="preserve">Source &amp; gap. </w:t>
      </w:r>
      <w:r>
        <w:rPr>
          <w:sz w:val="24"/>
          <w:szCs w:val="24"/>
        </w:rPr>
        <w:t xml:space="preserve">All use cases; underpins requirement R8.</w:t>
      </w:r>
    </w:p>
    <w:p>
      <w:pPr>
        <w:spacing w:after="120" w:line="276" w:lineRule="auto"/>
        <w:jc w:val="both"/>
      </w:pPr>
      <w:r>
        <w:rPr>
          <w:b/>
          <w:bCs/>
          <w:sz w:val="24"/>
          <w:szCs w:val="24"/>
        </w:rPr>
        <w:t xml:space="preserve">Verification. </w:t>
      </w:r>
      <w:r>
        <w:rPr>
          <w:sz w:val="24"/>
          <w:szCs w:val="24"/>
        </w:rPr>
        <w:t xml:space="preserve">No issuer, verifier or wallet provider can present or transfer an entitlement without the holder’s authorisation.</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ISO/AWI 7603; ISO/TC 307 (security work).</w:t>
      </w:r>
    </w:p>
    <w:p>
      <w:pPr>
        <w:spacing w:after="60" w:before="160"/>
      </w:pPr>
      <w:r>
        <w:rPr>
          <w:b/>
          <w:bCs/>
          <w:color w:val="1F3864"/>
          <w:sz w:val="23"/>
          <w:szCs w:val="23"/>
        </w:rPr>
        <w:t xml:space="preserve">TW-TL-02 — Recovery without custody</w:t>
      </w:r>
    </w:p>
    <w:p>
      <w:pPr>
        <w:spacing w:after="70" w:line="276" w:lineRule="auto"/>
        <w:jc w:val="both"/>
      </w:pPr>
      <w:r>
        <w:rPr>
          <w:b/>
          <w:bCs/>
          <w:sz w:val="24"/>
          <w:szCs w:val="24"/>
        </w:rPr>
        <w:t xml:space="preserve">Requirement (MUST). </w:t>
      </w:r>
      <w:r>
        <w:rPr>
          <w:sz w:val="24"/>
          <w:szCs w:val="24"/>
        </w:rPr>
        <w:t xml:space="preserve">The wallet MUST provide a means to recover access to entitlements after device loss that does not transfer custody of keys or credentials to a third party.</w:t>
      </w:r>
    </w:p>
    <w:p>
      <w:pPr>
        <w:spacing w:after="120" w:line="276" w:lineRule="auto"/>
        <w:jc w:val="both"/>
      </w:pPr>
      <w:r>
        <w:rPr>
          <w:b/>
          <w:bCs/>
          <w:sz w:val="24"/>
          <w:szCs w:val="24"/>
        </w:rPr>
        <w:t xml:space="preserve">Rationale. </w:t>
      </w:r>
      <w:r>
        <w:rPr>
          <w:sz w:val="24"/>
          <w:szCs w:val="24"/>
        </w:rPr>
        <w:t xml:space="preserve">Travellers lose devices; a scheme that strands them will not be adopted, but recovery must not reintroduce custody.</w:t>
      </w:r>
    </w:p>
    <w:p>
      <w:pPr>
        <w:spacing w:after="120" w:line="276" w:lineRule="auto"/>
        <w:jc w:val="both"/>
      </w:pPr>
      <w:r>
        <w:rPr>
          <w:b/>
          <w:bCs/>
          <w:sz w:val="24"/>
          <w:szCs w:val="24"/>
        </w:rPr>
        <w:t xml:space="preserve">Source &amp; gap. </w:t>
      </w:r>
      <w:r>
        <w:rPr>
          <w:sz w:val="24"/>
          <w:szCs w:val="24"/>
        </w:rPr>
        <w:t xml:space="preserve">UC-A; closes gap G9.</w:t>
      </w:r>
    </w:p>
    <w:p>
      <w:pPr>
        <w:spacing w:after="120" w:line="276" w:lineRule="auto"/>
        <w:jc w:val="both"/>
      </w:pPr>
      <w:r>
        <w:rPr>
          <w:b/>
          <w:bCs/>
          <w:sz w:val="24"/>
          <w:szCs w:val="24"/>
        </w:rPr>
        <w:t xml:space="preserve">Verification. </w:t>
      </w:r>
      <w:r>
        <w:rPr>
          <w:sz w:val="24"/>
          <w:szCs w:val="24"/>
        </w:rPr>
        <w:t xml:space="preserve">A user recovers their entitlements after device loss, with no third party having held custody at any point.</w:t>
      </w:r>
    </w:p>
    <w:p>
      <w:pPr>
        <w:spacing w:after="120" w:line="276" w:lineRule="auto"/>
        <w:jc w:val="both"/>
      </w:pPr>
      <w:r>
        <w:rPr>
          <w:b/>
          <w:bCs/>
          <w:sz w:val="24"/>
          <w:szCs w:val="24"/>
        </w:rPr>
        <w:t xml:space="preserve">Priority. </w:t>
      </w:r>
      <w:r>
        <w:rPr>
          <w:sz w:val="24"/>
          <w:szCs w:val="24"/>
        </w:rPr>
        <w:t xml:space="preserve">Must.</w:t>
      </w:r>
    </w:p>
    <w:p>
      <w:pPr>
        <w:spacing w:after="120" w:line="276" w:lineRule="auto"/>
        <w:jc w:val="both"/>
      </w:pPr>
      <w:r>
        <w:rPr>
          <w:b/>
          <w:bCs/>
          <w:sz w:val="24"/>
          <w:szCs w:val="24"/>
        </w:rPr>
        <w:t xml:space="preserve">Target venue. </w:t>
      </w:r>
      <w:r>
        <w:rPr>
          <w:sz w:val="24"/>
          <w:szCs w:val="24"/>
        </w:rPr>
        <w:t xml:space="preserve">ISO/TC 307 (security); Ethereum account-abstraction process (ERC-4337 profile).</w:t>
      </w:r>
    </w:p>
    <w:p>
      <w:pPr>
        <w:spacing w:after="60" w:before="160"/>
      </w:pPr>
      <w:r>
        <w:rPr>
          <w:b/>
          <w:bCs/>
          <w:color w:val="1F3864"/>
          <w:sz w:val="23"/>
          <w:szCs w:val="23"/>
        </w:rPr>
        <w:t xml:space="preserve">TW-TL-03 — Consumer-protection controls</w:t>
      </w:r>
    </w:p>
    <w:p>
      <w:pPr>
        <w:spacing w:after="70" w:line="276" w:lineRule="auto"/>
        <w:jc w:val="both"/>
      </w:pPr>
      <w:r>
        <w:rPr>
          <w:b/>
          <w:bCs/>
          <w:sz w:val="24"/>
          <w:szCs w:val="24"/>
        </w:rPr>
        <w:t xml:space="preserve">Requirement (MUST). </w:t>
      </w:r>
      <w:r>
        <w:rPr>
          <w:sz w:val="24"/>
          <w:szCs w:val="24"/>
        </w:rPr>
        <w:t xml:space="preserve">The entitlement model MUST allow expressing and enforcing transfer and resale constraints (including non-transferability), and MUST be able to represent refund, withdrawal and cooling-off states.</w:t>
      </w:r>
    </w:p>
    <w:p>
      <w:pPr>
        <w:spacing w:after="120" w:line="276" w:lineRule="auto"/>
        <w:jc w:val="both"/>
      </w:pPr>
      <w:r>
        <w:rPr>
          <w:b/>
          <w:bCs/>
          <w:sz w:val="24"/>
          <w:szCs w:val="24"/>
        </w:rPr>
        <w:t xml:space="preserve">Rationale. </w:t>
      </w:r>
      <w:r>
        <w:rPr>
          <w:sz w:val="24"/>
          <w:szCs w:val="24"/>
        </w:rPr>
        <w:t xml:space="preserve">Consumer law and anti-scalping needs require controllable transfer and clear refund states.</w:t>
      </w:r>
    </w:p>
    <w:p>
      <w:pPr>
        <w:spacing w:after="120" w:line="276" w:lineRule="auto"/>
        <w:jc w:val="both"/>
      </w:pPr>
      <w:r>
        <w:rPr>
          <w:b/>
          <w:bCs/>
          <w:sz w:val="24"/>
          <w:szCs w:val="24"/>
        </w:rPr>
        <w:t xml:space="preserve">Source &amp; gap. </w:t>
      </w:r>
      <w:r>
        <w:rPr>
          <w:sz w:val="24"/>
          <w:szCs w:val="24"/>
        </w:rPr>
        <w:t xml:space="preserve">UC-A, UC-D; closes gap G12.</w:t>
      </w:r>
    </w:p>
    <w:p>
      <w:pPr>
        <w:spacing w:after="120" w:line="276" w:lineRule="auto"/>
        <w:jc w:val="both"/>
      </w:pPr>
      <w:r>
        <w:rPr>
          <w:b/>
          <w:bCs/>
          <w:sz w:val="24"/>
          <w:szCs w:val="24"/>
        </w:rPr>
        <w:t xml:space="preserve">Verification. </w:t>
      </w:r>
      <w:r>
        <w:rPr>
          <w:sz w:val="24"/>
          <w:szCs w:val="24"/>
        </w:rPr>
        <w:t xml:space="preserve">A non-transferable entitlement cannot be validly presented by an unauthorised holder; a refunded entitlement is verifiably void.</w:t>
      </w:r>
    </w:p>
    <w:p>
      <w:pPr>
        <w:spacing w:after="120" w:line="276" w:lineRule="auto"/>
        <w:jc w:val="both"/>
      </w:pPr>
      <w:r>
        <w:rPr>
          <w:b/>
          <w:bCs/>
          <w:sz w:val="24"/>
          <w:szCs w:val="24"/>
        </w:rPr>
        <w:t xml:space="preserve">Priority. </w:t>
      </w:r>
      <w:r>
        <w:rPr>
          <w:sz w:val="24"/>
          <w:szCs w:val="24"/>
        </w:rPr>
        <w:t xml:space="preserve">Should.</w:t>
      </w:r>
    </w:p>
    <w:p>
      <w:pPr>
        <w:spacing w:after="120" w:line="276" w:lineRule="auto"/>
        <w:jc w:val="both"/>
      </w:pPr>
      <w:r>
        <w:rPr>
          <w:b/>
          <w:bCs/>
          <w:sz w:val="24"/>
          <w:szCs w:val="24"/>
        </w:rPr>
        <w:t xml:space="preserve">Target venue. </w:t>
      </w:r>
      <w:r>
        <w:rPr>
          <w:sz w:val="24"/>
          <w:szCs w:val="24"/>
        </w:rPr>
        <w:t xml:space="preserve">W3C; ETSI ISG PDL; aligns ERC-5192.</w:t>
      </w:r>
    </w:p>
    <w:p>
      <w:pPr>
        <w:spacing w:after="60" w:before="160"/>
      </w:pPr>
      <w:r>
        <w:rPr>
          <w:b/>
          <w:bCs/>
          <w:color w:val="1F3864"/>
          <w:sz w:val="23"/>
          <w:szCs w:val="23"/>
        </w:rPr>
        <w:t xml:space="preserve">TW-TL-04 — EU Digital Identity Wallet alignment</w:t>
      </w:r>
    </w:p>
    <w:p>
      <w:pPr>
        <w:spacing w:after="70" w:line="276" w:lineRule="auto"/>
        <w:jc w:val="both"/>
      </w:pPr>
      <w:r>
        <w:rPr>
          <w:b/>
          <w:bCs/>
          <w:sz w:val="24"/>
          <w:szCs w:val="24"/>
        </w:rPr>
        <w:t xml:space="preserve">Requirement (SHOULD). </w:t>
      </w:r>
      <w:r>
        <w:rPr>
          <w:sz w:val="24"/>
          <w:szCs w:val="24"/>
        </w:rPr>
        <w:t xml:space="preserve">Tourism attestations SHOULD be expressible as electronic attestations of attributes compatible with the EU Digital Identity Wallet and verifiable by EUDI relying parties.</w:t>
      </w:r>
    </w:p>
    <w:p>
      <w:pPr>
        <w:spacing w:after="120" w:line="276" w:lineRule="auto"/>
        <w:jc w:val="both"/>
      </w:pPr>
      <w:r>
        <w:rPr>
          <w:b/>
          <w:bCs/>
          <w:sz w:val="24"/>
          <w:szCs w:val="24"/>
        </w:rPr>
        <w:t xml:space="preserve">Rationale. </w:t>
      </w:r>
      <w:r>
        <w:rPr>
          <w:sz w:val="24"/>
          <w:szCs w:val="24"/>
        </w:rPr>
        <w:t xml:space="preserve">The EUDI Wallet is the European centre of gravity; tourism attestations are natural attestations of attributes but are not yet profiled.</w:t>
      </w:r>
    </w:p>
    <w:p>
      <w:pPr>
        <w:spacing w:after="120" w:line="276" w:lineRule="auto"/>
        <w:jc w:val="both"/>
      </w:pPr>
      <w:r>
        <w:rPr>
          <w:b/>
          <w:bCs/>
          <w:sz w:val="24"/>
          <w:szCs w:val="24"/>
        </w:rPr>
        <w:t xml:space="preserve">Source &amp; gap. </w:t>
      </w:r>
      <w:r>
        <w:rPr>
          <w:sz w:val="24"/>
          <w:szCs w:val="24"/>
        </w:rPr>
        <w:t xml:space="preserve">UC-C, UC-B; closes gap G10.</w:t>
      </w:r>
    </w:p>
    <w:p>
      <w:pPr>
        <w:spacing w:after="120" w:line="276" w:lineRule="auto"/>
        <w:jc w:val="both"/>
      </w:pPr>
      <w:r>
        <w:rPr>
          <w:b/>
          <w:bCs/>
          <w:sz w:val="24"/>
          <w:szCs w:val="24"/>
        </w:rPr>
        <w:t xml:space="preserve">Verification. </w:t>
      </w:r>
      <w:r>
        <w:rPr>
          <w:sz w:val="24"/>
          <w:szCs w:val="24"/>
        </w:rPr>
        <w:t xml:space="preserve">A tourism attestation is issued and verified through an EUDI-compatible flow.</w:t>
      </w:r>
    </w:p>
    <w:p>
      <w:pPr>
        <w:spacing w:after="120" w:line="276" w:lineRule="auto"/>
        <w:jc w:val="both"/>
      </w:pPr>
      <w:r>
        <w:rPr>
          <w:b/>
          <w:bCs/>
          <w:sz w:val="24"/>
          <w:szCs w:val="24"/>
        </w:rPr>
        <w:t xml:space="preserve">Priority. </w:t>
      </w:r>
      <w:r>
        <w:rPr>
          <w:sz w:val="24"/>
          <w:szCs w:val="24"/>
        </w:rPr>
        <w:t xml:space="preserve">Must (Phase-2 priority).</w:t>
      </w:r>
    </w:p>
    <w:p>
      <w:pPr>
        <w:spacing w:after="120" w:line="276" w:lineRule="auto"/>
        <w:jc w:val="both"/>
      </w:pPr>
      <w:r>
        <w:rPr>
          <w:b/>
          <w:bCs/>
          <w:sz w:val="24"/>
          <w:szCs w:val="24"/>
        </w:rPr>
        <w:t xml:space="preserve">Target venue. </w:t>
      </w:r>
      <w:r>
        <w:rPr>
          <w:sz w:val="24"/>
          <w:szCs w:val="24"/>
        </w:rPr>
        <w:t xml:space="preserve">EU Digital Identity Wallet / eIDAS expert group; ETSI TC ESI.</w:t>
      </w:r>
    </w:p>
    <w:p>
      <w:pPr>
        <w:pageBreakBefore/>
      </w:pPr>
    </w:p>
    <w:p>
      <w:pPr>
        <w:pStyle w:val="Heading1"/>
        <w:spacing w:after="140" w:before="320"/>
      </w:pPr>
      <w:r>
        <w:t xml:space="preserve">8. Traceability matrix</w:t>
      </w:r>
    </w:p>
    <w:p>
      <w:pPr>
        <w:spacing w:after="120" w:line="276" w:lineRule="auto"/>
        <w:jc w:val="both"/>
      </w:pPr>
      <w:r>
        <w:rPr>
          <w:sz w:val="24"/>
          <w:szCs w:val="24"/>
        </w:rPr>
        <w:t xml:space="preserve">Each requirement is traced to the use case(s) it derives from, the D1.1 gap it closes, its priority and its target venue. This matrix is the bridge from the analysis in D1.1 to the submission packages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100"/>
        <w:gridCol w:w="1800"/>
        <w:gridCol w:w="3560"/>
      </w:tblGrid>
      <w:tr>
        <w:trPr>
          <w:cantSplit/>
          <w:tblHeader/>
        </w:trPr>
        <w:tc>
          <w:tcPr>
            <w:tcW w:type="dxa" w:w="14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Req</w:t>
            </w:r>
          </w:p>
        </w:tc>
        <w:tc>
          <w:tcPr>
            <w:tcW w:type="dxa" w:w="14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Use case(s)</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Gap</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Priority</w:t>
            </w:r>
          </w:p>
        </w:tc>
        <w:tc>
          <w:tcPr>
            <w:tcW w:type="dxa" w:w="3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Target venue</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TW-F-01</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C, 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G11, G1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ISO/AWI 7603</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TW-F-02</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 C</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G11, G5</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W3C</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TW-F-03</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 A</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(P2)</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CCG; ISO/TS 23516; ETSI PDL</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TW-F-04</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B</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G3</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(P2)</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 ISO/TS 23516</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TW-F-05</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PDL; W3C CCG</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TW-F-06</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D</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G6</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VCWG/CCG; EUDI</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TW-F-07</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SD-JWT VC; ISO 18013-5</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TW-NF-01</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B</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(P2)</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 18013; OpenID Fdn</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TW-NF-02</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ISO/TC 307</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TW-NF-03</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 C</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G7, G11</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EUDI/eIDAS; ETSI ESI</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TW-NF-04</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all</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G13</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ETSI/CEN-CENELEC; EUDI</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TW-SP-01</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(P2)</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TW-SP-02</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B</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G8, G14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TW-SP-03</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 C</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G7</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ETSI TC ESI; EUDI</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TW-SP-04</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B</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G2, G14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JWG 4</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TW-SP-05</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G14</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JWG 4; W3C</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TW-TL-01</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all</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ISO/AWI 7603; ISO/TC 307</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TW-TL-02</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G9</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ISO/TC 307; Ethereum AA</w:t>
            </w:r>
          </w:p>
        </w:tc>
      </w:tr>
      <w:tr>
        <w:trPr>
          <w:cantSplit/>
        </w:trPr>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TW-TL-03</w:t>
            </w:r>
          </w:p>
        </w:tc>
        <w:tc>
          <w:tcPr>
            <w:tcW w:type="dxa" w:w="14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 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W3C; ETSI PDL</w:t>
            </w:r>
          </w:p>
        </w:tc>
      </w:tr>
      <w:tr>
        <w:trPr>
          <w:cantSplit/>
        </w:trPr>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TW-TL-04</w:t>
            </w:r>
          </w:p>
        </w:tc>
        <w:tc>
          <w:tcPr>
            <w:tcW w:type="dxa" w:w="145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 B</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G10</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(P2)</w:t>
            </w:r>
          </w:p>
        </w:tc>
        <w:tc>
          <w:tcPr>
            <w:tcW w:type="dxa" w:w="3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EUDI/eIDAS; ETSI ESI</w:t>
            </w:r>
          </w:p>
        </w:tc>
      </w:tr>
    </w:tbl>
    <w:p>
      <w:pPr>
        <w:pageBreakBefore/>
      </w:pPr>
    </w:p>
    <w:p>
      <w:pPr>
        <w:pStyle w:val="Heading1"/>
        <w:spacing w:after="140" w:before="320"/>
      </w:pPr>
      <w:r>
        <w:t xml:space="preserve">9. Submission packages by standards body</w:t>
      </w:r>
    </w:p>
    <w:p>
      <w:pPr>
        <w:spacing w:after="120" w:line="276" w:lineRule="auto"/>
        <w:jc w:val="both"/>
      </w:pPr>
      <w:r>
        <w:rPr>
          <w:sz w:val="24"/>
          <w:szCs w:val="24"/>
        </w:rPr>
        <w:t xml:space="preserve">This section organises the requirements into packages addressed to specific bodies and work items, with the suggested form of each contribution. Together these packages constitute the Phase-2 contribution plan. The same requirement may appear in more than one package where it sits at a seam between bodies; in those cases the packages should be coordinated through liaison.</w:t>
      </w:r>
    </w:p>
    <w:p>
      <w:pPr>
        <w:pStyle w:val="Heading2"/>
        <w:spacing w:after="100" w:before="220"/>
      </w:pPr>
      <w:r>
        <w:t xml:space="preserve">9.1 W3C</w:t>
      </w:r>
    </w:p>
    <w:p>
      <w:pPr>
        <w:spacing w:after="120" w:line="276" w:lineRule="auto"/>
        <w:jc w:val="both"/>
      </w:pPr>
      <w:r>
        <w:rPr>
          <w:sz w:val="24"/>
          <w:szCs w:val="24"/>
        </w:rPr>
        <w:t xml:space="preserve">Target groups: the Verifiable Credentials Working Group (VCWG) and the Credentials Community Group (CCG).</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TW-F-01, TW-F-02, TW-F-03, TW-F-04, TW-F-06, TW-F-07, TW-SP-02, TW-SP-04.</w:t>
      </w:r>
    </w:p>
    <w:p>
      <w:pPr>
        <w:pStyle w:val="ListParagraph"/>
        <w:numPr>
          <w:ilvl w:val="0"/>
          <w:numId w:val="3"/>
        </w:numPr>
        <w:spacing w:after="80" w:line="276" w:lineRule="auto"/>
        <w:jc w:val="both"/>
      </w:pPr>
      <w:r>
        <w:rPr>
          <w:b/>
          <w:bCs/>
          <w:sz w:val="24"/>
          <w:szCs w:val="24"/>
        </w:rPr>
        <w:t xml:space="preserve">Form. </w:t>
      </w:r>
      <w:r>
        <w:rPr>
          <w:sz w:val="24"/>
          <w:szCs w:val="24"/>
        </w:rPr>
        <w:t xml:space="preserve">Use-case contributions (UC-A to UC-D) plus a requirements input, leading to a candidate tourism-entitlement credential profile and a credential–token binding note (CCG).</w:t>
      </w:r>
    </w:p>
    <w:p>
      <w:pPr>
        <w:pStyle w:val="ListParagraph"/>
        <w:numPr>
          <w:ilvl w:val="0"/>
          <w:numId w:val="3"/>
        </w:numPr>
        <w:spacing w:after="80" w:line="276" w:lineRule="auto"/>
        <w:jc w:val="both"/>
      </w:pPr>
      <w:r>
        <w:rPr>
          <w:b/>
          <w:bCs/>
          <w:sz w:val="24"/>
          <w:szCs w:val="24"/>
        </w:rPr>
        <w:t xml:space="preserve">Priority items. </w:t>
      </w:r>
      <w:r>
        <w:rPr>
          <w:sz w:val="24"/>
          <w:szCs w:val="24"/>
        </w:rPr>
        <w:t xml:space="preserve">TW-F-03 and TW-F-04.</w:t>
      </w:r>
    </w:p>
    <w:p>
      <w:pPr>
        <w:pStyle w:val="Heading2"/>
        <w:spacing w:after="100" w:before="220"/>
      </w:pPr>
      <w:r>
        <w:t xml:space="preserve">9.2 ISO/TC 307 and JTC 1/SC 27 JWG 4</w:t>
      </w:r>
    </w:p>
    <w:p>
      <w:pPr>
        <w:spacing w:after="120" w:line="276" w:lineRule="auto"/>
        <w:jc w:val="both"/>
      </w:pPr>
      <w:r>
        <w:rPr>
          <w:sz w:val="24"/>
          <w:szCs w:val="24"/>
        </w:rPr>
        <w:t xml:space="preserve">Target work items: ISO/TS 23516 (interoperability framework), ISO/AWI 7603 (decentralized identity), the ISO 22739 vocabulary revision, and JWG 4 for security, privacy and identity.</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TW-F-02, TW-F-03, TW-NF-03 (ISO/TS 23516); TW-F-01, TW-TL-01, TW-TL-02 (ISO/AWI 7603 and security work); TW-SP-01, TW-SP-02, TW-SP-05 (JWG 4); TW-F-02 terminology (ISO 22739).</w:t>
      </w:r>
    </w:p>
    <w:p>
      <w:pPr>
        <w:pStyle w:val="ListParagraph"/>
        <w:numPr>
          <w:ilvl w:val="0"/>
          <w:numId w:val="3"/>
        </w:numPr>
        <w:spacing w:after="80" w:line="276" w:lineRule="auto"/>
        <w:jc w:val="both"/>
      </w:pPr>
      <w:r>
        <w:rPr>
          <w:b/>
          <w:bCs/>
          <w:sz w:val="24"/>
          <w:szCs w:val="24"/>
        </w:rPr>
        <w:t xml:space="preserve">Form. </w:t>
      </w:r>
      <w:r>
        <w:rPr>
          <w:sz w:val="24"/>
          <w:szCs w:val="24"/>
        </w:rPr>
        <w:t xml:space="preserve">Requirements inputs and terminology contributions, with a privacy-considerations note to JWG 4.</w:t>
      </w:r>
    </w:p>
    <w:p>
      <w:pPr>
        <w:pStyle w:val="ListParagraph"/>
        <w:numPr>
          <w:ilvl w:val="0"/>
          <w:numId w:val="3"/>
        </w:numPr>
        <w:spacing w:after="80" w:line="276" w:lineRule="auto"/>
        <w:jc w:val="both"/>
      </w:pPr>
      <w:r>
        <w:rPr>
          <w:b/>
          <w:bCs/>
          <w:sz w:val="24"/>
          <w:szCs w:val="24"/>
        </w:rPr>
        <w:t xml:space="preserve">Priority items. </w:t>
      </w:r>
      <w:r>
        <w:rPr>
          <w:sz w:val="24"/>
          <w:szCs w:val="24"/>
        </w:rPr>
        <w:t xml:space="preserve">TW-F-03 (interoperability) and TW-SP-01 (privacy profile).</w:t>
      </w:r>
    </w:p>
    <w:p>
      <w:pPr>
        <w:pStyle w:val="Heading2"/>
        <w:spacing w:after="100" w:before="220"/>
      </w:pPr>
      <w:r>
        <w:t xml:space="preserve">9.3 ETSI TC ESI</w:t>
      </w:r>
    </w:p>
    <w:p>
      <w:pPr>
        <w:spacing w:after="120" w:line="276" w:lineRule="auto"/>
        <w:jc w:val="both"/>
      </w:pPr>
      <w:r>
        <w:rPr>
          <w:sz w:val="24"/>
          <w:szCs w:val="24"/>
        </w:rPr>
        <w:t xml:space="preserve">Target area: trust services and the EN 319 4xx framework underpinning eIDAS.</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TW-SP-03, TW-NF-03, TW-TL-04.</w:t>
      </w:r>
    </w:p>
    <w:p>
      <w:pPr>
        <w:pStyle w:val="ListParagraph"/>
        <w:numPr>
          <w:ilvl w:val="0"/>
          <w:numId w:val="3"/>
        </w:numPr>
        <w:spacing w:after="80" w:line="276" w:lineRule="auto"/>
        <w:jc w:val="both"/>
      </w:pPr>
      <w:r>
        <w:rPr>
          <w:b/>
          <w:bCs/>
          <w:sz w:val="24"/>
          <w:szCs w:val="24"/>
        </w:rPr>
        <w:t xml:space="preserve">Form. </w:t>
      </w:r>
      <w:r>
        <w:rPr>
          <w:sz w:val="24"/>
          <w:szCs w:val="24"/>
        </w:rPr>
        <w:t xml:space="preserve">Requirements input on sector-scale issuer/verifier trust establishment and on tourism attestation handling within the eIDAS trust framework.</w:t>
      </w:r>
    </w:p>
    <w:p>
      <w:pPr>
        <w:pStyle w:val="Heading2"/>
        <w:spacing w:after="100" w:before="220"/>
      </w:pPr>
      <w:r>
        <w:t xml:space="preserve">9.4 ETSI ISG PDL</w:t>
      </w:r>
    </w:p>
    <w:p>
      <w:pPr>
        <w:spacing w:after="120" w:line="276" w:lineRule="auto"/>
        <w:jc w:val="both"/>
      </w:pPr>
      <w:r>
        <w:rPr>
          <w:sz w:val="24"/>
          <w:szCs w:val="24"/>
        </w:rPr>
        <w:t xml:space="preserve">Target specifications: GS PDL 027 (user-centric identity / SSI) and GS PDL 033 (NFT standards).</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TW-F-03, TW-F-05, TW-TL-03.</w:t>
      </w:r>
    </w:p>
    <w:p>
      <w:pPr>
        <w:pStyle w:val="ListParagraph"/>
        <w:numPr>
          <w:ilvl w:val="0"/>
          <w:numId w:val="3"/>
        </w:numPr>
        <w:spacing w:after="80" w:line="276" w:lineRule="auto"/>
        <w:jc w:val="both"/>
      </w:pPr>
      <w:r>
        <w:rPr>
          <w:b/>
          <w:bCs/>
          <w:sz w:val="24"/>
          <w:szCs w:val="24"/>
        </w:rPr>
        <w:t xml:space="preserve">Form. </w:t>
      </w:r>
      <w:r>
        <w:rPr>
          <w:sz w:val="24"/>
          <w:szCs w:val="24"/>
        </w:rPr>
        <w:t xml:space="preserve">Requirements input on NFT-entitlement semantics, multi-step redemption and consumer-protection controls for permissioned-ledger tourism deployments.</w:t>
      </w:r>
    </w:p>
    <w:p>
      <w:pPr>
        <w:pStyle w:val="Heading2"/>
        <w:spacing w:after="100" w:before="220"/>
      </w:pPr>
      <w:r>
        <w:t xml:space="preserve">9.5 EU Digital Identity Wallet / eIDAS expert group</w:t>
      </w:r>
    </w:p>
    <w:p>
      <w:pPr>
        <w:spacing w:after="120" w:line="276" w:lineRule="auto"/>
        <w:jc w:val="both"/>
      </w:pPr>
      <w:r>
        <w:rPr>
          <w:sz w:val="24"/>
          <w:szCs w:val="24"/>
        </w:rPr>
        <w:t xml:space="preserve">Target: the Architecture and Reference Framework and the attestation-of-attributes work.</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TW-TL-04, TW-SP-03, TW-NF-04, TW-F-06.</w:t>
      </w:r>
    </w:p>
    <w:p>
      <w:pPr>
        <w:pStyle w:val="ListParagraph"/>
        <w:numPr>
          <w:ilvl w:val="0"/>
          <w:numId w:val="3"/>
        </w:numPr>
        <w:spacing w:after="80" w:line="276" w:lineRule="auto"/>
        <w:jc w:val="both"/>
      </w:pPr>
      <w:r>
        <w:rPr>
          <w:b/>
          <w:bCs/>
          <w:sz w:val="24"/>
          <w:szCs w:val="24"/>
        </w:rPr>
        <w:t xml:space="preserve">Form. </w:t>
      </w:r>
      <w:r>
        <w:rPr>
          <w:sz w:val="24"/>
          <w:szCs w:val="24"/>
        </w:rPr>
        <w:t xml:space="preserve">A tourism attestation profile proposal and accessibility input, contributed via the eIDAS expert process.</w:t>
      </w:r>
    </w:p>
    <w:p>
      <w:pPr>
        <w:pStyle w:val="ListParagraph"/>
        <w:numPr>
          <w:ilvl w:val="0"/>
          <w:numId w:val="3"/>
        </w:numPr>
        <w:spacing w:after="80" w:line="276" w:lineRule="auto"/>
        <w:jc w:val="both"/>
      </w:pPr>
      <w:r>
        <w:rPr>
          <w:b/>
          <w:bCs/>
          <w:sz w:val="24"/>
          <w:szCs w:val="24"/>
        </w:rPr>
        <w:t xml:space="preserve">Priority items. </w:t>
      </w:r>
      <w:r>
        <w:rPr>
          <w:sz w:val="24"/>
          <w:szCs w:val="24"/>
        </w:rPr>
        <w:t xml:space="preserve">TW-TL-04.</w:t>
      </w:r>
    </w:p>
    <w:p>
      <w:pPr>
        <w:pStyle w:val="Heading2"/>
        <w:spacing w:after="100" w:before="220"/>
      </w:pPr>
      <w:r>
        <w:t xml:space="preserve">9.6 OpenID Foundation and ISO/IEC 18013</w:t>
      </w:r>
    </w:p>
    <w:p>
      <w:pPr>
        <w:spacing w:after="120" w:line="276" w:lineRule="auto"/>
        <w:jc w:val="both"/>
      </w:pPr>
      <w:r>
        <w:rPr>
          <w:sz w:val="24"/>
          <w:szCs w:val="24"/>
        </w:rPr>
        <w:t xml:space="preserve">Target: the presentation-protocol layer (OpenID4VP) and the mdoc offline model (ISO/IEC 18013-5/-7).</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TW-NF-01, TW-NF-02, TW-F-07.</w:t>
      </w:r>
    </w:p>
    <w:p>
      <w:pPr>
        <w:pStyle w:val="ListParagraph"/>
        <w:numPr>
          <w:ilvl w:val="0"/>
          <w:numId w:val="3"/>
        </w:numPr>
        <w:spacing w:after="80" w:line="276" w:lineRule="auto"/>
        <w:jc w:val="both"/>
      </w:pPr>
      <w:r>
        <w:rPr>
          <w:b/>
          <w:bCs/>
          <w:sz w:val="24"/>
          <w:szCs w:val="24"/>
        </w:rPr>
        <w:t xml:space="preserve">Form. </w:t>
      </w:r>
      <w:r>
        <w:rPr>
          <w:sz w:val="24"/>
          <w:szCs w:val="24"/>
        </w:rPr>
        <w:t xml:space="preserve">A profile/requirements input for offline, high-throughput verification of tourism entitlements.</w:t>
      </w:r>
    </w:p>
    <w:p>
      <w:pPr>
        <w:pStyle w:val="ListParagraph"/>
        <w:numPr>
          <w:ilvl w:val="0"/>
          <w:numId w:val="3"/>
        </w:numPr>
        <w:spacing w:after="80" w:line="276" w:lineRule="auto"/>
        <w:jc w:val="both"/>
      </w:pPr>
      <w:r>
        <w:rPr>
          <w:b/>
          <w:bCs/>
          <w:sz w:val="24"/>
          <w:szCs w:val="24"/>
        </w:rPr>
        <w:t xml:space="preserve">Priority items. </w:t>
      </w:r>
      <w:r>
        <w:rPr>
          <w:sz w:val="24"/>
          <w:szCs w:val="24"/>
        </w:rPr>
        <w:t xml:space="preserve">TW-NF-01.</w:t>
      </w:r>
    </w:p>
    <w:p>
      <w:pPr>
        <w:pStyle w:val="Heading2"/>
        <w:spacing w:after="100" w:before="220"/>
      </w:pPr>
      <w:r>
        <w:t xml:space="preserve">9.7 Ethereum standards process</w:t>
      </w:r>
    </w:p>
    <w:p>
      <w:pPr>
        <w:spacing w:after="120" w:line="276" w:lineRule="auto"/>
        <w:jc w:val="both"/>
      </w:pPr>
      <w:r>
        <w:rPr>
          <w:sz w:val="24"/>
          <w:szCs w:val="24"/>
        </w:rPr>
        <w:t xml:space="preserve">Target: the ERC process, including account abstraction (ERC-4337) and the entitlement-bearing token standards.</w:t>
      </w:r>
    </w:p>
    <w:p>
      <w:pPr>
        <w:pStyle w:val="ListParagraph"/>
        <w:numPr>
          <w:ilvl w:val="0"/>
          <w:numId w:val="3"/>
        </w:numPr>
        <w:spacing w:after="80" w:line="276" w:lineRule="auto"/>
        <w:jc w:val="both"/>
      </w:pPr>
      <w:r>
        <w:rPr>
          <w:b/>
          <w:bCs/>
          <w:sz w:val="24"/>
          <w:szCs w:val="24"/>
        </w:rPr>
        <w:t xml:space="preserve">Requirements. </w:t>
      </w:r>
      <w:r>
        <w:rPr>
          <w:sz w:val="24"/>
          <w:szCs w:val="24"/>
        </w:rPr>
        <w:t xml:space="preserve">TW-TL-02, TW-F-04 (ERC-4907 alignment), TW-F-05 (ERC-6672 alignment), TW-TL-03 (ERC-5192 alignment).</w:t>
      </w:r>
    </w:p>
    <w:p>
      <w:pPr>
        <w:pStyle w:val="ListParagraph"/>
        <w:numPr>
          <w:ilvl w:val="0"/>
          <w:numId w:val="3"/>
        </w:numPr>
        <w:spacing w:after="80" w:line="276" w:lineRule="auto"/>
        <w:jc w:val="both"/>
      </w:pPr>
      <w:r>
        <w:rPr>
          <w:b/>
          <w:bCs/>
          <w:sz w:val="24"/>
          <w:szCs w:val="24"/>
        </w:rPr>
        <w:t xml:space="preserve">Form. </w:t>
      </w:r>
      <w:r>
        <w:rPr>
          <w:sz w:val="24"/>
          <w:szCs w:val="24"/>
        </w:rPr>
        <w:t xml:space="preserve">A technical note on a non-custodial recovery profile and on binding token-level behaviours to the credential layer.</w:t>
      </w:r>
    </w:p>
    <w:p>
      <w:pPr>
        <w:pageBreakBefore/>
      </w:pPr>
    </w:p>
    <w:p>
      <w:pPr>
        <w:pStyle w:val="Heading1"/>
        <w:spacing w:after="140" w:before="320"/>
      </w:pPr>
      <w:r>
        <w:t xml:space="preserve">10. Open issues for SDO discussion</w:t>
      </w:r>
    </w:p>
    <w:p>
      <w:pPr>
        <w:spacing w:after="120" w:line="276" w:lineRule="auto"/>
        <w:jc w:val="both"/>
      </w:pPr>
      <w:r>
        <w:rPr>
          <w:sz w:val="24"/>
          <w:szCs w:val="24"/>
        </w:rPr>
        <w:t xml:space="preserve">The following are deliberately left open. They are not omissions but questions whose resolution requires the consensus of the receiving bodies, operators and data-protection authorities, and they are offered as discussion items for Phase 2.</w:t>
      </w:r>
    </w:p>
    <w:p>
      <w:pPr>
        <w:pStyle w:val="ListParagraph"/>
        <w:numPr>
          <w:ilvl w:val="0"/>
          <w:numId w:val="3"/>
        </w:numPr>
        <w:spacing w:after="80" w:line="276" w:lineRule="auto"/>
        <w:jc w:val="both"/>
      </w:pPr>
      <w:r>
        <w:rPr>
          <w:b/>
          <w:bCs/>
          <w:sz w:val="24"/>
          <w:szCs w:val="24"/>
        </w:rPr>
        <w:t xml:space="preserve">O-1 Non-custody versus recoverability. </w:t>
      </w:r>
      <w:r>
        <w:rPr>
          <w:sz w:val="24"/>
          <w:szCs w:val="24"/>
        </w:rPr>
        <w:t xml:space="preserve">Which recovery models (for example, social recovery or threshold schemes via account abstraction) are acceptable while preserving the non-custodial property in substance, not only in form? (TW-TL-01, TW-TL-02.)</w:t>
      </w:r>
    </w:p>
    <w:p>
      <w:pPr>
        <w:pStyle w:val="ListParagraph"/>
        <w:numPr>
          <w:ilvl w:val="0"/>
          <w:numId w:val="3"/>
        </w:numPr>
        <w:spacing w:after="80" w:line="276" w:lineRule="auto"/>
        <w:jc w:val="both"/>
      </w:pPr>
      <w:r>
        <w:rPr>
          <w:b/>
          <w:bCs/>
          <w:sz w:val="24"/>
          <w:szCs w:val="24"/>
        </w:rPr>
        <w:t xml:space="preserve">O-2 Transferable versus non-transferable. </w:t>
      </w:r>
      <w:r>
        <w:rPr>
          <w:sz w:val="24"/>
          <w:szCs w:val="24"/>
        </w:rPr>
        <w:t xml:space="preserve">What should the default transfer model be, and how should consumer-protection constraints be expressed so they are enforceable yet not anti-competitive? (TW-TL-03.)</w:t>
      </w:r>
    </w:p>
    <w:p>
      <w:pPr>
        <w:pStyle w:val="ListParagraph"/>
        <w:numPr>
          <w:ilvl w:val="0"/>
          <w:numId w:val="3"/>
        </w:numPr>
        <w:spacing w:after="80" w:line="276" w:lineRule="auto"/>
        <w:jc w:val="both"/>
      </w:pPr>
      <w:r>
        <w:rPr>
          <w:b/>
          <w:bCs/>
          <w:sz w:val="24"/>
          <w:szCs w:val="24"/>
        </w:rPr>
        <w:t xml:space="preserve">O-3 Offline assurance levels. </w:t>
      </w:r>
      <w:r>
        <w:rPr>
          <w:sz w:val="24"/>
          <w:szCs w:val="24"/>
        </w:rPr>
        <w:t xml:space="preserve">A tiered model of offline verification assurance is needed, defining what guarantees hold without connectivity and for how long. (TW-NF-01, TW-SP-04.)</w:t>
      </w:r>
    </w:p>
    <w:p>
      <w:pPr>
        <w:pStyle w:val="ListParagraph"/>
        <w:numPr>
          <w:ilvl w:val="0"/>
          <w:numId w:val="3"/>
        </w:numPr>
        <w:spacing w:after="80" w:line="276" w:lineRule="auto"/>
        <w:jc w:val="both"/>
      </w:pPr>
      <w:r>
        <w:rPr>
          <w:b/>
          <w:bCs/>
          <w:sz w:val="24"/>
          <w:szCs w:val="24"/>
        </w:rPr>
        <w:t xml:space="preserve">O-4 Performance targets. </w:t>
      </w:r>
      <w:r>
        <w:rPr>
          <w:sz w:val="24"/>
          <w:szCs w:val="24"/>
        </w:rPr>
        <w:t xml:space="preserve">Concrete latency and throughput targets must be set with operators for representative peak scenarios. (TW-NF-02.)</w:t>
      </w:r>
    </w:p>
    <w:p>
      <w:pPr>
        <w:pStyle w:val="ListParagraph"/>
        <w:numPr>
          <w:ilvl w:val="0"/>
          <w:numId w:val="3"/>
        </w:numPr>
        <w:spacing w:after="80" w:line="276" w:lineRule="auto"/>
        <w:jc w:val="both"/>
      </w:pPr>
      <w:r>
        <w:rPr>
          <w:b/>
          <w:bCs/>
          <w:sz w:val="24"/>
          <w:szCs w:val="24"/>
        </w:rPr>
        <w:t xml:space="preserve">O-5 Minimal attribute sets. </w:t>
      </w:r>
      <w:r>
        <w:rPr>
          <w:sz w:val="24"/>
          <w:szCs w:val="24"/>
        </w:rPr>
        <w:t xml:space="preserve">Minimal disclosure sets per purpose should be co-defined with operators and data-protection authorities. (TW-SP-01.)</w:t>
      </w:r>
    </w:p>
    <w:p>
      <w:pPr>
        <w:pStyle w:val="ListParagraph"/>
        <w:numPr>
          <w:ilvl w:val="0"/>
          <w:numId w:val="3"/>
        </w:numPr>
        <w:spacing w:after="80" w:line="276" w:lineRule="auto"/>
        <w:jc w:val="both"/>
      </w:pPr>
      <w:r>
        <w:rPr>
          <w:b/>
          <w:bCs/>
          <w:sz w:val="24"/>
          <w:szCs w:val="24"/>
        </w:rPr>
        <w:t xml:space="preserve">O-6 Trust-list scaling. </w:t>
      </w:r>
      <w:r>
        <w:rPr>
          <w:sz w:val="24"/>
          <w:szCs w:val="24"/>
        </w:rPr>
        <w:t xml:space="preserve">A mechanism is needed to establish trust for the very large, dynamic population of tourism issuers and verifiers across borders. (TW-SP-03.)</w:t>
      </w:r>
    </w:p>
    <w:p>
      <w:pPr>
        <w:pageBreakBefore/>
      </w:pPr>
    </w:p>
    <w:p>
      <w:pPr>
        <w:pStyle w:val="Heading1"/>
        <w:spacing w:after="140" w:before="320"/>
      </w:pPr>
      <w:r>
        <w:t xml:space="preserve">11. Conclusion and next steps</w:t>
      </w:r>
    </w:p>
    <w:p>
      <w:pPr>
        <w:spacing w:after="120" w:line="276" w:lineRule="auto"/>
        <w:jc w:val="both"/>
      </w:pPr>
      <w:r>
        <w:rPr>
          <w:sz w:val="24"/>
          <w:szCs w:val="24"/>
        </w:rPr>
        <w:t xml:space="preserve">This document converts the analysis of D1.1 into a structured, normative requirements set that can be contributed to standardisation with minimal reshaping. The twenty requirements are atomic, individually verifiable, and each is routed to a specific body and work item. Five priority requirements concentrate the fellowship’s Phase-2 effort on the highest-leverage gaps.</w:t>
      </w:r>
    </w:p>
    <w:p>
      <w:pPr>
        <w:spacing w:after="120" w:line="276" w:lineRule="auto"/>
        <w:jc w:val="both"/>
      </w:pPr>
      <w:r>
        <w:rPr>
          <w:sz w:val="24"/>
          <w:szCs w:val="24"/>
        </w:rPr>
        <w:t xml:space="preserve">The immediate next steps for Phase 2 are: to prepare the W3C use-case and credential-profile contribution and the credential–token binding note (TW-F-01/03/04); to submit the interoperability and privacy inputs to ISO/TC 307 and JWG 4 (TW-F-03, TW-SP-01); to open the offline-verification profile discussion with the OpenID Foundation and the ISO/IEC 18013 community (TW-NF-01); and to bring the tourism attestation profile to the eIDAS expert process (TW-TL-04). The open issues in section 10 will be tabled as discussion items, and the open-source reference implementation planned for Phase 2 will be used to demonstrate the priority requirements and to provide evidence for the contributions.</w:t>
      </w:r>
    </w:p>
    <w:p>
      <w:pPr>
        <w:pageBreakBefore/>
      </w:pPr>
    </w:p>
    <w:p>
      <w:pPr>
        <w:pStyle w:val="Heading1"/>
        <w:spacing w:after="140" w:before="320"/>
      </w:pPr>
      <w:r>
        <w:t xml:space="preserve">Annex A — Requirement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cantSplit/>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ID</w:t>
            </w:r>
          </w:p>
        </w:tc>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Modal</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Statement (summary)</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TW-F-01</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Hold tourism entitlements as platform-independent, issuer-signed verifiable objects.</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TW-F-02</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Use a shared, machine-readable vocabulary for entitlement types and attributes.</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TW-F-03</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Standard binding between credential and ledger-token representations of an entitlement.</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TW-F-04</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Machine-evaluable, offline-checkable time/venue validity constraints.</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TW-F-05</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Interoperable recording/verification of (multi-step) redemption.</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TW-F-06</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Group/family holding and delegated presentation with verifiable linkage.</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TW-F-07</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Selective disclosure of only the required attributes.</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TW-NF-01</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Offline verification to a defined assurance level.</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TW-NF-02</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Bounded verification latency at peak; no queue-scaling round-trips.</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TW-NF-03</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Cross-border verification, unchanged, with coded semantics.</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TW-NF-04</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Accessible presentation/verification (European Accessibility Act).</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TW-SP-01</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Disclose only an agreed minimal attribute set per purpose.</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TW-SP-02</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Limit cross-verifier correlation of the holder.</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TW-SP-03</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eIDAS-aligned, sector-scale issuer/verifier trust establishment.</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TW-SP-04</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Timely, privacy-preserving revocation/suspension and status check.</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TW-SP-05</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Privacy-preserving proof of use/non-use for disputes.</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TW-TL-01</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Holder retains sole, revocable control of keys and credentials.</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TW-TL-02</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Recovery after device loss without third-party custody.</w:t>
            </w:r>
          </w:p>
        </w:tc>
      </w:tr>
      <w:tr>
        <w:trPr>
          <w:cantSplit/>
        </w:trP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TW-TL-03</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Expressible/enforceable transfer, resale, refund and withdrawal states.</w:t>
            </w:r>
          </w:p>
        </w:tc>
      </w:tr>
      <w:tr>
        <w:trPr>
          <w:cantSplit/>
        </w:trP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TW-TL-04</w:t>
            </w:r>
          </w:p>
        </w:tc>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Tourism attestations expressible as EUDI-compatible attestations of attributes.</w:t>
            </w:r>
          </w:p>
        </w:tc>
      </w:tr>
    </w:tbl>
    <w:p>
      <w:pPr>
        <w:pageBreakBefore/>
      </w:pPr>
    </w:p>
    <w:p>
      <w:pPr>
        <w:pStyle w:val="Heading1"/>
        <w:spacing w:after="140" w:before="320"/>
      </w:pPr>
      <w:r>
        <w:t xml:space="preserve">Annex B — RFC 2119 to ISO verbal-form mapping</w:t>
      </w:r>
    </w:p>
    <w:p>
      <w:pPr>
        <w:spacing w:after="120" w:line="276" w:lineRule="auto"/>
        <w:jc w:val="both"/>
      </w:pPr>
      <w:r>
        <w:rPr>
          <w:sz w:val="24"/>
          <w:szCs w:val="24"/>
        </w:rPr>
        <w:t xml:space="preserve">Requirements in this document use RFC 2119 / BCP 14 key words. When a requirement is contributed to a body that drafts to the ISO/IEC Directives Part 2, the key word should be substituted as below, without changing the requirement’s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rPr>
          <w:cantSplit/>
          <w:tblHeader/>
        </w:trPr>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RFC 2119 / BCP 14</w:t>
            </w:r>
          </w:p>
        </w:tc>
        <w:tc>
          <w:tcPr>
            <w:tcW w:type="dxa" w:w="31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ISO/IEC Directives Part 2</w:t>
            </w:r>
          </w:p>
        </w:tc>
        <w:tc>
          <w:tcPr>
            <w:tcW w:type="dxa" w:w="31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20" w:line="252" w:lineRule="auto"/>
              <w:jc w:val="left"/>
            </w:pPr>
            <w:r>
              <w:rPr>
                <w:b/>
                <w:bCs/>
                <w:color w:val="FFFFFF"/>
                <w:sz w:val="18"/>
                <w:szCs w:val="18"/>
              </w:rPr>
              <w:t xml:space="preserve">Meaning</w:t>
            </w:r>
          </w:p>
        </w:tc>
      </w:tr>
      <w:tr>
        <w:trPr>
          <w:cantSplit/>
        </w:trP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REQUIRED, SHALL</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shall</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Absolute requirement</w:t>
            </w:r>
          </w:p>
        </w:tc>
      </w:tr>
      <w:tr>
        <w:trPr>
          <w:cantSplit/>
        </w:trPr>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MUST NOT, SHALL NOT</w:t>
            </w:r>
          </w:p>
        </w:tc>
        <w:tc>
          <w:tcPr>
            <w:tcW w:type="dxa" w:w="313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shall not</w:t>
            </w:r>
          </w:p>
        </w:tc>
        <w:tc>
          <w:tcPr>
            <w:tcW w:type="dxa" w:w="313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Absolute prohibition</w:t>
            </w:r>
          </w:p>
        </w:tc>
      </w:tr>
      <w:tr>
        <w:trPr>
          <w:cantSplit/>
        </w:trP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 RECOMMENDED</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Recommendation; deviations permitted with justification</w:t>
            </w:r>
          </w:p>
        </w:tc>
      </w:tr>
      <w:tr>
        <w:trPr>
          <w:cantSplit/>
        </w:trPr>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 NOT, NOT RECOMMENDED</w:t>
            </w:r>
          </w:p>
        </w:tc>
        <w:tc>
          <w:tcPr>
            <w:tcW w:type="dxa" w:w="313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should not</w:t>
            </w:r>
          </w:p>
        </w:tc>
        <w:tc>
          <w:tcPr>
            <w:tcW w:type="dxa" w:w="313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Discouraged; deviations permitted with justification</w:t>
            </w:r>
          </w:p>
        </w:tc>
      </w:tr>
      <w:tr>
        <w:trPr>
          <w:cantSplit/>
        </w:trP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 OPTIONAL</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may</w:t>
            </w:r>
          </w:p>
        </w:tc>
        <w:tc>
          <w:tcPr>
            <w:tcW w:type="dxa" w:w="313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52" w:lineRule="auto"/>
              <w:jc w:val="left"/>
            </w:pPr>
            <w:r>
              <w:rPr>
                <w:b w:val="false"/>
                <w:bCs w:val="false"/>
                <w:sz w:val="18"/>
                <w:szCs w:val="18"/>
              </w:rPr>
              <w:t xml:space="preserve">Permission; truly optional</w:t>
            </w:r>
          </w:p>
        </w:tc>
      </w:tr>
    </w:tbl>
    <w:p>
      <w:pPr>
        <w:spacing w:after="60"/>
      </w:pPr>
    </w:p>
    <w:p>
      <w:pPr>
        <w:spacing w:after="120" w:line="276" w:lineRule="auto"/>
        <w:jc w:val="both"/>
      </w:pPr>
      <w:r>
        <w:rPr>
          <w:i/>
          <w:iCs/>
          <w:color w:val="595959"/>
          <w:sz w:val="19"/>
          <w:szCs w:val="19"/>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tabs>
        <w:tab w:val="right" w:pos="9026"/>
      </w:tabs>
    </w:pPr>
    <w:r>
      <w:rPr>
        <w:color w:val="595959"/>
        <w:sz w:val="16"/>
        <w:szCs w:val="16"/>
      </w:rPr>
      <w:t xml:space="preserve">StandICT.eu 2029 · 2029-01-1530 · D1.2</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StandICT.eu 2029 · 2029-01-1530 · D1.2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pPr>
    <w:r>
      <w:rPr>
        <w:color w:val="595959"/>
        <w:sz w:val="16"/>
        <w:szCs w:val="16"/>
      </w:rPr>
      <w:t xml:space="preserve">Requirements for Non-Custodial Tourism Wallets — Submission to Standards Bodies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for Non-Custodial Tourism Wallets - Submission to SDOs</dc:title>
  <dc:creator>Hugo Perez</dc:creator>
  <dc:description>StandICT.eu 2029 Fellowship 2029-01-1530 - Deliverable D1.2</dc:description>
  <cp:lastModifiedBy>Un-named</cp:lastModifiedBy>
  <cp:revision>1</cp:revision>
  <dcterms:created xsi:type="dcterms:W3CDTF">2026-05-31T15:31:07.827Z</dcterms:created>
  <dcterms:modified xsi:type="dcterms:W3CDTF">2026-05-31T15:31:07.827Z</dcterms:modified>
</cp:coreProperties>
</file>

<file path=docProps/custom.xml><?xml version="1.0" encoding="utf-8"?>
<Properties xmlns="http://schemas.openxmlformats.org/officeDocument/2006/custom-properties" xmlns:vt="http://schemas.openxmlformats.org/officeDocument/2006/docPropsVTypes"/>
</file>