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left"/>
      </w:pPr>
      <w:r>
        <w:rPr>
          <w:b/>
          <w:bCs/>
          <w:color w:val="2E5496"/>
          <w:sz w:val="24"/>
          <w:szCs w:val="24"/>
        </w:rPr>
        <w:t xml:space="preserve">StandICT.eu 2029 — 1st Open Call</w:t>
      </w:r>
    </w:p>
    <w:p>
      <w:pPr>
        <w:pBdr>
          <w:bottom w:val="single" w:color="1F3864" w:sz="8" w:space="6"/>
        </w:pBdr>
        <w:spacing w:after="480"/>
      </w:pPr>
      <w:r>
        <w:rPr>
          <w:color w:val="595959"/>
          <w:sz w:val="22"/>
          <w:szCs w:val="22"/>
        </w:rPr>
        <w:t xml:space="preserve">Fellowship Project 2029-01-1530</w:t>
      </w:r>
    </w:p>
    <w:p>
      <w:pPr>
        <w:spacing w:after="120"/>
      </w:pPr>
      <w:r>
        <w:rPr>
          <w:b/>
          <w:bCs/>
          <w:color w:val="1F3864"/>
          <w:sz w:val="44"/>
          <w:szCs w:val="44"/>
        </w:rPr>
        <w:t xml:space="preserve">Technical Report:</w:t>
      </w:r>
    </w:p>
    <w:p>
      <w:pPr>
        <w:spacing w:after="360"/>
      </w:pPr>
      <w:r>
        <w:rPr>
          <w:b/>
          <w:bCs/>
          <w:color w:val="1F3864"/>
          <w:sz w:val="40"/>
          <w:szCs w:val="40"/>
        </w:rPr>
        <w:t xml:space="preserve">State of the Art and Standards Gaps for Non-Custodial Tourism Wallets</w:t>
      </w:r>
    </w:p>
    <w:p>
      <w:pPr>
        <w:spacing w:after="80"/>
      </w:pPr>
      <w:r>
        <w:rPr>
          <w:b/>
          <w:bCs/>
          <w:sz w:val="24"/>
          <w:szCs w:val="24"/>
        </w:rPr>
        <w:t xml:space="preserve">Project: Standardizing Non-Custodial Wallet Infrastructure for Tourism</w:t>
      </w:r>
    </w:p>
    <w:p>
      <w:pPr>
        <w:spacing w:after="80"/>
      </w:pPr>
      <w:r>
        <w:rPr>
          <w:color w:val="595959"/>
          <w:sz w:val="22"/>
          <w:szCs w:val="22"/>
        </w:rPr>
        <w:t xml:space="preserve">Phase 1 — Analysis and Requirements Definition · Deliverable D1.1</w:t>
      </w:r>
    </w:p>
    <w:p>
      <w:pPr>
        <w:spacing w:after="480"/>
      </w:pPr>
      <w:r>
        <w:rPr>
          <w:color w:val="595959"/>
          <w:sz w:val="22"/>
          <w:szCs w:val="22"/>
        </w:rPr>
        <w:t xml:space="preserve">Mid-term reporting period · May 2026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Value</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Fellow</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Organisation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KODE de Hugo A Perez S. SL (Spain)</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Call</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StandICT.eu 2029 — 1st Open Call</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Application ID</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2029-01-1530</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Main topic</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Innovation for the Digital Single Market — Blockchain and Distributed Ledger Technologies</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Target SSO(s)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W3C/ERCIM; ISO/IEC (ISO/TC 307); ETSI</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Dissemination level</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Public</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Deliverable type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Technical report (state of the art and standards gap analysis)</w:t>
            </w:r>
          </w:p>
        </w:tc>
      </w:tr>
    </w:tbl>
    <w:p>
      <w:pPr>
        <w:pageBreakBefore/>
      </w:pPr>
    </w:p>
    <w:p>
      <w:pPr>
        <w:pStyle w:val="Heading1"/>
        <w:spacing w:after="140" w:before="32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Item</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title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State of the Art and Standards Gaps for Non-Custodial Tourism Wallets</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Deliverable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D1.1 (Phase 1 — Analysis and Requirements Definition)</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Version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1.0</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Author</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Final — mid-term reporting period</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Related deliverables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D1.2 Requirements and use-cases document (this report provides its analytical input)</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Source currency</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Standards statuses verified against public SDO catalogues and specifications as of May 2026</w:t>
            </w:r>
          </w:p>
        </w:tc>
      </w:tr>
    </w:tbl>
    <w:p>
      <w:pPr>
        <w:spacing w:after="60"/>
      </w:pPr>
    </w:p>
    <w:p>
      <w:pPr>
        <w:spacing w:after="80" w:before="120"/>
      </w:pPr>
      <w:r>
        <w:rPr>
          <w:b/>
          <w:bCs/>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cantSplit/>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Version</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Date</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Notes</w:t>
            </w:r>
          </w:p>
        </w:tc>
      </w:tr>
      <w:tr>
        <w:trPr>
          <w:cantSplit/>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0.1</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Apr 2026</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Internal draft — standards inventory and requirements</w:t>
            </w:r>
          </w:p>
        </w:tc>
      </w:tr>
      <w:tr>
        <w:trPr>
          <w:cantSplit/>
        </w:trPr>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0.9</w:t>
            </w:r>
          </w:p>
        </w:tc>
        <w:tc>
          <w:tcPr>
            <w:tcW w:type="dxa" w:w="1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Gap analysis and EU policy mapping added</w:t>
            </w:r>
          </w:p>
        </w:tc>
      </w:tr>
      <w:tr>
        <w:trPr>
          <w:cantSplit/>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1.0</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Finalised for mid-term reporting period</w:t>
            </w:r>
          </w:p>
        </w:tc>
      </w:tr>
    </w:tbl>
    <w:p>
      <w:pPr>
        <w:pageBreakBefore/>
      </w:pPr>
    </w:p>
    <w:p>
      <w:pPr>
        <w:pStyle w:val="Heading1"/>
        <w:spacing w:after="140" w:before="320"/>
      </w:pPr>
      <w:r>
        <w:t xml:space="preserve">Table of contents</w:t>
      </w:r>
    </w:p>
    <w:p>
      <w:pPr>
        <w:tabs>
          <w:tab w:val="right" w:pos="9360" w:leader="dot"/>
        </w:tabs>
        <w:spacing w:after="40" w:line="264" w:lineRule="auto"/>
        <w:ind w:left="0"/>
      </w:pPr>
      <w:r>
        <w:rPr>
          <w:b/>
          <w:bCs/>
          <w:color w:val="1F3864"/>
          <w:sz w:val="22"/>
          <w:szCs w:val="22"/>
        </w:rPr>
        <w:t xml:space="preserve">Executive summary</w:t>
      </w:r>
      <w:r>
        <w:rPr>
          <w:sz w:val="21"/>
          <w:szCs w:val="21"/>
        </w:rPr>
        <w:t xml:space="preserve">	4</w:t>
      </w:r>
    </w:p>
    <w:p>
      <w:pPr>
        <w:tabs>
          <w:tab w:val="right" w:pos="9360" w:leader="dot"/>
        </w:tabs>
        <w:spacing w:after="40" w:line="264" w:lineRule="auto"/>
        <w:ind w:left="0"/>
      </w:pPr>
      <w:r>
        <w:rPr>
          <w:b/>
          <w:bCs/>
          <w:color w:val="1F3864"/>
          <w:sz w:val="22"/>
          <w:szCs w:val="22"/>
        </w:rPr>
        <w:t xml:space="preserve">1. Introduction</w:t>
      </w:r>
      <w:r>
        <w:rPr>
          <w:sz w:val="21"/>
          <w:szCs w:val="21"/>
        </w:rPr>
        <w:t xml:space="preserve">	6</w:t>
      </w:r>
    </w:p>
    <w:p>
      <w:pPr>
        <w:tabs>
          <w:tab w:val="right" w:pos="9360" w:leader="dot"/>
        </w:tabs>
        <w:spacing w:after="40" w:line="264" w:lineRule="auto"/>
        <w:ind w:left="360"/>
      </w:pPr>
      <w:r>
        <w:rPr>
          <w:b w:val="false"/>
          <w:bCs w:val="false"/>
          <w:color w:val="000000"/>
          <w:sz w:val="21"/>
          <w:szCs w:val="21"/>
        </w:rPr>
        <w:t xml:space="preserve">1.1 Purpose and scope</w:t>
      </w:r>
      <w:r>
        <w:rPr>
          <w:sz w:val="21"/>
          <w:szCs w:val="21"/>
        </w:rPr>
        <w:t xml:space="preserve">	6</w:t>
      </w:r>
    </w:p>
    <w:p>
      <w:pPr>
        <w:tabs>
          <w:tab w:val="right" w:pos="9360" w:leader="dot"/>
        </w:tabs>
        <w:spacing w:after="40" w:line="264" w:lineRule="auto"/>
        <w:ind w:left="360"/>
      </w:pPr>
      <w:r>
        <w:rPr>
          <w:b w:val="false"/>
          <w:bCs w:val="false"/>
          <w:color w:val="000000"/>
          <w:sz w:val="21"/>
          <w:szCs w:val="21"/>
        </w:rPr>
        <w:t xml:space="preserve">1.2 Position in the workplan</w:t>
      </w:r>
      <w:r>
        <w:rPr>
          <w:sz w:val="21"/>
          <w:szCs w:val="21"/>
        </w:rPr>
        <w:t xml:space="preserve">	6</w:t>
      </w:r>
    </w:p>
    <w:p>
      <w:pPr>
        <w:tabs>
          <w:tab w:val="right" w:pos="9360" w:leader="dot"/>
        </w:tabs>
        <w:spacing w:after="40" w:line="264" w:lineRule="auto"/>
        <w:ind w:left="360"/>
      </w:pPr>
      <w:r>
        <w:rPr>
          <w:b w:val="false"/>
          <w:bCs w:val="false"/>
          <w:color w:val="000000"/>
          <w:sz w:val="21"/>
          <w:szCs w:val="21"/>
        </w:rPr>
        <w:t xml:space="preserve">1.3 Methodology</w:t>
      </w:r>
      <w:r>
        <w:rPr>
          <w:sz w:val="21"/>
          <w:szCs w:val="21"/>
        </w:rPr>
        <w:t xml:space="preserve">	6</w:t>
      </w:r>
    </w:p>
    <w:p>
      <w:pPr>
        <w:tabs>
          <w:tab w:val="right" w:pos="9360" w:leader="dot"/>
        </w:tabs>
        <w:spacing w:after="40" w:line="264" w:lineRule="auto"/>
        <w:ind w:left="360"/>
      </w:pPr>
      <w:r>
        <w:rPr>
          <w:b w:val="false"/>
          <w:bCs w:val="false"/>
          <w:color w:val="000000"/>
          <w:sz w:val="21"/>
          <w:szCs w:val="21"/>
        </w:rPr>
        <w:t xml:space="preserve">1.4 Terminology</w:t>
      </w:r>
      <w:r>
        <w:rPr>
          <w:sz w:val="21"/>
          <w:szCs w:val="21"/>
        </w:rPr>
        <w:t xml:space="preserve">	7</w:t>
      </w:r>
    </w:p>
    <w:p>
      <w:pPr>
        <w:tabs>
          <w:tab w:val="right" w:pos="9360" w:leader="dot"/>
        </w:tabs>
        <w:spacing w:after="40" w:line="264" w:lineRule="auto"/>
        <w:ind w:left="0"/>
      </w:pPr>
      <w:r>
        <w:rPr>
          <w:b/>
          <w:bCs/>
          <w:color w:val="1F3864"/>
          <w:sz w:val="22"/>
          <w:szCs w:val="22"/>
        </w:rPr>
        <w:t xml:space="preserve">2. Domain context: blockchain and digital wallets in tourism</w:t>
      </w:r>
      <w:r>
        <w:rPr>
          <w:sz w:val="21"/>
          <w:szCs w:val="21"/>
        </w:rPr>
        <w:t xml:space="preserve">	8</w:t>
      </w:r>
    </w:p>
    <w:p>
      <w:pPr>
        <w:tabs>
          <w:tab w:val="right" w:pos="9360" w:leader="dot"/>
        </w:tabs>
        <w:spacing w:after="40" w:line="264" w:lineRule="auto"/>
        <w:ind w:left="360"/>
      </w:pPr>
      <w:r>
        <w:rPr>
          <w:b w:val="false"/>
          <w:bCs w:val="false"/>
          <w:color w:val="000000"/>
          <w:sz w:val="21"/>
          <w:szCs w:val="21"/>
        </w:rPr>
        <w:t xml:space="preserve">2.1 Why tourism is a distinctive standardisation environment</w:t>
      </w:r>
      <w:r>
        <w:rPr>
          <w:sz w:val="21"/>
          <w:szCs w:val="21"/>
        </w:rPr>
        <w:t xml:space="preserve">	8</w:t>
      </w:r>
    </w:p>
    <w:p>
      <w:pPr>
        <w:tabs>
          <w:tab w:val="right" w:pos="9360" w:leader="dot"/>
        </w:tabs>
        <w:spacing w:after="40" w:line="264" w:lineRule="auto"/>
        <w:ind w:left="360"/>
      </w:pPr>
      <w:r>
        <w:rPr>
          <w:b w:val="false"/>
          <w:bCs w:val="false"/>
          <w:color w:val="000000"/>
          <w:sz w:val="21"/>
          <w:szCs w:val="21"/>
        </w:rPr>
        <w:t xml:space="preserve">2.2 Current market practice</w:t>
      </w:r>
      <w:r>
        <w:rPr>
          <w:sz w:val="21"/>
          <w:szCs w:val="21"/>
        </w:rPr>
        <w:t xml:space="preserve">	8</w:t>
      </w:r>
    </w:p>
    <w:p>
      <w:pPr>
        <w:tabs>
          <w:tab w:val="right" w:pos="9360" w:leader="dot"/>
        </w:tabs>
        <w:spacing w:after="40" w:line="264" w:lineRule="auto"/>
        <w:ind w:left="360"/>
      </w:pPr>
      <w:r>
        <w:rPr>
          <w:b w:val="false"/>
          <w:bCs w:val="false"/>
          <w:color w:val="000000"/>
          <w:sz w:val="21"/>
          <w:szCs w:val="21"/>
        </w:rPr>
        <w:t xml:space="preserve">2.3 The non-custodial proposition and its frictions</w:t>
      </w:r>
      <w:r>
        <w:rPr>
          <w:sz w:val="21"/>
          <w:szCs w:val="21"/>
        </w:rPr>
        <w:t xml:space="preserve">	9</w:t>
      </w:r>
    </w:p>
    <w:p>
      <w:pPr>
        <w:tabs>
          <w:tab w:val="right" w:pos="9360" w:leader="dot"/>
        </w:tabs>
        <w:spacing w:after="40" w:line="264" w:lineRule="auto"/>
        <w:ind w:left="360"/>
      </w:pPr>
      <w:r>
        <w:rPr>
          <w:b w:val="false"/>
          <w:bCs w:val="false"/>
          <w:color w:val="000000"/>
          <w:sz w:val="21"/>
          <w:szCs w:val="21"/>
        </w:rPr>
        <w:t xml:space="preserve">2.4 Representative tourism use cases</w:t>
      </w:r>
      <w:r>
        <w:rPr>
          <w:sz w:val="21"/>
          <w:szCs w:val="21"/>
        </w:rPr>
        <w:t xml:space="preserve">	9</w:t>
      </w:r>
    </w:p>
    <w:p>
      <w:pPr>
        <w:tabs>
          <w:tab w:val="right" w:pos="9360" w:leader="dot"/>
        </w:tabs>
        <w:spacing w:after="40" w:line="264" w:lineRule="auto"/>
        <w:ind w:left="0"/>
      </w:pPr>
      <w:r>
        <w:rPr>
          <w:b/>
          <w:bCs/>
          <w:color w:val="1F3864"/>
          <w:sz w:val="22"/>
          <w:szCs w:val="22"/>
        </w:rPr>
        <w:t xml:space="preserve">3. State of the art: the standards landscape</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3.1 W3C identity and credential stack</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3.2 Credential exchange protocols</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3.3 ISO/IEC — ISO/TC 307 and JTC 1/SC 27 JWG 4</w:t>
      </w:r>
      <w:r>
        <w:rPr>
          <w:sz w:val="21"/>
          <w:szCs w:val="21"/>
        </w:rPr>
        <w:t xml:space="preserve">	12</w:t>
      </w:r>
    </w:p>
    <w:p>
      <w:pPr>
        <w:tabs>
          <w:tab w:val="right" w:pos="9360" w:leader="dot"/>
        </w:tabs>
        <w:spacing w:after="40" w:line="264" w:lineRule="auto"/>
        <w:ind w:left="360"/>
      </w:pPr>
      <w:r>
        <w:rPr>
          <w:b w:val="false"/>
          <w:bCs w:val="false"/>
          <w:color w:val="000000"/>
          <w:sz w:val="21"/>
          <w:szCs w:val="21"/>
        </w:rPr>
        <w:t xml:space="preserve">3.4 ETSI — TC ESI and ISG PDL</w:t>
      </w:r>
      <w:r>
        <w:rPr>
          <w:sz w:val="21"/>
          <w:szCs w:val="21"/>
        </w:rPr>
        <w:t xml:space="preserve">	13</w:t>
      </w:r>
    </w:p>
    <w:p>
      <w:pPr>
        <w:tabs>
          <w:tab w:val="right" w:pos="9360" w:leader="dot"/>
        </w:tabs>
        <w:spacing w:after="40" w:line="264" w:lineRule="auto"/>
        <w:ind w:left="360"/>
      </w:pPr>
      <w:r>
        <w:rPr>
          <w:b w:val="false"/>
          <w:bCs w:val="false"/>
          <w:color w:val="000000"/>
          <w:sz w:val="21"/>
          <w:szCs w:val="21"/>
        </w:rPr>
        <w:t xml:space="preserve">3.5 eIDAS 2.0 and the EU Digital Identity Wallet</w:t>
      </w:r>
      <w:r>
        <w:rPr>
          <w:sz w:val="21"/>
          <w:szCs w:val="21"/>
        </w:rPr>
        <w:t xml:space="preserve">	13</w:t>
      </w:r>
    </w:p>
    <w:p>
      <w:pPr>
        <w:tabs>
          <w:tab w:val="right" w:pos="9360" w:leader="dot"/>
        </w:tabs>
        <w:spacing w:after="40" w:line="264" w:lineRule="auto"/>
        <w:ind w:left="360"/>
      </w:pPr>
      <w:r>
        <w:rPr>
          <w:b w:val="false"/>
          <w:bCs w:val="false"/>
          <w:color w:val="000000"/>
          <w:sz w:val="21"/>
          <w:szCs w:val="21"/>
        </w:rPr>
        <w:t xml:space="preserve">3.6 Ethereum ecosystem token standards</w:t>
      </w:r>
      <w:r>
        <w:rPr>
          <w:sz w:val="21"/>
          <w:szCs w:val="21"/>
        </w:rPr>
        <w:t xml:space="preserve">	14</w:t>
      </w:r>
    </w:p>
    <w:p>
      <w:pPr>
        <w:tabs>
          <w:tab w:val="right" w:pos="9360" w:leader="dot"/>
        </w:tabs>
        <w:spacing w:after="40" w:line="264" w:lineRule="auto"/>
        <w:ind w:left="360"/>
      </w:pPr>
      <w:r>
        <w:rPr>
          <w:b w:val="false"/>
          <w:bCs w:val="false"/>
          <w:color w:val="000000"/>
          <w:sz w:val="21"/>
          <w:szCs w:val="21"/>
        </w:rPr>
        <w:t xml:space="preserve">3.7 Adjacent landscape</w:t>
      </w:r>
      <w:r>
        <w:rPr>
          <w:sz w:val="21"/>
          <w:szCs w:val="21"/>
        </w:rPr>
        <w:t xml:space="preserve">	14</w:t>
      </w:r>
    </w:p>
    <w:p>
      <w:pPr>
        <w:tabs>
          <w:tab w:val="right" w:pos="9360" w:leader="dot"/>
        </w:tabs>
        <w:spacing w:after="40" w:line="264" w:lineRule="auto"/>
        <w:ind w:left="360"/>
      </w:pPr>
      <w:r>
        <w:rPr>
          <w:b w:val="false"/>
          <w:bCs w:val="false"/>
          <w:color w:val="000000"/>
          <w:sz w:val="21"/>
          <w:szCs w:val="21"/>
        </w:rPr>
        <w:t xml:space="preserve">3.8 Comparison of credential and token formats</w:t>
      </w:r>
      <w:r>
        <w:rPr>
          <w:sz w:val="21"/>
          <w:szCs w:val="21"/>
        </w:rPr>
        <w:t xml:space="preserve">	15</w:t>
      </w:r>
    </w:p>
    <w:p>
      <w:pPr>
        <w:tabs>
          <w:tab w:val="right" w:pos="9360" w:leader="dot"/>
        </w:tabs>
        <w:spacing w:after="40" w:line="264" w:lineRule="auto"/>
        <w:ind w:left="0"/>
      </w:pPr>
      <w:r>
        <w:rPr>
          <w:b/>
          <w:bCs/>
          <w:color w:val="1F3864"/>
          <w:sz w:val="22"/>
          <w:szCs w:val="22"/>
        </w:rPr>
        <w:t xml:space="preserve">4. Tourism-specific requirements for non-custodial wallets</w:t>
      </w:r>
      <w:r>
        <w:rPr>
          <w:sz w:val="21"/>
          <w:szCs w:val="21"/>
        </w:rPr>
        <w:t xml:space="preserve">	16</w:t>
      </w:r>
    </w:p>
    <w:p>
      <w:pPr>
        <w:tabs>
          <w:tab w:val="right" w:pos="9360" w:leader="dot"/>
        </w:tabs>
        <w:spacing w:after="40" w:line="264" w:lineRule="auto"/>
        <w:ind w:left="0"/>
      </w:pPr>
      <w:r>
        <w:rPr>
          <w:b/>
          <w:bCs/>
          <w:color w:val="1F3864"/>
          <w:sz w:val="22"/>
          <w:szCs w:val="22"/>
        </w:rPr>
        <w:t xml:space="preserve">5. Gap analysis</w:t>
      </w:r>
      <w:r>
        <w:rPr>
          <w:sz w:val="21"/>
          <w:szCs w:val="21"/>
        </w:rPr>
        <w:t xml:space="preserve">	19</w:t>
      </w:r>
    </w:p>
    <w:p>
      <w:pPr>
        <w:tabs>
          <w:tab w:val="right" w:pos="9360" w:leader="dot"/>
        </w:tabs>
        <w:spacing w:after="40" w:line="264" w:lineRule="auto"/>
        <w:ind w:left="360"/>
      </w:pPr>
      <w:r>
        <w:rPr>
          <w:b w:val="false"/>
          <w:bCs w:val="false"/>
          <w:color w:val="000000"/>
          <w:sz w:val="21"/>
          <w:szCs w:val="21"/>
        </w:rPr>
        <w:t xml:space="preserve">5.1 Identified gaps</w:t>
      </w:r>
      <w:r>
        <w:rPr>
          <w:sz w:val="21"/>
          <w:szCs w:val="21"/>
        </w:rPr>
        <w:t xml:space="preserve">	19</w:t>
      </w:r>
    </w:p>
    <w:p>
      <w:pPr>
        <w:tabs>
          <w:tab w:val="right" w:pos="9360" w:leader="dot"/>
        </w:tabs>
        <w:spacing w:after="40" w:line="264" w:lineRule="auto"/>
        <w:ind w:left="360"/>
      </w:pPr>
      <w:r>
        <w:rPr>
          <w:b w:val="false"/>
          <w:bCs w:val="false"/>
          <w:color w:val="000000"/>
          <w:sz w:val="21"/>
          <w:szCs w:val="21"/>
        </w:rPr>
        <w:t xml:space="preserve">5.2 Gap summary matrix</w:t>
      </w:r>
      <w:r>
        <w:rPr>
          <w:sz w:val="21"/>
          <w:szCs w:val="21"/>
        </w:rPr>
        <w:t xml:space="preserve">	21</w:t>
      </w:r>
    </w:p>
    <w:p>
      <w:pPr>
        <w:tabs>
          <w:tab w:val="right" w:pos="9360" w:leader="dot"/>
        </w:tabs>
        <w:spacing w:after="40" w:line="264" w:lineRule="auto"/>
        <w:ind w:left="360"/>
      </w:pPr>
      <w:r>
        <w:rPr>
          <w:b w:val="false"/>
          <w:bCs w:val="false"/>
          <w:color w:val="000000"/>
          <w:sz w:val="21"/>
          <w:szCs w:val="21"/>
        </w:rPr>
        <w:t xml:space="preserve">5.3 Prioritisation and sequencing</w:t>
      </w:r>
      <w:r>
        <w:rPr>
          <w:sz w:val="21"/>
          <w:szCs w:val="21"/>
        </w:rPr>
        <w:t xml:space="preserve">	22</w:t>
      </w:r>
    </w:p>
    <w:p>
      <w:pPr>
        <w:tabs>
          <w:tab w:val="right" w:pos="9360" w:leader="dot"/>
        </w:tabs>
        <w:spacing w:after="40" w:line="264" w:lineRule="auto"/>
        <w:ind w:left="0"/>
      </w:pPr>
      <w:r>
        <w:rPr>
          <w:b/>
          <w:bCs/>
          <w:color w:val="1F3864"/>
          <w:sz w:val="22"/>
          <w:szCs w:val="22"/>
        </w:rPr>
        <w:t xml:space="preserve">6. Mapping to EU policy and the ICT Rolling Plan</w:t>
      </w:r>
      <w:r>
        <w:rPr>
          <w:sz w:val="21"/>
          <w:szCs w:val="21"/>
        </w:rPr>
        <w:t xml:space="preserve">	22</w:t>
      </w:r>
    </w:p>
    <w:p>
      <w:pPr>
        <w:tabs>
          <w:tab w:val="right" w:pos="9360" w:leader="dot"/>
        </w:tabs>
        <w:spacing w:after="40" w:line="264" w:lineRule="auto"/>
        <w:ind w:left="0"/>
      </w:pPr>
      <w:r>
        <w:rPr>
          <w:b/>
          <w:bCs/>
          <w:color w:val="1F3864"/>
          <w:sz w:val="22"/>
          <w:szCs w:val="22"/>
        </w:rPr>
        <w:t xml:space="preserve">7. Conclusions and inputs to Phase 2</w:t>
      </w:r>
      <w:r>
        <w:rPr>
          <w:sz w:val="21"/>
          <w:szCs w:val="21"/>
        </w:rPr>
        <w:t xml:space="preserve">	24</w:t>
      </w:r>
    </w:p>
    <w:p>
      <w:pPr>
        <w:tabs>
          <w:tab w:val="right" w:pos="9360" w:leader="dot"/>
        </w:tabs>
        <w:spacing w:after="40" w:line="264" w:lineRule="auto"/>
        <w:ind w:left="360"/>
      </w:pPr>
      <w:r>
        <w:rPr>
          <w:b w:val="false"/>
          <w:bCs w:val="false"/>
          <w:color w:val="000000"/>
          <w:sz w:val="21"/>
          <w:szCs w:val="21"/>
        </w:rPr>
        <w:t xml:space="preserve">7.1 Summary of recommended Phase 2 contributions</w:t>
      </w:r>
      <w:r>
        <w:rPr>
          <w:sz w:val="21"/>
          <w:szCs w:val="21"/>
        </w:rPr>
        <w:t xml:space="preserve">	24</w:t>
      </w:r>
    </w:p>
    <w:p>
      <w:pPr>
        <w:tabs>
          <w:tab w:val="right" w:pos="9360" w:leader="dot"/>
        </w:tabs>
        <w:spacing w:after="40" w:line="264" w:lineRule="auto"/>
        <w:ind w:left="0"/>
      </w:pPr>
      <w:r>
        <w:rPr>
          <w:b/>
          <w:bCs/>
          <w:color w:val="1F3864"/>
          <w:sz w:val="22"/>
          <w:szCs w:val="22"/>
        </w:rPr>
        <w:t xml:space="preserve">References</w:t>
      </w:r>
      <w:r>
        <w:rPr>
          <w:sz w:val="21"/>
          <w:szCs w:val="21"/>
        </w:rPr>
        <w:t xml:space="preserve">	26</w:t>
      </w:r>
    </w:p>
    <w:p>
      <w:pPr>
        <w:tabs>
          <w:tab w:val="right" w:pos="9360" w:leader="dot"/>
        </w:tabs>
        <w:spacing w:after="40" w:line="264" w:lineRule="auto"/>
        <w:ind w:left="0"/>
      </w:pPr>
      <w:r>
        <w:rPr>
          <w:b/>
          <w:bCs/>
          <w:color w:val="1F3864"/>
          <w:sz w:val="22"/>
          <w:szCs w:val="22"/>
        </w:rPr>
        <w:t xml:space="preserve">Annex A — Standards inventory</w:t>
      </w:r>
      <w:r>
        <w:rPr>
          <w:sz w:val="21"/>
          <w:szCs w:val="21"/>
        </w:rPr>
        <w:t xml:space="preserve">	27</w:t>
      </w:r>
    </w:p>
    <w:p>
      <w:pPr>
        <w:tabs>
          <w:tab w:val="right" w:pos="9360" w:leader="dot"/>
        </w:tabs>
        <w:spacing w:after="40" w:line="264" w:lineRule="auto"/>
        <w:ind w:left="0"/>
      </w:pPr>
      <w:r>
        <w:rPr>
          <w:b/>
          <w:bCs/>
          <w:color w:val="1F3864"/>
          <w:sz w:val="22"/>
          <w:szCs w:val="22"/>
        </w:rPr>
        <w:t xml:space="preserve">Annex B — Requirements register</w:t>
      </w:r>
      <w:r>
        <w:rPr>
          <w:sz w:val="21"/>
          <w:szCs w:val="21"/>
        </w:rPr>
        <w:t xml:space="preserve">	28</w:t>
      </w:r>
    </w:p>
    <w:p>
      <w:pPr>
        <w:tabs>
          <w:tab w:val="right" w:pos="9360" w:leader="dot"/>
        </w:tabs>
        <w:spacing w:after="40" w:line="264" w:lineRule="auto"/>
        <w:ind w:left="0"/>
      </w:pPr>
      <w:r>
        <w:rPr>
          <w:b/>
          <w:bCs/>
          <w:color w:val="1F3864"/>
          <w:sz w:val="22"/>
          <w:szCs w:val="22"/>
        </w:rPr>
        <w:t xml:space="preserve">Annex C — Gap traceability matrix</w:t>
      </w:r>
      <w:r>
        <w:rPr>
          <w:sz w:val="21"/>
          <w:szCs w:val="21"/>
        </w:rPr>
        <w:t xml:space="preserve">	29</w:t>
      </w:r>
    </w:p>
    <w:p>
      <w:pPr>
        <w:tabs>
          <w:tab w:val="right" w:pos="9360" w:leader="dot"/>
        </w:tabs>
        <w:spacing w:after="40" w:line="264" w:lineRule="auto"/>
        <w:ind w:left="0"/>
      </w:pPr>
      <w:r>
        <w:rPr>
          <w:b/>
          <w:bCs/>
          <w:color w:val="1F3864"/>
          <w:sz w:val="22"/>
          <w:szCs w:val="22"/>
        </w:rPr>
        <w:t xml:space="preserve">Annex D — Glossary and abbreviations</w:t>
      </w:r>
      <w:r>
        <w:rPr>
          <w:sz w:val="21"/>
          <w:szCs w:val="21"/>
        </w:rPr>
        <w:t xml:space="preserve">	30</w:t>
      </w:r>
    </w:p>
    <w:p>
      <w:pPr>
        <w:pageBreakBefore/>
      </w:pPr>
    </w:p>
    <w:p>
      <w:pPr>
        <w:pStyle w:val="Heading1"/>
        <w:spacing w:after="140" w:before="320"/>
      </w:pPr>
      <w:r>
        <w:t xml:space="preserve">Executive summary</w:t>
      </w:r>
    </w:p>
    <w:p>
      <w:pPr>
        <w:spacing w:after="120" w:line="276" w:lineRule="auto"/>
        <w:jc w:val="both"/>
      </w:pPr>
      <w:r>
        <w:rPr>
          <w:sz w:val="24"/>
          <w:szCs w:val="24"/>
        </w:rPr>
        <w:t xml:space="preserve">This report is the first deliverable of the StandICT.eu 2029 fellowship “Standardizing Non-Custodial Wallet Infrastructure for Tourism” (Application 2029-01-1530). It establishes the analytical foundation for the remainder of the activity by surveying the current state of the art in non-custodial wallet technology as applied to tourism, inventorying the European and international standards and work items that bear on that domain, and identifying — in a structured and traceable way — the gaps that the fellowship will carry into standards-development organisations (SDOs) during Phase 2.</w:t>
      </w:r>
    </w:p>
    <w:p>
      <w:pPr>
        <w:spacing w:after="120" w:line="276" w:lineRule="auto"/>
        <w:jc w:val="both"/>
      </w:pPr>
      <w:r>
        <w:rPr>
          <w:sz w:val="24"/>
          <w:szCs w:val="24"/>
        </w:rPr>
        <w:t xml:space="preserve">The central finding is that the building blocks for trustworthy, user-controlled tourism wallets now exist, and several of them have reached formal maturity. The W3C Verifiable Credentials 2.0 family of specifications became a W3C Recommendation in May 2025, providing a stable, royalty-free data model for digital credentials together with mechanisms for securing them and for handling status and revocation. In parallel, the European Digital Identity (EUDI) Wallet framework reached version 2.4.0 of its Architecture and Reference Framework in January 2026, ahead of the legal deadline by which every Member State must make a wallet available by the end of 2026. Decentralized Identifiers reached Recommendation status in 2022 and a maintenance revision (v1.1) entered Candidate Recommendation in March 2026. At the ledger layer, the Ethereum ecosystem provides mature, widely-implemented token interfaces that already express several tourism-relevant behaviours, including time-bound usage rights and on-chain redemption.</w:t>
      </w:r>
    </w:p>
    <w:p>
      <w:pPr>
        <w:spacing w:after="120" w:line="276" w:lineRule="auto"/>
        <w:jc w:val="both"/>
      </w:pPr>
      <w:r>
        <w:rPr>
          <w:sz w:val="24"/>
          <w:szCs w:val="24"/>
        </w:rPr>
        <w:t xml:space="preserve">What does not exist is the connective tissue. There is no standardised, interoperable way to represent, issue, hold and verify tourism entitlements — tickets, reservations, time- and venue-bound access rights, and loyalty — inside a non-custodial wallet in a manner that simultaneously satisfies the operational realities of the sector (peak-load throughput at physical gates, intermittent connectivity, group and cross-border usage) and the legal realities (GDPR data minimisation, consumer protection, accessibility, and eIDAS-aligned trust). The identity and credential standards are deliberately generic; the ledger token standards are powerful but ecosystem-specific and disconnected from the trust and privacy layer; and the EUDI framework is centred on identity attestations rather than sectoral entitlements. Tourism deployments therefore solve the same problems repeatedly in incompatible ways, which raises integration costs and is especially burdensome for the small and medium-sized enterprises (SMEs) that dominate the sector.</w:t>
      </w:r>
    </w:p>
    <w:p>
      <w:pPr>
        <w:spacing w:after="120" w:line="276" w:lineRule="auto"/>
        <w:jc w:val="both"/>
      </w:pPr>
      <w:r>
        <w:rPr>
          <w:sz w:val="24"/>
          <w:szCs w:val="24"/>
        </w:rPr>
        <w:t xml:space="preserve">This report identifies fourteen concrete gaps, organised against a register of twelve tourism-specific requirements, and maps each gap to the standards body and working group best placed to address it — the W3C Verifiable Credentials Working Group and Credentials Community Group; ISO/TC 307 (notably its interoperability work item ISO/TS 23516 and its decentralized-identity work item ISO/AWI 7603, and the joint security/privacy/identity group JWG 4); and ETSI (TC ESI for trust services and the ISG PDL group for permissioned-ledger and user-centric identity work). Each gap is also mapped to the relevant action areas of the European Commission’s Rolling Plan for ICT Standardisation 2026. These gaps constitute the direct input to the Phase 2 requirements and contribution work.</w:t>
      </w:r>
    </w:p>
    <w:p>
      <w:pPr>
        <w:spacing w:after="120" w:line="276" w:lineRule="auto"/>
        <w:jc w:val="both"/>
      </w:pPr>
      <w:r>
        <w:rPr>
          <w:b/>
          <w:bCs/>
          <w:sz w:val="24"/>
          <w:szCs w:val="24"/>
        </w:rPr>
        <w:t xml:space="preserve">A note on standards references. </w:t>
      </w:r>
      <w:r>
        <w:rPr>
          <w:sz w:val="24"/>
          <w:szCs w:val="24"/>
        </w:rPr>
        <w:t xml:space="preserve">During preparation, two corrections to references commonly seen in this field were applied. The ISO/TC 307 interoperability work is ISO/TS 23516 (“Interoperability framework”), not ISO/IEC 23053, which is the framework for artificial-intelligence systems using machine learning and is unrelated to blockchain. The W3C Verifiable Credentials Data Model v2.0 is treated here as a finalised Recommendation (May 2025) rather than as a work item under development. The standards inventory in this report reflects statuses verified as of May 2026.</w:t>
      </w:r>
    </w:p>
    <w:p>
      <w:pPr>
        <w:pageBreakBefore/>
      </w:pPr>
    </w:p>
    <w:p>
      <w:pPr>
        <w:pStyle w:val="Heading1"/>
        <w:spacing w:after="140" w:before="320"/>
      </w:pPr>
      <w:r>
        <w:t xml:space="preserve">1. Introduction</w:t>
      </w:r>
    </w:p>
    <w:p>
      <w:pPr>
        <w:pStyle w:val="Heading2"/>
        <w:spacing w:after="100" w:before="220"/>
      </w:pPr>
      <w:r>
        <w:t xml:space="preserve">1.1 Purpose and scope</w:t>
      </w:r>
    </w:p>
    <w:p>
      <w:pPr>
        <w:spacing w:after="120" w:line="276" w:lineRule="auto"/>
        <w:jc w:val="both"/>
      </w:pPr>
      <w:r>
        <w:rPr>
          <w:sz w:val="24"/>
          <w:szCs w:val="24"/>
        </w:rPr>
        <w:t xml:space="preserve">The purpose of this report is to give the fellowship a rigorous, current and defensible picture of (a) how non-custodial wallets are actually being used in tourism today, (b) which standards and work items already address parts of the problem, and (c) where the gaps lie. It is intentionally analytical rather than promotional: the value of the document is in framing precise, actionable contributions to existing standardisation efforts, not in proposing a new proprietary technology.</w:t>
      </w:r>
    </w:p>
    <w:p>
      <w:pPr>
        <w:spacing w:after="120" w:line="276" w:lineRule="auto"/>
        <w:jc w:val="both"/>
      </w:pPr>
      <w:r>
        <w:rPr>
          <w:sz w:val="24"/>
          <w:szCs w:val="24"/>
        </w:rPr>
        <w:t xml:space="preserve">The scope is the wallet, credential and entitlement layer. That is, the report concerns how a traveller holds and presents tourism rights and identity attributes in a wallet they control, and how a venue, operator or authority verifies those rights. The following are deliberately out of scope except where they bear directly on the wallet layer: consensus mechanisms and ledger performance engineering; payment-scheme and PSD2/PSD3 specifics; token-economic and market-design questions; and the internal architecture of property-management, ticketing or customer-relationship systems beyond their interfaces to the wallet.</w:t>
      </w:r>
    </w:p>
    <w:p>
      <w:pPr>
        <w:pStyle w:val="Heading2"/>
        <w:spacing w:after="100" w:before="220"/>
      </w:pPr>
      <w:r>
        <w:t xml:space="preserve">1.2 Position in the workplan</w:t>
      </w:r>
    </w:p>
    <w:p>
      <w:pPr>
        <w:spacing w:after="120" w:line="276" w:lineRule="auto"/>
        <w:jc w:val="both"/>
      </w:pPr>
      <w:r>
        <w:rPr>
          <w:sz w:val="24"/>
          <w:szCs w:val="24"/>
        </w:rPr>
        <w:t xml:space="preserve">This deliverable corresponds to Phase 1 of the activity (Analysis and Requirements Definition, Months 1–3), whose stated outputs are a technical report on the state of the art and standards gaps for tourism wallets, and a requirements document structured for submission to standardisation bodies. This report is the former. It feeds directly into the latter (referred to here as D1.2): the requirements register in Annex B and the gap traceability matrix in Annex C are written so that they can be lifted into formal use-case and requirements contributions during Phase 2 (Standards Contribution and Technical Drafting, Months 4–6).</w:t>
      </w:r>
    </w:p>
    <w:p>
      <w:pPr>
        <w:pStyle w:val="Heading2"/>
        <w:spacing w:after="100" w:before="220"/>
      </w:pPr>
      <w:r>
        <w:t xml:space="preserve">1.3 Methodology</w:t>
      </w:r>
    </w:p>
    <w:p>
      <w:pPr>
        <w:spacing w:after="120" w:line="276" w:lineRule="auto"/>
        <w:jc w:val="both"/>
      </w:pPr>
      <w:r>
        <w:rPr>
          <w:sz w:val="24"/>
          <w:szCs w:val="24"/>
        </w:rPr>
        <w:t xml:space="preserve">The analysis combines two sources. First, desk research over the public catalogues, specifications and status pages of the relevant SDOs — W3C, ISO/IEC (ISO/TC 307 and ISO/IEC JTC 1/SC 27), ETSI, the OpenID Foundation, the IETF and the Ethereum standards process — together with the European Commission’s digital-identity and standardisation policy documentation. All version and status statements were checked against primary sources current as of May 2026. Second, the practitioner experience of the author in designing and operating production blockchain platforms for tourism, including as CTO and co-founder of a blockchain-based tourism platform. Practitioner experience is used to ground the requirements and the assessment of operational feasibility; the report itself is vendor-neutral and does not depend on any single implementation.</w:t>
      </w:r>
    </w:p>
    <w:p>
      <w:pPr>
        <w:spacing w:after="120" w:line="276" w:lineRule="auto"/>
        <w:jc w:val="both"/>
      </w:pPr>
      <w:r>
        <w:rPr>
          <w:sz w:val="24"/>
          <w:szCs w:val="24"/>
        </w:rPr>
        <w:t xml:space="preserve">The gap analysis follows a simple, repeatable method: derive sector requirements from operational and legal realities; map each requirement to the standard(s) that most nearly address it; and record, for each requirement, the residual gap, its severity, and the SDO or working group that is the natural home for closing it. This produces a traceability chain from requirement to gap to standardisation venue that can be defended in working-group discussion.</w:t>
      </w:r>
    </w:p>
    <w:p>
      <w:pPr>
        <w:pStyle w:val="Heading2"/>
        <w:spacing w:after="100" w:before="220"/>
      </w:pPr>
      <w:r>
        <w:t xml:space="preserve">1.4 Terminology</w:t>
      </w:r>
    </w:p>
    <w:p>
      <w:pPr>
        <w:spacing w:after="120" w:line="276" w:lineRule="auto"/>
        <w:jc w:val="both"/>
      </w:pPr>
      <w:r>
        <w:rPr>
          <w:sz w:val="24"/>
          <w:szCs w:val="24"/>
        </w:rPr>
        <w:t xml:space="preserve">A small number of terms are used precisely throughout this report.</w:t>
      </w:r>
    </w:p>
    <w:p>
      <w:pPr>
        <w:pStyle w:val="ListParagraph"/>
        <w:numPr>
          <w:ilvl w:val="0"/>
          <w:numId w:val="2"/>
        </w:numPr>
        <w:spacing w:after="80" w:line="276" w:lineRule="auto"/>
        <w:jc w:val="both"/>
      </w:pPr>
      <w:r>
        <w:rPr>
          <w:b/>
          <w:bCs/>
          <w:sz w:val="24"/>
          <w:szCs w:val="24"/>
        </w:rPr>
        <w:t xml:space="preserve">Custodial vs non-custodial. </w:t>
      </w:r>
      <w:r>
        <w:rPr>
          <w:sz w:val="24"/>
          <w:szCs w:val="24"/>
        </w:rPr>
        <w:t xml:space="preserve">A custodial wallet is one in which a third party holds the cryptographic keys (and therefore effective control) on the user’s behalf. A non-custodial wallet is one in which the user alone controls the keys and, by extension, the credentials and assets the wallet holds. The fellowship is concerned with the non-custodial model and its implications for control, portability, recovery and verification.</w:t>
      </w:r>
    </w:p>
    <w:p>
      <w:pPr>
        <w:pStyle w:val="ListParagraph"/>
        <w:numPr>
          <w:ilvl w:val="0"/>
          <w:numId w:val="2"/>
        </w:numPr>
        <w:spacing w:after="80" w:line="276" w:lineRule="auto"/>
        <w:jc w:val="both"/>
      </w:pPr>
      <w:r>
        <w:rPr>
          <w:b/>
          <w:bCs/>
          <w:sz w:val="24"/>
          <w:szCs w:val="24"/>
        </w:rPr>
        <w:t xml:space="preserve">Wallet. </w:t>
      </w:r>
      <w:r>
        <w:rPr>
          <w:sz w:val="24"/>
          <w:szCs w:val="24"/>
        </w:rPr>
        <w:t xml:space="preserve">Software (typically on a mobile device) that stores keys, identity attributes, credentials and entitlements, and that presents them to verifiers under the user’s control.</w:t>
      </w:r>
    </w:p>
    <w:p>
      <w:pPr>
        <w:pStyle w:val="ListParagraph"/>
        <w:numPr>
          <w:ilvl w:val="0"/>
          <w:numId w:val="2"/>
        </w:numPr>
        <w:spacing w:after="80" w:line="276" w:lineRule="auto"/>
        <w:jc w:val="both"/>
      </w:pPr>
      <w:r>
        <w:rPr>
          <w:b/>
          <w:bCs/>
          <w:sz w:val="24"/>
          <w:szCs w:val="24"/>
        </w:rPr>
        <w:t xml:space="preserve">DID (Decentralized Identifier). </w:t>
      </w:r>
      <w:r>
        <w:rPr>
          <w:sz w:val="24"/>
          <w:szCs w:val="24"/>
        </w:rPr>
        <w:t xml:space="preserve">A globally unique identifier that the controller can prove control of without a central registry (W3C).</w:t>
      </w:r>
    </w:p>
    <w:p>
      <w:pPr>
        <w:pStyle w:val="ListParagraph"/>
        <w:numPr>
          <w:ilvl w:val="0"/>
          <w:numId w:val="2"/>
        </w:numPr>
        <w:spacing w:after="80" w:line="276" w:lineRule="auto"/>
        <w:jc w:val="both"/>
      </w:pPr>
      <w:r>
        <w:rPr>
          <w:b/>
          <w:bCs/>
          <w:sz w:val="24"/>
          <w:szCs w:val="24"/>
        </w:rPr>
        <w:t xml:space="preserve">Verifiable Credential (VC). </w:t>
      </w:r>
      <w:r>
        <w:rPr>
          <w:sz w:val="24"/>
          <w:szCs w:val="24"/>
        </w:rPr>
        <w:t xml:space="preserve">A tamper-evident, cryptographically signed set of claims made by an issuer about a subject, presented by a holder to a verifier (W3C three-party model).</w:t>
      </w:r>
    </w:p>
    <w:p>
      <w:pPr>
        <w:pStyle w:val="ListParagraph"/>
        <w:numPr>
          <w:ilvl w:val="0"/>
          <w:numId w:val="2"/>
        </w:numPr>
        <w:spacing w:after="80" w:line="276" w:lineRule="auto"/>
        <w:jc w:val="both"/>
      </w:pPr>
      <w:r>
        <w:rPr>
          <w:b/>
          <w:bCs/>
          <w:sz w:val="24"/>
          <w:szCs w:val="24"/>
        </w:rPr>
        <w:t xml:space="preserve">mdoc / mDL. </w:t>
      </w:r>
      <w:r>
        <w:rPr>
          <w:sz w:val="24"/>
          <w:szCs w:val="24"/>
        </w:rPr>
        <w:t xml:space="preserve">The ISO/IEC 18013-5 mobile-document and mobile-driving-licence format, including an offline device-retrieval model used by the EUDI Wallet alongside SD-JWT VC.</w:t>
      </w:r>
    </w:p>
    <w:p>
      <w:pPr>
        <w:pStyle w:val="ListParagraph"/>
        <w:numPr>
          <w:ilvl w:val="0"/>
          <w:numId w:val="2"/>
        </w:numPr>
        <w:spacing w:after="80" w:line="276" w:lineRule="auto"/>
        <w:jc w:val="both"/>
      </w:pPr>
      <w:r>
        <w:rPr>
          <w:b/>
          <w:bCs/>
          <w:sz w:val="24"/>
          <w:szCs w:val="24"/>
        </w:rPr>
        <w:t xml:space="preserve">Selective disclosure. </w:t>
      </w:r>
      <w:r>
        <w:rPr>
          <w:sz w:val="24"/>
          <w:szCs w:val="24"/>
        </w:rPr>
        <w:t xml:space="preserve">The ability to reveal only the specific attributes a verifier needs (for example, “over 18” rather than a full date of birth).</w:t>
      </w:r>
    </w:p>
    <w:p>
      <w:pPr>
        <w:pStyle w:val="ListParagraph"/>
        <w:numPr>
          <w:ilvl w:val="0"/>
          <w:numId w:val="2"/>
        </w:numPr>
        <w:spacing w:after="80" w:line="276" w:lineRule="auto"/>
        <w:jc w:val="both"/>
      </w:pPr>
      <w:r>
        <w:rPr>
          <w:b/>
          <w:bCs/>
          <w:sz w:val="24"/>
          <w:szCs w:val="24"/>
        </w:rPr>
        <w:t xml:space="preserve">Entitlement. </w:t>
      </w:r>
      <w:r>
        <w:rPr>
          <w:sz w:val="24"/>
          <w:szCs w:val="24"/>
        </w:rPr>
        <w:t xml:space="preserve">In this report, any tourism right held in a wallet — a ticket, reservation, pass, access right or loyalty balance — as distinct from an identity attribute.</w:t>
      </w:r>
    </w:p>
    <w:p>
      <w:pPr>
        <w:pageBreakBefore/>
      </w:pPr>
    </w:p>
    <w:p>
      <w:pPr>
        <w:pStyle w:val="Heading1"/>
        <w:spacing w:after="140" w:before="320"/>
      </w:pPr>
      <w:r>
        <w:t xml:space="preserve">2. Domain context: blockchain and digital wallets in tourism</w:t>
      </w:r>
    </w:p>
    <w:p>
      <w:pPr>
        <w:pStyle w:val="Heading2"/>
        <w:spacing w:after="100" w:before="220"/>
      </w:pPr>
      <w:r>
        <w:t xml:space="preserve">2.1 Why tourism is a distinctive standardisation environment</w:t>
      </w:r>
    </w:p>
    <w:p>
      <w:pPr>
        <w:spacing w:after="120" w:line="276" w:lineRule="auto"/>
        <w:jc w:val="both"/>
      </w:pPr>
      <w:r>
        <w:rPr>
          <w:sz w:val="24"/>
          <w:szCs w:val="24"/>
        </w:rPr>
        <w:t xml:space="preserve">Tourism is one of the European Union’s largest cross-border digital markets, and it combines several properties that, taken together, are unusual. It is inherently cross-border: a single trip routinely crosses jurisdictions, languages, currencies and operators within days. It is highly transient and peak-loaded: venues, transport hubs and events experience large, time-concentrated flows of visitors who interact briefly and then leave. It is dominated by SMEs — independent hotels, attractions, tour operators and local transport providers — which lack the engineering capacity to navigate complex technical and regulatory landscapes alone. It sits at the convergence of the physical and digital: a credential must be verified at a literal gate or front desk, often quickly and sometimes without reliable connectivity. And it is regulatorily dense, touching data protection, consumer protection, accessibility and payments simultaneously.</w:t>
      </w:r>
    </w:p>
    <w:p>
      <w:pPr>
        <w:spacing w:after="120" w:line="276" w:lineRule="auto"/>
        <w:jc w:val="both"/>
      </w:pPr>
      <w:r>
        <w:rPr>
          <w:sz w:val="24"/>
          <w:szCs w:val="24"/>
        </w:rPr>
        <w:t xml:space="preserve">These properties make tourism an unusually demanding test of digital-identity and credential standards, and therefore an unusually informative one. A standard profile that works for high-throughput, intermittently-connected, cross-border, SME-operated venue access is likely to transfer well to adjacent sectors such as culture, events, transport and public services. This is the strategic argument for treating tourism as a deliberate proving ground for European non-custodial wallet interoperability rather than as a niche.</w:t>
      </w:r>
    </w:p>
    <w:p>
      <w:pPr>
        <w:pStyle w:val="Heading2"/>
        <w:spacing w:after="100" w:before="220"/>
      </w:pPr>
      <w:r>
        <w:t xml:space="preserve">2.2 Current market practice</w:t>
      </w:r>
    </w:p>
    <w:p>
      <w:pPr>
        <w:spacing w:after="120" w:line="276" w:lineRule="auto"/>
        <w:jc w:val="both"/>
      </w:pPr>
      <w:r>
        <w:rPr>
          <w:sz w:val="24"/>
          <w:szCs w:val="24"/>
        </w:rPr>
        <w:t xml:space="preserve">Today, blockchain adoption in tourism is characterised by rapid experimentation and limited standardisation. Where digital wallets are used at all, the de facto baseline remains closed: QR-code tickets in proprietary apps and the platform wallets of the major mobile operating systems. Where blockchain is used, it is frequently implemented in custodial or semi-custodial form to simplify onboarding and compliance, which reduces the user-control and data-sovereignty benefits that motivate the technology in the first place. Ticketing, loyalty and access systems are typically built in isolation, on platform-specific token models and ad-hoc integrations, producing incompatible solutions and high integration costs.</w:t>
      </w:r>
    </w:p>
    <w:p>
      <w:pPr>
        <w:spacing w:after="120" w:line="276" w:lineRule="auto"/>
        <w:jc w:val="both"/>
      </w:pPr>
      <w:r>
        <w:rPr>
          <w:sz w:val="24"/>
          <w:szCs w:val="24"/>
        </w:rPr>
        <w:t xml:space="preserve">NFT-based ticketing has been piloted widely in events and is the most mature blockchain-native pattern relevant to tourism. Its lessons are instructive: tokens can carry rich entitlement logic and resist counterfeiting, but real deployments quickly run into the problems this report concerns — verifying at the gate quickly and offline, controlling resale and transfer for consumer-protection reasons, handling group purchases, and reconciling on-chain entitlements with off-chain identity and trust frameworks. Loyalty schemes expressed as fungible tokens face the same disconnection from identity and the same fragmentation across operators.</w:t>
      </w:r>
    </w:p>
    <w:p>
      <w:pPr>
        <w:pStyle w:val="Heading2"/>
        <w:spacing w:after="100" w:before="220"/>
      </w:pPr>
      <w:r>
        <w:t xml:space="preserve">2.3 The non-custodial proposition and its frictions</w:t>
      </w:r>
    </w:p>
    <w:p>
      <w:pPr>
        <w:spacing w:after="120" w:line="276" w:lineRule="auto"/>
        <w:jc w:val="both"/>
      </w:pPr>
      <w:r>
        <w:rPr>
          <w:sz w:val="24"/>
          <w:szCs w:val="24"/>
        </w:rPr>
        <w:t xml:space="preserve">The non-custodial model offers travellers genuine control over their identity attributes and entitlements, portability across operators and borders, reduced dependency on centralised intermediaries, and stronger data sovereignty. These align closely with European policy. The frictions are equally real, and they are concentrated in exactly the places tourism stresses. Key management and recovery are hard for non-expert users: losing a device must not mean losing a holiday’s worth of bookings, yet recovery mechanisms can reintroduce custodial dependencies. Verification at a physical gate must be fast and must tolerate poor connectivity. And the user experience of approving presentations must be simple enough for a traveller using the wallet for the first time, under time pressure, possibly in a second language.</w:t>
      </w:r>
    </w:p>
    <w:p>
      <w:pPr>
        <w:spacing w:after="120" w:line="276" w:lineRule="auto"/>
        <w:jc w:val="both"/>
      </w:pPr>
      <w:r>
        <w:rPr>
          <w:sz w:val="24"/>
          <w:szCs w:val="24"/>
        </w:rPr>
        <w:t xml:space="preserve">An important recent development that bears on these frictions is account abstraction (Ethereum’s ERC-4337), which allows wallet accounts to be smart contracts rather than simple key pairs. This enables social recovery, sponsored transaction fees and session keys without surrendering custody, and is therefore directly relevant to making non-custodial tourism wallets usable by ordinary travellers. It is, however, not yet profiled for the sector, and the tension between recoverability and strict non-custody is one of the gaps identified later in this report.</w:t>
      </w:r>
    </w:p>
    <w:p>
      <w:pPr>
        <w:pStyle w:val="Heading2"/>
        <w:spacing w:after="100" w:before="220"/>
      </w:pPr>
      <w:r>
        <w:t xml:space="preserve">2.4 Representative tourism use cases</w:t>
      </w:r>
    </w:p>
    <w:p>
      <w:pPr>
        <w:spacing w:after="120" w:line="276" w:lineRule="auto"/>
        <w:jc w:val="both"/>
      </w:pPr>
      <w:r>
        <w:rPr>
          <w:sz w:val="24"/>
          <w:szCs w:val="24"/>
        </w:rPr>
        <w:t xml:space="preserve">Four concrete use cases recur across tourism deployments and are used throughout this report to ground the requirements and the gap analysis. They are deliberately ordinary — the point is that even routine tourism scenarios stress the standards in ways generic identity use cases do not. Each vignette notes the requirements (Annex B) it exercises.</w:t>
      </w:r>
    </w:p>
    <w:p>
      <w:pPr>
        <w:pStyle w:val="Heading3"/>
        <w:spacing w:after="80" w:before="160"/>
      </w:pPr>
      <w:r>
        <w:t xml:space="preserve">UC-A — Multi-entry city attractions pass</w:t>
      </w:r>
    </w:p>
    <w:p>
      <w:pPr>
        <w:spacing w:after="120" w:line="276" w:lineRule="auto"/>
        <w:jc w:val="both"/>
      </w:pPr>
      <w:r>
        <w:rPr>
          <w:sz w:val="24"/>
          <w:szCs w:val="24"/>
        </w:rPr>
        <w:t xml:space="preserve">A visitor buys a three-day pass granting entry to a set of museums and attractions. Over the three days they enter several venues, some of which have weak or no network connectivity at the door, during busy mid-morning peaks. The pass should be usable by the visitor and their travelling companions but should not be freely resold.</w:t>
      </w:r>
    </w:p>
    <w:p>
      <w:pPr>
        <w:spacing w:after="120" w:line="276" w:lineRule="auto"/>
        <w:jc w:val="both"/>
      </w:pPr>
      <w:r>
        <w:rPr>
          <w:sz w:val="24"/>
          <w:szCs w:val="24"/>
        </w:rPr>
        <w:t xml:space="preserve">This case exercises time- and venue-bound rights (R2), offline verification (R3), group usage (R4), peak-load throughput (R1) and resale control (R7). No single existing standard expresses a pass that is simultaneously time-bound, multi-venue, offline-verifiable and group-shareable.</w:t>
      </w:r>
    </w:p>
    <w:p>
      <w:pPr>
        <w:pStyle w:val="Heading3"/>
        <w:spacing w:after="80" w:before="160"/>
      </w:pPr>
      <w:r>
        <w:t xml:space="preserve">UC-B — Cross-border multi-day transport entitlement</w:t>
      </w:r>
    </w:p>
    <w:p>
      <w:pPr>
        <w:spacing w:after="120" w:line="276" w:lineRule="auto"/>
        <w:jc w:val="both"/>
      </w:pPr>
      <w:r>
        <w:rPr>
          <w:sz w:val="24"/>
          <w:szCs w:val="24"/>
        </w:rPr>
        <w:t xml:space="preserve">A traveller holds a multi-day regional transport entitlement valid across two Member States and several operators. Inspectors verify it on handheld devices, sometimes offline on a moving train, and it must be honoured regardless of which operator issued it.</w:t>
      </w:r>
    </w:p>
    <w:p>
      <w:pPr>
        <w:spacing w:after="120" w:line="276" w:lineRule="auto"/>
        <w:jc w:val="both"/>
      </w:pPr>
      <w:r>
        <w:rPr>
          <w:sz w:val="24"/>
          <w:szCs w:val="24"/>
        </w:rPr>
        <w:t xml:space="preserve">This case exercises cross-border operation (R5), offline verification (R3), issuer/verifier trust across operators (R10) and validity windows (R2). The trust-establishment problem at operator scale (G7) is acute here.</w:t>
      </w:r>
    </w:p>
    <w:p>
      <w:pPr>
        <w:pStyle w:val="Heading3"/>
        <w:spacing w:after="80" w:before="160"/>
      </w:pPr>
      <w:r>
        <w:t xml:space="preserve">UC-C — Hotel check-in with minimal identity disclosure</w:t>
      </w:r>
    </w:p>
    <w:p>
      <w:pPr>
        <w:spacing w:after="120" w:line="276" w:lineRule="auto"/>
        <w:jc w:val="both"/>
      </w:pPr>
      <w:r>
        <w:rPr>
          <w:sz w:val="24"/>
          <w:szCs w:val="24"/>
        </w:rPr>
        <w:t xml:space="preserve">At check-in, a guest proves identity and legal age and presents their reservation entitlement. The hotel needs only what is necessary — a name match, an age assertion, a valid booking — not a full identity document copy. The flow should align with the EU Digital Identity Wallet.</w:t>
      </w:r>
    </w:p>
    <w:p>
      <w:pPr>
        <w:spacing w:after="120" w:line="276" w:lineRule="auto"/>
        <w:jc w:val="both"/>
      </w:pPr>
      <w:r>
        <w:rPr>
          <w:sz w:val="24"/>
          <w:szCs w:val="24"/>
        </w:rPr>
        <w:t xml:space="preserve">This case exercises data minimisation (R6), issuer/verifier trust (R10), entitlement representation (R11) and cross-border use (R5). It is the use case closest to the EUDI Wallet, and exposes the absence of a tourism attestation profile (G10) and a data-minimisation profile (G8).</w:t>
      </w:r>
    </w:p>
    <w:p>
      <w:pPr>
        <w:pStyle w:val="Heading3"/>
        <w:spacing w:after="80" w:before="160"/>
      </w:pPr>
      <w:r>
        <w:t xml:space="preserve">UC-D — Cross-border festival with group tickets and on-site benefits</w:t>
      </w:r>
    </w:p>
    <w:p>
      <w:pPr>
        <w:spacing w:after="120" w:line="276" w:lineRule="auto"/>
        <w:jc w:val="both"/>
      </w:pPr>
      <w:r>
        <w:rPr>
          <w:sz w:val="24"/>
          <w:szCs w:val="24"/>
        </w:rPr>
        <w:t xml:space="preserve">One buyer holds tickets for a group of friends attending a festival abroad. Tickets are redeemed at the gate and the same tokens later unlock on-site benefits (a locker, a drink token). The organiser wants to limit scalping and to resolve any “already used” disputes fairly.</w:t>
      </w:r>
    </w:p>
    <w:p>
      <w:pPr>
        <w:spacing w:after="120" w:line="276" w:lineRule="auto"/>
        <w:jc w:val="both"/>
      </w:pPr>
      <w:r>
        <w:rPr>
          <w:sz w:val="24"/>
          <w:szCs w:val="24"/>
        </w:rPr>
        <w:t xml:space="preserve">This case exercises group holding (R4), throughput (R1), multi-step redemption (R11), resale control (R7) and auditable dispute evidence (R12). It is the clearest example of the redemption-semantics gap (G4) and the consumer-protection gap (G12).</w:t>
      </w:r>
    </w:p>
    <w:p>
      <w:pPr>
        <w:pageBreakBefore/>
      </w:pPr>
    </w:p>
    <w:p>
      <w:pPr>
        <w:pStyle w:val="Heading1"/>
        <w:spacing w:after="140" w:before="320"/>
      </w:pPr>
      <w:r>
        <w:t xml:space="preserve">3. State of the art: the standards landscape</w:t>
      </w:r>
    </w:p>
    <w:p>
      <w:pPr>
        <w:spacing w:after="120" w:line="276" w:lineRule="auto"/>
        <w:jc w:val="both"/>
      </w:pPr>
      <w:r>
        <w:rPr>
          <w:sz w:val="24"/>
          <w:szCs w:val="24"/>
        </w:rPr>
        <w:t xml:space="preserve">This section inventories the standards and active work items that bear on non-custodial tourism wallets, grouped by standardisation venue, with status as of May 2026. The consolidated inventory is given in Annex A; the prose below explains relevance and maturity.</w:t>
      </w:r>
    </w:p>
    <w:p>
      <w:pPr>
        <w:pStyle w:val="Heading2"/>
        <w:spacing w:after="100" w:before="220"/>
      </w:pPr>
      <w:r>
        <w:t xml:space="preserve">3.1 W3C identity and credential stack</w:t>
      </w:r>
    </w:p>
    <w:p>
      <w:pPr>
        <w:spacing w:after="120" w:line="276" w:lineRule="auto"/>
        <w:jc w:val="both"/>
      </w:pPr>
      <w:r>
        <w:rPr>
          <w:sz w:val="24"/>
          <w:szCs w:val="24"/>
        </w:rPr>
        <w:t xml:space="preserve">The W3C provides the core, royalty-free building blocks for user-controlled digital identity. Decentralized Identifiers (DID Core) reached W3C Recommendation status in July 2022; a maintenance revision, DID v1.1, entered Candidate Recommendation in March 2026 with an implementation and comment window. The DID ecosystem is characterised by a large plurality of DID “methods” (over a hundred), which is a strength for flexibility and a challenge for interoperability.</w:t>
      </w:r>
    </w:p>
    <w:p>
      <w:pPr>
        <w:spacing w:after="120" w:line="276" w:lineRule="auto"/>
        <w:jc w:val="both"/>
      </w:pPr>
      <w:r>
        <w:rPr>
          <w:sz w:val="24"/>
          <w:szCs w:val="24"/>
        </w:rPr>
        <w:t xml:space="preserve">The Verifiable Credentials 2.0 family became a W3C Recommendation in May 2025. It is a family rather than a single document: the Verifiable Credentials Data Model v2.0 defines the credential structure; VC-JOSE-COSE defines how to secure credentials using widely-adopted JOSE, SD-JWT and COSE signatures; the Data Integrity specifications and ECDSA/EdDSA cryptosuites define an alternative proof mechanism; Bitstring Status List v1.0 provides a privacy-preserving, space-efficient mechanism for publishing revocation and suspension status; and Controlled Identifiers v1.0 defines how the cryptographic material and service endpoints used to verify proofs are expressed. Version 1.1 remains widely deployed in existing ecosystems, with v2.0 adoption growing and a v2.1 maintenance update anticipated around 2027.</w:t>
      </w:r>
    </w:p>
    <w:p>
      <w:pPr>
        <w:spacing w:after="120" w:line="276" w:lineRule="auto"/>
        <w:jc w:val="both"/>
      </w:pPr>
      <w:r>
        <w:rPr>
          <w:sz w:val="24"/>
          <w:szCs w:val="24"/>
        </w:rPr>
        <w:t xml:space="preserve">For tourism, this stack matters because it provides a standard, interoperable way to express an identity attribute or an entitlement as a signed, privacy-respecting credential, with built-in revocation. What it does not provide is a tourism-specific profile: the data model is deliberately generic and says nothing about how a ticket, a reservation, a time-bound access right or a loyalty balance should be structured, nor about how such a credential relates to a corresponding on-ledger token.</w:t>
      </w:r>
    </w:p>
    <w:p>
      <w:pPr>
        <w:pStyle w:val="Heading2"/>
        <w:spacing w:after="100" w:before="220"/>
      </w:pPr>
      <w:r>
        <w:t xml:space="preserve">3.2 Credential exchange protocols</w:t>
      </w:r>
    </w:p>
    <w:p>
      <w:pPr>
        <w:spacing w:after="120" w:line="276" w:lineRule="auto"/>
        <w:jc w:val="both"/>
      </w:pPr>
      <w:r>
        <w:rPr>
          <w:sz w:val="24"/>
          <w:szCs w:val="24"/>
        </w:rPr>
        <w:t xml:space="preserve">A data model is not enough; a credential must move from issuer to holder and from holder to verifier. This protocol layer is where several of the most tourism-relevant behaviours live, and it is maturing rapidly under the gravitational pull of the EUDI Wallet.</w:t>
      </w:r>
    </w:p>
    <w:p>
      <w:pPr>
        <w:pStyle w:val="ListParagraph"/>
        <w:numPr>
          <w:ilvl w:val="0"/>
          <w:numId w:val="2"/>
        </w:numPr>
        <w:spacing w:after="80" w:line="276" w:lineRule="auto"/>
        <w:jc w:val="both"/>
      </w:pPr>
      <w:r>
        <w:rPr>
          <w:b/>
          <w:bCs/>
          <w:sz w:val="24"/>
          <w:szCs w:val="24"/>
        </w:rPr>
        <w:t xml:space="preserve">OpenID for Verifiable Credential Issuance (OpenID4VCI) and OpenID for Verifiable Presentations (OpenID4VP). </w:t>
      </w:r>
      <w:r>
        <w:rPr>
          <w:sz w:val="24"/>
          <w:szCs w:val="24"/>
        </w:rPr>
        <w:t xml:space="preserve">OpenID Foundation protocols, building on OAuth 2.0, for issuing credentials to a wallet and for requesting and presenting them. They are the de facto protocol layer for the EUDI ecosystem and are advancing toward final versions, with broad implementation in pilots.</w:t>
      </w:r>
    </w:p>
    <w:p>
      <w:pPr>
        <w:pStyle w:val="ListParagraph"/>
        <w:numPr>
          <w:ilvl w:val="0"/>
          <w:numId w:val="2"/>
        </w:numPr>
        <w:spacing w:after="80" w:line="276" w:lineRule="auto"/>
        <w:jc w:val="both"/>
      </w:pPr>
      <w:r>
        <w:rPr>
          <w:b/>
          <w:bCs/>
          <w:sz w:val="24"/>
          <w:szCs w:val="24"/>
        </w:rPr>
        <w:t xml:space="preserve">SD-JWT and SD-JWT VC. </w:t>
      </w:r>
      <w:r>
        <w:rPr>
          <w:sz w:val="24"/>
          <w:szCs w:val="24"/>
        </w:rPr>
        <w:t xml:space="preserve">IETF work defining a selective-disclosure format for JWT-based credentials. SD-JWT VC is central to the credential format choices of the EUDI Wallet and is the practical mechanism by which a traveller can disclose only what a venue needs.</w:t>
      </w:r>
    </w:p>
    <w:p>
      <w:pPr>
        <w:pStyle w:val="ListParagraph"/>
        <w:numPr>
          <w:ilvl w:val="0"/>
          <w:numId w:val="2"/>
        </w:numPr>
        <w:spacing w:after="80" w:line="276" w:lineRule="auto"/>
        <w:jc w:val="both"/>
      </w:pPr>
      <w:r>
        <w:rPr>
          <w:b/>
          <w:bCs/>
          <w:sz w:val="24"/>
          <w:szCs w:val="24"/>
        </w:rPr>
        <w:t xml:space="preserve">ISO/IEC 18013-5 (mDL / mdoc) and ISO/IEC 18013-7. </w:t>
      </w:r>
      <w:r>
        <w:rPr>
          <w:sz w:val="24"/>
          <w:szCs w:val="24"/>
        </w:rPr>
        <w:t xml:space="preserve">The mobile-document and mobile-driving-licence format, including an offline device-retrieval model (for example, proximity presentation over Bluetooth or NFC). ISO/IEC 18013-7 extends presentation to online contexts, and the ISO/IEC 23220 series defines building blocks for mobile electronic identification. The offline model is highly relevant to gate verification.</w:t>
      </w:r>
    </w:p>
    <w:p>
      <w:pPr>
        <w:spacing w:after="120" w:line="276" w:lineRule="auto"/>
        <w:jc w:val="both"/>
      </w:pPr>
      <w:r>
        <w:rPr>
          <w:sz w:val="24"/>
          <w:szCs w:val="24"/>
        </w:rPr>
        <w:t xml:space="preserve">The significance for tourism is twofold. First, the offline device-retrieval model in the mdoc family is the only mainstream, standardised answer to the intermittent-connectivity problem at gates — but it is defined for identity documents, not tourism entitlements. Second, OpenID4VP, which is the dominant presentation protocol, generally assumes connectivity at the moment of presentation. Bridging these two facts for high-throughput, sometimes-offline venue access is an open problem rather than a solved one.</w:t>
      </w:r>
    </w:p>
    <w:p>
      <w:pPr>
        <w:pStyle w:val="Heading2"/>
        <w:spacing w:after="100" w:before="220"/>
      </w:pPr>
      <w:r>
        <w:t xml:space="preserve">3.3 ISO/IEC — ISO/TC 307 and JTC 1/SC 27 JWG 4</w:t>
      </w:r>
    </w:p>
    <w:p>
      <w:pPr>
        <w:spacing w:after="120" w:line="276" w:lineRule="auto"/>
        <w:jc w:val="both"/>
      </w:pPr>
      <w:r>
        <w:rPr>
          <w:sz w:val="24"/>
          <w:szCs w:val="24"/>
        </w:rPr>
        <w:t xml:space="preserve">ISO/TC 307 (Blockchain and distributed ledger technologies) provides the international, consensus-based layer of blockchain standardisation, with several documents already published and others under development. Published documents of relevance include ISO 22739 (Vocabulary, 2020, under revision), ISO 23257 (Reference architecture, 2022), ISO/TR 23244 (Privacy and personally identifiable information protection considerations, 2020), ISO/TR 23576 (Security management of digital asset custodians, 2020), ISO/TS 23635 (Guidelines for governance, 2022), ISO/TR 23455 (Overview of and interactions between smart contracts, 2019), and ISO/TR 23644 (Overview of trust anchors for DLT-based identity management — TADIM, 2023). ISO/TR 23249 (Overview of existing DLT systems for identity management) is at an advanced stage approaching publication.</w:t>
      </w:r>
    </w:p>
    <w:p>
      <w:pPr>
        <w:spacing w:after="120" w:line="276" w:lineRule="auto"/>
        <w:jc w:val="both"/>
      </w:pPr>
      <w:r>
        <w:rPr>
          <w:sz w:val="24"/>
          <w:szCs w:val="24"/>
        </w:rPr>
        <w:t xml:space="preserve">Two work items under development are particularly important for this fellowship. ISO/TS 23516 (Interoperability framework), under ISO/TC 307’s interoperability working group, is the correct reference for blockchain interoperability standardisation — and the natural ISO home for tourism interoperability requirements. (It is worth noting explicitly that ISO/IEC 23053, sometimes cited in this context, is the framework for artificial-intelligence systems using machine learning and is unrelated.) ISO/AWI 7603 (a decentralized-identity standard for the identification of subjects and objects) is being developed explicitly in conjunction with W3C Verifiable Credentials and in engagement with bodies such as DIF, Trust over IP and GLEIF; it is directly relevant to non-custodial wallets. The joint group ISO/IEC JTC 1/SC 27 – ISO/TC 307 JWG 4 handles security, privacy and identity for blockchain and DLT, and is the venue for privacy-preserving verification considerations.</w:t>
      </w:r>
    </w:p>
    <w:p>
      <w:pPr>
        <w:pStyle w:val="Heading2"/>
        <w:spacing w:after="100" w:before="220"/>
      </w:pPr>
      <w:r>
        <w:t xml:space="preserve">3.4 ETSI — TC ESI and ISG PDL</w:t>
      </w:r>
    </w:p>
    <w:p>
      <w:pPr>
        <w:spacing w:after="120" w:line="276" w:lineRule="auto"/>
        <w:jc w:val="both"/>
      </w:pPr>
      <w:r>
        <w:rPr>
          <w:sz w:val="24"/>
          <w:szCs w:val="24"/>
        </w:rPr>
        <w:t xml:space="preserve">ETSI contributes two distinct and complementary strands. TC ESI (Electronic Signatures and Infrastructures) maintains the EN 319 4xx family of standards for trust service providers, electronic signatures and seals, and trust lists, which underpin eIDAS trust services and the qualified electronic attestation of attributes that the EUDI Wallet relies upon. This strand is the natural reference where a tourism entitlement must be issued or verified with eIDAS-grade trust, and where blockchain-based evidence must integrate with the EU trust-service framework.</w:t>
      </w:r>
    </w:p>
    <w:p>
      <w:pPr>
        <w:spacing w:after="120" w:line="276" w:lineRule="auto"/>
        <w:jc w:val="both"/>
      </w:pPr>
      <w:r>
        <w:rPr>
          <w:sz w:val="24"/>
          <w:szCs w:val="24"/>
        </w:rPr>
        <w:t xml:space="preserve">The ETSI Industry Specification Group on Permissioned Distributed Ledger (ISG PDL) is the second strand, and it is one the original application did not reference. ISG PDL has produced a permissioned-ledger reference architecture and, more recently, group specifications directly relevant to this fellowship: a specification on user-centric digital identity and self-sovereign identity (GS PDL 027, 2025), a specification addressing non-fungible-token standards (GS PDL 033, 2025), and a report on trusted data platforms incorporating self-sovereign identity (GR PDL 034, 2025). Because many tourism deployments are operated by consortia of known parties (operators, venues, destination authorities), the permissioned-ledger model is often the appropriate one, and ISG PDL is a concrete venue for contributing tourism-driven NFT-entitlement and SSI requirements.</w:t>
      </w:r>
    </w:p>
    <w:p>
      <w:pPr>
        <w:pStyle w:val="Heading2"/>
        <w:spacing w:after="100" w:before="220"/>
      </w:pPr>
      <w:r>
        <w:t xml:space="preserve">3.5 eIDAS 2.0 and the EU Digital Identity Wallet</w:t>
      </w:r>
    </w:p>
    <w:p>
      <w:pPr>
        <w:spacing w:after="120" w:line="276" w:lineRule="auto"/>
        <w:jc w:val="both"/>
      </w:pPr>
      <w:r>
        <w:rPr>
          <w:sz w:val="24"/>
          <w:szCs w:val="24"/>
        </w:rPr>
        <w:t xml:space="preserve">The revised eIDAS framework (Regulation (EU) 2024/1183, amending Regulation (EU) No 910/2014) entered into force in May 2024 and obliges every Member State to make at least one EU Digital Identity Wallet available, built to common specifications, by the end of 2026, with relying-party acceptance obligations phased in thereafter. The technical anchor is the Architecture and Reference Framework (ARF), which reached version 2.4.0 in January 2026 and continues to evolve alongside a series of Commission Implementing Regulations covering, among other things, the person-identification data and electronic attestations of attributes, wallet integrity and core functionality, and protocols and interfaces. The ARF’s technical choices include the credential-exchange and format standards discussed in section 3.2 (OpenID4VCI/VP, SD-JWT VC and the mdoc family).</w:t>
      </w:r>
    </w:p>
    <w:p>
      <w:pPr>
        <w:spacing w:after="120" w:line="276" w:lineRule="auto"/>
        <w:jc w:val="both"/>
      </w:pPr>
      <w:r>
        <w:rPr>
          <w:sz w:val="24"/>
          <w:szCs w:val="24"/>
        </w:rPr>
        <w:t xml:space="preserve">The EUDI Wallet is the gravitational centre of European digital identity, and any European non-custodial tourism wallet must interoperate with it. Tourism entitlements are, conceptually, natural electronic attestations of attributes — a museum pass or a multi-day transport entitlement is an attestation a relying party can verify — but they are not yet profiled in the ARF, which is centred on identity (the person-identification data) rather than sectoral entitlements. A further, practitioner-recognised risk is that the projected plurality of national and private wallets (at least one per Member State, and potentially many more) will not interoperate as smoothly in practice as the common ARF intends, particularly for non-identity attestations. This is precisely the kind of interoperability problem a focused tourism profile can help anticipate.</w:t>
      </w:r>
    </w:p>
    <w:p>
      <w:pPr>
        <w:pStyle w:val="Heading2"/>
        <w:spacing w:after="100" w:before="220"/>
      </w:pPr>
      <w:r>
        <w:t xml:space="preserve">3.6 Ethereum ecosystem token standards</w:t>
      </w:r>
    </w:p>
    <w:p>
      <w:pPr>
        <w:spacing w:after="120" w:line="276" w:lineRule="auto"/>
        <w:jc w:val="both"/>
      </w:pPr>
      <w:r>
        <w:rPr>
          <w:sz w:val="24"/>
          <w:szCs w:val="24"/>
        </w:rPr>
        <w:t xml:space="preserve">At the ledger layer, the Ethereum ecosystem provides the most widely-implemented, openly-specified interfaces for the assets that tourism entitlements most resemble. Several already express tourism-relevant behaviours.</w:t>
      </w:r>
    </w:p>
    <w:p>
      <w:pPr>
        <w:pStyle w:val="ListParagraph"/>
        <w:numPr>
          <w:ilvl w:val="0"/>
          <w:numId w:val="2"/>
        </w:numPr>
        <w:spacing w:after="80" w:line="276" w:lineRule="auto"/>
        <w:jc w:val="both"/>
      </w:pPr>
      <w:r>
        <w:rPr>
          <w:b/>
          <w:bCs/>
          <w:sz w:val="24"/>
          <w:szCs w:val="24"/>
        </w:rPr>
        <w:t xml:space="preserve">ERC-20 (fungible tokens). </w:t>
      </w:r>
      <w:r>
        <w:rPr>
          <w:sz w:val="24"/>
          <w:szCs w:val="24"/>
        </w:rPr>
        <w:t xml:space="preserve">Suitable for loyalty points and divisible value.</w:t>
      </w:r>
    </w:p>
    <w:p>
      <w:pPr>
        <w:pStyle w:val="ListParagraph"/>
        <w:numPr>
          <w:ilvl w:val="0"/>
          <w:numId w:val="2"/>
        </w:numPr>
        <w:spacing w:after="80" w:line="276" w:lineRule="auto"/>
        <w:jc w:val="both"/>
      </w:pPr>
      <w:r>
        <w:rPr>
          <w:b/>
          <w:bCs/>
          <w:sz w:val="24"/>
          <w:szCs w:val="24"/>
        </w:rPr>
        <w:t xml:space="preserve">ERC-721 (non-fungible tokens). </w:t>
      </w:r>
      <w:r>
        <w:rPr>
          <w:sz w:val="24"/>
          <w:szCs w:val="24"/>
        </w:rPr>
        <w:t xml:space="preserve">A single unique ticket, pass or membership.</w:t>
      </w:r>
    </w:p>
    <w:p>
      <w:pPr>
        <w:pStyle w:val="ListParagraph"/>
        <w:numPr>
          <w:ilvl w:val="0"/>
          <w:numId w:val="2"/>
        </w:numPr>
        <w:spacing w:after="80" w:line="276" w:lineRule="auto"/>
        <w:jc w:val="both"/>
      </w:pPr>
      <w:r>
        <w:rPr>
          <w:b/>
          <w:bCs/>
          <w:sz w:val="24"/>
          <w:szCs w:val="24"/>
        </w:rPr>
        <w:t xml:space="preserve">ERC-1155 (multi-token). </w:t>
      </w:r>
      <w:r>
        <w:rPr>
          <w:sz w:val="24"/>
          <w:szCs w:val="24"/>
        </w:rPr>
        <w:t xml:space="preserve">Efficient batches and bundles — a family of tickets, or a package combining several entitlements — with significant gas efficiency for high-volume issuance.</w:t>
      </w:r>
    </w:p>
    <w:p>
      <w:pPr>
        <w:pStyle w:val="ListParagraph"/>
        <w:numPr>
          <w:ilvl w:val="0"/>
          <w:numId w:val="2"/>
        </w:numPr>
        <w:spacing w:after="80" w:line="276" w:lineRule="auto"/>
        <w:jc w:val="both"/>
      </w:pPr>
      <w:r>
        <w:rPr>
          <w:b/>
          <w:bCs/>
          <w:sz w:val="24"/>
          <w:szCs w:val="24"/>
        </w:rPr>
        <w:t xml:space="preserve">ERC-4907 (rentable / time-bound). </w:t>
      </w:r>
      <w:r>
        <w:rPr>
          <w:sz w:val="24"/>
          <w:szCs w:val="24"/>
        </w:rPr>
        <w:t xml:space="preserve">Extends ERC-721 by separating the owner from a time-limited “user” role with automatic expiry. This maps almost directly onto time-bound access rights — a pass valid for a defined window that lapses on its own.</w:t>
      </w:r>
    </w:p>
    <w:p>
      <w:pPr>
        <w:pStyle w:val="ListParagraph"/>
        <w:numPr>
          <w:ilvl w:val="0"/>
          <w:numId w:val="2"/>
        </w:numPr>
        <w:spacing w:after="80" w:line="276" w:lineRule="auto"/>
        <w:jc w:val="both"/>
      </w:pPr>
      <w:r>
        <w:rPr>
          <w:b/>
          <w:bCs/>
          <w:sz w:val="24"/>
          <w:szCs w:val="24"/>
        </w:rPr>
        <w:t xml:space="preserve">ERC-6672 (multi-redeemable NFTs). </w:t>
      </w:r>
      <w:r>
        <w:rPr>
          <w:sz w:val="24"/>
          <w:szCs w:val="24"/>
        </w:rPr>
        <w:t xml:space="preserve">Extends ERC-721 so a token can be redeemed multiple times across scenarios, with the redemption status recorded on-chain. This maps onto gate check-in and multi-benefit passes (entry, then a meet-and-greet, then merchandise).</w:t>
      </w:r>
    </w:p>
    <w:p>
      <w:pPr>
        <w:pStyle w:val="ListParagraph"/>
        <w:numPr>
          <w:ilvl w:val="0"/>
          <w:numId w:val="2"/>
        </w:numPr>
        <w:spacing w:after="80" w:line="276" w:lineRule="auto"/>
        <w:jc w:val="both"/>
      </w:pPr>
      <w:r>
        <w:rPr>
          <w:b/>
          <w:bCs/>
          <w:sz w:val="24"/>
          <w:szCs w:val="24"/>
        </w:rPr>
        <w:t xml:space="preserve">ERC-5192 (minimal soulbound tokens). </w:t>
      </w:r>
      <w:r>
        <w:rPr>
          <w:sz w:val="24"/>
          <w:szCs w:val="24"/>
        </w:rPr>
        <w:t xml:space="preserve">Non-transferable tokens — relevant to entitlements that should not be resold (anti-scalping) or to loyalty status bound to a person.</w:t>
      </w:r>
    </w:p>
    <w:p>
      <w:pPr>
        <w:pStyle w:val="ListParagraph"/>
        <w:numPr>
          <w:ilvl w:val="0"/>
          <w:numId w:val="2"/>
        </w:numPr>
        <w:spacing w:after="80" w:line="276" w:lineRule="auto"/>
        <w:jc w:val="both"/>
      </w:pPr>
      <w:r>
        <w:rPr>
          <w:b/>
          <w:bCs/>
          <w:sz w:val="24"/>
          <w:szCs w:val="24"/>
        </w:rPr>
        <w:t xml:space="preserve">ERC-4337 (account abstraction). </w:t>
      </w:r>
      <w:r>
        <w:rPr>
          <w:sz w:val="24"/>
          <w:szCs w:val="24"/>
        </w:rPr>
        <w:t xml:space="preserve">Smart-contract wallet accounts enabling social recovery, sponsored fees and session keys — central to making non-custodial wallets usable by ordinary travellers, as discussed in section 2.3.</w:t>
      </w:r>
    </w:p>
    <w:p>
      <w:pPr>
        <w:spacing w:after="120" w:line="276" w:lineRule="auto"/>
        <w:jc w:val="both"/>
      </w:pPr>
      <w:r>
        <w:rPr>
          <w:sz w:val="24"/>
          <w:szCs w:val="24"/>
        </w:rPr>
        <w:t xml:space="preserve">These interfaces are powerful, but they share two limitations for the purposes of this fellowship. They are ecosystem-specific (defined for EVM chains, not as cross-ecosystem standards), and they are expressed purely at the smart-contract level, with no standardised binding to the W3C credential layer, the eIDAS trust framework, or selective-disclosure privacy mechanisms. A ticket can be an ERC-6672 token or a Verifiable Credential, but there is no standard that makes it usefully both, or that lets a venue verify the entitlement without forcing a choice of ecosystem.</w:t>
      </w:r>
    </w:p>
    <w:p>
      <w:pPr>
        <w:pStyle w:val="Heading2"/>
        <w:spacing w:after="100" w:before="220"/>
      </w:pPr>
      <w:r>
        <w:t xml:space="preserve">3.7 Adjacent landscape</w:t>
      </w:r>
    </w:p>
    <w:p>
      <w:pPr>
        <w:spacing w:after="120" w:line="276" w:lineRule="auto"/>
        <w:jc w:val="both"/>
      </w:pPr>
      <w:r>
        <w:rPr>
          <w:sz w:val="24"/>
          <w:szCs w:val="24"/>
        </w:rPr>
        <w:t xml:space="preserve">Several other bodies shape the environment without being primary targets. The Decentralized Identity Foundation (DIF) develops complementary specifications including DIDComm messaging, presentation exchange and well-known DID configuration. The OpenWallet Foundation develops open-source wallet engine components that lower the cost of building conformant wallets. Trust over IP develops governance and trust-framework patterns. On the sector side, established tourism and travel data standards (for example, those historically maintained for hospitality and travel distribution) define the entitlement semantics that a wallet profile would need to align with, and CEN/CENELEC work provides the European bridge to ISO. These are relevant primarily as alignment points and liaison opportunities.</w:t>
      </w:r>
    </w:p>
    <w:p>
      <w:pPr>
        <w:pStyle w:val="Heading2"/>
        <w:spacing w:after="100" w:before="220"/>
      </w:pPr>
      <w:r>
        <w:t xml:space="preserve">3.8 Comparison of credential and token formats</w:t>
      </w:r>
    </w:p>
    <w:p>
      <w:pPr>
        <w:spacing w:after="120" w:line="276" w:lineRule="auto"/>
        <w:jc w:val="both"/>
      </w:pPr>
      <w:r>
        <w:rPr>
          <w:sz w:val="24"/>
          <w:szCs w:val="24"/>
        </w:rPr>
        <w:t xml:space="preserve">An implementer building a tourism wallet must choose among several credential formats and token types, each with different properties. The table below compares the four most relevant choices against the dimensions that matter for tourism. The salient conclusion is that no single format covers the full set of tourism needs: the credential formats carry trust, selective disclosure and revocation but not programmable transfer or on-chain redemption, while the token formats carry programmable behaviour but not selective disclosure or eIDAS-aligned trust. This is the structural reason gap G1 (credential–token binding) is the highest-leverage gap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50"/>
        <w:gridCol w:w="1850"/>
        <w:gridCol w:w="1850"/>
        <w:gridCol w:w="1810"/>
      </w:tblGrid>
      <w:tr>
        <w:trPr>
          <w:cantSplit/>
          <w:tblHeader/>
        </w:trPr>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Dimension</w:t>
            </w:r>
          </w:p>
        </w:tc>
        <w:tc>
          <w:tcPr>
            <w:tcW w:type="dxa" w:w="18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SD-JWT VC</w:t>
            </w:r>
          </w:p>
        </w:tc>
        <w:tc>
          <w:tcPr>
            <w:tcW w:type="dxa" w:w="18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mdoc (18013-5)</w:t>
            </w:r>
          </w:p>
        </w:tc>
        <w:tc>
          <w:tcPr>
            <w:tcW w:type="dxa" w:w="18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W3C Data Integrity VC</w:t>
            </w:r>
          </w:p>
        </w:tc>
        <w:tc>
          <w:tcPr>
            <w:tcW w:type="dxa" w:w="18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NFT (ERC-721/6672)</w:t>
            </w:r>
          </w:p>
        </w:tc>
      </w:tr>
      <w:tr>
        <w:trPr>
          <w:cantSplit/>
        </w:trP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Issuer trust model</w:t>
            </w:r>
          </w:p>
        </w:tc>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PKI / eIDAS-aligned</w:t>
            </w:r>
          </w:p>
        </w:tc>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PKI / issuer auth</w:t>
            </w:r>
          </w:p>
        </w:tc>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DID-based</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On-chain / contract</w:t>
            </w:r>
          </w:p>
        </w:tc>
      </w:tr>
      <w:tr>
        <w:trPr>
          <w:cantSplit/>
        </w:trP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Selective disclosure</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Yes (native)</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Yes (native)</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Yes (BBS etc.)</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w:t>
            </w:r>
          </w:p>
        </w:tc>
      </w:tr>
      <w:tr>
        <w:trPr>
          <w:cantSplit/>
        </w:trP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Offline presentation</w:t>
            </w:r>
          </w:p>
        </w:tc>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Limited</w:t>
            </w:r>
          </w:p>
        </w:tc>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Yes (device retrieval)</w:t>
            </w:r>
          </w:p>
        </w:tc>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Limited</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Needs chain/oracle</w:t>
            </w:r>
          </w:p>
        </w:tc>
      </w:tr>
      <w:tr>
        <w:trPr>
          <w:cantSplit/>
        </w:trP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Revocation</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 list</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 mechanisms</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Bitstring Status List</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Burn / on-chain flag</w:t>
            </w:r>
          </w:p>
        </w:tc>
      </w:tr>
      <w:tr>
        <w:trPr>
          <w:cantSplit/>
        </w:trP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Programmable transfer / redemption</w:t>
            </w:r>
          </w:p>
        </w:tc>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w:t>
            </w:r>
          </w:p>
        </w:tc>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w:t>
            </w:r>
          </w:p>
        </w:tc>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Yes (native)</w:t>
            </w:r>
          </w:p>
        </w:tc>
      </w:tr>
      <w:tr>
        <w:trPr>
          <w:cantSplit/>
        </w:trP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Best-fit tourism role</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Identity + attestations</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Gate / offline ID</w:t>
            </w:r>
          </w:p>
        </w:tc>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Linked-data credentials</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Tickets, loyalty, redemption</w:t>
            </w:r>
          </w:p>
        </w:tc>
      </w:tr>
    </w:tbl>
    <w:p>
      <w:pPr>
        <w:pStyle w:val="Heading2"/>
        <w:spacing w:after="100" w:before="220"/>
      </w:pPr>
      <w:r>
        <w:t xml:space="preserve">3.9 Synthesis: where the layers meet and miss</w:t>
      </w:r>
    </w:p>
    <w:p>
      <w:pPr>
        <w:spacing w:after="120" w:line="276" w:lineRule="auto"/>
        <w:jc w:val="both"/>
      </w:pPr>
      <w:r>
        <w:rPr>
          <w:sz w:val="24"/>
          <w:szCs w:val="24"/>
        </w:rPr>
        <w:t xml:space="preserve">Across these venues a clear pattern emerges. The identity and credential layer (W3C, and the eIDAS/EUDI framework) is mature and trust-rich but entitlement-agnostic. The ledger layer (the Ethereum token standards) is entitlement-rich but trust- and privacy-agnostic. The exchange layer (OpenID4VC and the mdoc family) is converging on identity presentation but not on sector entitlements or on offline gate use. The gaps catalogued in section 5 are, almost without exception, located at the seams between these layers rather than inside any one of them. This is encouraging for a standardisation strategy: closing seams through profiles, bindings and shared semantics is more tractable — and more likely to be adopted by an existing working group — than proposing new base standards.</w:t>
      </w:r>
    </w:p>
    <w:p>
      <w:pPr>
        <w:pageBreakBefore/>
      </w:pPr>
    </w:p>
    <w:p>
      <w:pPr>
        <w:pStyle w:val="Heading1"/>
        <w:spacing w:after="140" w:before="320"/>
      </w:pPr>
      <w:r>
        <w:t xml:space="preserve">4. Tourism-specific requirements for non-custodial wallets</w:t>
      </w:r>
    </w:p>
    <w:p>
      <w:pPr>
        <w:spacing w:after="120" w:line="276" w:lineRule="auto"/>
        <w:jc w:val="both"/>
      </w:pPr>
      <w:r>
        <w:rPr>
          <w:sz w:val="24"/>
          <w:szCs w:val="24"/>
        </w:rPr>
        <w:t xml:space="preserve">This section derives the requirements that any standardised non-custodial tourism wallet must satisfy. They are drawn from the operational and legal realities described in section 2 and are written to be testable. The consolidated register, with identifiers, is given in Annex B; the gap analysis in section 5 maps each requirement to the standards that address it and to the residual gap.</w:t>
      </w:r>
    </w:p>
    <w:p>
      <w:pPr>
        <w:spacing w:after="120" w:line="276" w:lineRule="auto"/>
        <w:jc w:val="both"/>
      </w:pPr>
      <w:r>
        <w:rPr>
          <w:sz w:val="24"/>
          <w:szCs w:val="24"/>
        </w:rPr>
        <w:t xml:space="preserve">The requirements fall into three groups: operational (how the wallet must behave at scale and in the physical world), legal and consumer (the rules it must respect), and trust and lifecycle (how issuance, verification and recovery work).</w:t>
      </w:r>
    </w:p>
    <w:p>
      <w:pPr>
        <w:pStyle w:val="Heading3"/>
        <w:spacing w:after="80" w:before="160"/>
      </w:pPr>
      <w:r>
        <w:t xml:space="preserve">Operational requirements</w:t>
      </w:r>
    </w:p>
    <w:p>
      <w:pPr>
        <w:pStyle w:val="ListParagraph"/>
        <w:numPr>
          <w:ilvl w:val="0"/>
          <w:numId w:val="2"/>
        </w:numPr>
        <w:spacing w:after="80" w:line="276" w:lineRule="auto"/>
        <w:jc w:val="both"/>
      </w:pPr>
      <w:r>
        <w:rPr>
          <w:b/>
          <w:bCs/>
          <w:sz w:val="24"/>
          <w:szCs w:val="24"/>
        </w:rPr>
        <w:t xml:space="preserve">R1 — Peak-load throughput. </w:t>
      </w:r>
      <w:r>
        <w:rPr>
          <w:sz w:val="24"/>
          <w:szCs w:val="24"/>
        </w:rPr>
        <w:t xml:space="preserve">Verification must remain fast and reliable during concentrated arrival peaks at gates, front desks and transport hubs.</w:t>
      </w:r>
    </w:p>
    <w:p>
      <w:pPr>
        <w:pStyle w:val="ListParagraph"/>
        <w:numPr>
          <w:ilvl w:val="0"/>
          <w:numId w:val="2"/>
        </w:numPr>
        <w:spacing w:after="80" w:line="276" w:lineRule="auto"/>
        <w:jc w:val="both"/>
      </w:pPr>
      <w:r>
        <w:rPr>
          <w:b/>
          <w:bCs/>
          <w:sz w:val="24"/>
          <w:szCs w:val="24"/>
        </w:rPr>
        <w:t xml:space="preserve">R2 — Time-bound and venue-bound rights. </w:t>
      </w:r>
      <w:r>
        <w:rPr>
          <w:sz w:val="24"/>
          <w:szCs w:val="24"/>
        </w:rPr>
        <w:t xml:space="preserve">Entitlements must encode validity windows and place constraints (a pass valid for a date range at a specific venue) that verifiers can check deterministically.</w:t>
      </w:r>
    </w:p>
    <w:p>
      <w:pPr>
        <w:pStyle w:val="ListParagraph"/>
        <w:numPr>
          <w:ilvl w:val="0"/>
          <w:numId w:val="2"/>
        </w:numPr>
        <w:spacing w:after="80" w:line="276" w:lineRule="auto"/>
        <w:jc w:val="both"/>
      </w:pPr>
      <w:r>
        <w:rPr>
          <w:b/>
          <w:bCs/>
          <w:sz w:val="24"/>
          <w:szCs w:val="24"/>
        </w:rPr>
        <w:t xml:space="preserve">R3 — Offline and intermittent-connectivity verification. </w:t>
      </w:r>
      <w:r>
        <w:rPr>
          <w:sz w:val="24"/>
          <w:szCs w:val="24"/>
        </w:rPr>
        <w:t xml:space="preserve">Verification must work, at least to a defined assurance level, when the gate or the traveller has poor or no connectivity.</w:t>
      </w:r>
    </w:p>
    <w:p>
      <w:pPr>
        <w:pStyle w:val="ListParagraph"/>
        <w:numPr>
          <w:ilvl w:val="0"/>
          <w:numId w:val="2"/>
        </w:numPr>
        <w:spacing w:after="80" w:line="276" w:lineRule="auto"/>
        <w:jc w:val="both"/>
      </w:pPr>
      <w:r>
        <w:rPr>
          <w:b/>
          <w:bCs/>
          <w:sz w:val="24"/>
          <w:szCs w:val="24"/>
        </w:rPr>
        <w:t xml:space="preserve">R4 — Group, family and delegated usage. </w:t>
      </w:r>
      <w:r>
        <w:rPr>
          <w:sz w:val="24"/>
          <w:szCs w:val="24"/>
        </w:rPr>
        <w:t xml:space="preserve">A single holder must be able to carry and present entitlements for a group or family, and to delegate presentation, without each member needing a separately provisioned wallet.</w:t>
      </w:r>
    </w:p>
    <w:p>
      <w:pPr>
        <w:pStyle w:val="ListParagraph"/>
        <w:numPr>
          <w:ilvl w:val="0"/>
          <w:numId w:val="2"/>
        </w:numPr>
        <w:spacing w:after="80" w:line="276" w:lineRule="auto"/>
        <w:jc w:val="both"/>
      </w:pPr>
      <w:r>
        <w:rPr>
          <w:b/>
          <w:bCs/>
          <w:sz w:val="24"/>
          <w:szCs w:val="24"/>
        </w:rPr>
        <w:t xml:space="preserve">R5 — Cross-border and multilingual operation. </w:t>
      </w:r>
      <w:r>
        <w:rPr>
          <w:sz w:val="24"/>
          <w:szCs w:val="24"/>
        </w:rPr>
        <w:t xml:space="preserve">Entitlements issued in one Member State must be verifiable in another, with semantics that survive translation.</w:t>
      </w:r>
    </w:p>
    <w:p>
      <w:pPr>
        <w:pStyle w:val="Heading3"/>
        <w:spacing w:after="80" w:before="160"/>
      </w:pPr>
      <w:r>
        <w:t xml:space="preserve">Legal and consumer requirements</w:t>
      </w:r>
    </w:p>
    <w:p>
      <w:pPr>
        <w:pStyle w:val="ListParagraph"/>
        <w:numPr>
          <w:ilvl w:val="0"/>
          <w:numId w:val="2"/>
        </w:numPr>
        <w:spacing w:after="80" w:line="276" w:lineRule="auto"/>
        <w:jc w:val="both"/>
      </w:pPr>
      <w:r>
        <w:rPr>
          <w:b/>
          <w:bCs/>
          <w:sz w:val="24"/>
          <w:szCs w:val="24"/>
        </w:rPr>
        <w:t xml:space="preserve">R6 — Data minimisation and privacy. </w:t>
      </w:r>
      <w:r>
        <w:rPr>
          <w:sz w:val="24"/>
          <w:szCs w:val="24"/>
        </w:rPr>
        <w:t xml:space="preserve">Presentation must disclose only the attributes a verifier needs, consistent with GDPR data minimisation and purpose limitation.</w:t>
      </w:r>
    </w:p>
    <w:p>
      <w:pPr>
        <w:pStyle w:val="ListParagraph"/>
        <w:numPr>
          <w:ilvl w:val="0"/>
          <w:numId w:val="2"/>
        </w:numPr>
        <w:spacing w:after="80" w:line="276" w:lineRule="auto"/>
        <w:jc w:val="both"/>
      </w:pPr>
      <w:r>
        <w:rPr>
          <w:b/>
          <w:bCs/>
          <w:sz w:val="24"/>
          <w:szCs w:val="24"/>
        </w:rPr>
        <w:t xml:space="preserve">R7 — Consumer protection. </w:t>
      </w:r>
      <w:r>
        <w:rPr>
          <w:sz w:val="24"/>
          <w:szCs w:val="24"/>
        </w:rPr>
        <w:t xml:space="preserve">The model must support transfer and resale controls (including anti-scalping), refunds, and withdrawal/cooling-off rights where applicable.</w:t>
      </w:r>
    </w:p>
    <w:p>
      <w:pPr>
        <w:pStyle w:val="ListParagraph"/>
        <w:numPr>
          <w:ilvl w:val="0"/>
          <w:numId w:val="2"/>
        </w:numPr>
        <w:spacing w:after="80" w:line="276" w:lineRule="auto"/>
        <w:jc w:val="both"/>
      </w:pPr>
      <w:r>
        <w:rPr>
          <w:b/>
          <w:bCs/>
          <w:sz w:val="24"/>
          <w:szCs w:val="24"/>
        </w:rPr>
        <w:t xml:space="preserve">R9 — Accessibility. </w:t>
      </w:r>
      <w:r>
        <w:rPr>
          <w:sz w:val="24"/>
          <w:szCs w:val="24"/>
        </w:rPr>
        <w:t xml:space="preserve">Presentation and verification flows must be usable by travellers with disabilities, consistent with the European Accessibility Act.</w:t>
      </w:r>
    </w:p>
    <w:p>
      <w:pPr>
        <w:pStyle w:val="Heading3"/>
        <w:spacing w:after="80" w:before="160"/>
      </w:pPr>
      <w:r>
        <w:t xml:space="preserve">Trust and lifecycle requirements</w:t>
      </w:r>
    </w:p>
    <w:p>
      <w:pPr>
        <w:pStyle w:val="ListParagraph"/>
        <w:numPr>
          <w:ilvl w:val="0"/>
          <w:numId w:val="2"/>
        </w:numPr>
        <w:spacing w:after="80" w:line="276" w:lineRule="auto"/>
        <w:jc w:val="both"/>
      </w:pPr>
      <w:r>
        <w:rPr>
          <w:b/>
          <w:bCs/>
          <w:sz w:val="24"/>
          <w:szCs w:val="24"/>
        </w:rPr>
        <w:t xml:space="preserve">R8 — Non-custodial key management and recovery. </w:t>
      </w:r>
      <w:r>
        <w:rPr>
          <w:sz w:val="24"/>
          <w:szCs w:val="24"/>
        </w:rPr>
        <w:t xml:space="preserve">Ordinary travellers must be able to recover access after device loss without the scheme becoming custodial in substance.</w:t>
      </w:r>
    </w:p>
    <w:p>
      <w:pPr>
        <w:pStyle w:val="ListParagraph"/>
        <w:numPr>
          <w:ilvl w:val="0"/>
          <w:numId w:val="2"/>
        </w:numPr>
        <w:spacing w:after="80" w:line="276" w:lineRule="auto"/>
        <w:jc w:val="both"/>
      </w:pPr>
      <w:r>
        <w:rPr>
          <w:b/>
          <w:bCs/>
          <w:sz w:val="24"/>
          <w:szCs w:val="24"/>
        </w:rPr>
        <w:t xml:space="preserve">R10 — Issuer/verifier trust and revocation. </w:t>
      </w:r>
      <w:r>
        <w:rPr>
          <w:sz w:val="24"/>
          <w:szCs w:val="24"/>
        </w:rPr>
        <w:t xml:space="preserve">Verifiers must be able to establish that an issuer is legitimate, and issuers must be able to revoke or suspend an entitlement, in an eIDAS-aligned way.</w:t>
      </w:r>
    </w:p>
    <w:p>
      <w:pPr>
        <w:pStyle w:val="ListParagraph"/>
        <w:numPr>
          <w:ilvl w:val="0"/>
          <w:numId w:val="2"/>
        </w:numPr>
        <w:spacing w:after="80" w:line="276" w:lineRule="auto"/>
        <w:jc w:val="both"/>
      </w:pPr>
      <w:r>
        <w:rPr>
          <w:b/>
          <w:bCs/>
          <w:sz w:val="24"/>
          <w:szCs w:val="24"/>
        </w:rPr>
        <w:t xml:space="preserve">R11 — Entitlement representation. </w:t>
      </w:r>
      <w:r>
        <w:rPr>
          <w:sz w:val="24"/>
          <w:szCs w:val="24"/>
        </w:rPr>
        <w:t xml:space="preserve">There must be a consistent model for representing tickets, reservations, access rights and loyalty in the wallet.</w:t>
      </w:r>
    </w:p>
    <w:p>
      <w:pPr>
        <w:pStyle w:val="ListParagraph"/>
        <w:numPr>
          <w:ilvl w:val="0"/>
          <w:numId w:val="2"/>
        </w:numPr>
        <w:spacing w:after="80" w:line="276" w:lineRule="auto"/>
        <w:jc w:val="both"/>
      </w:pPr>
      <w:r>
        <w:rPr>
          <w:b/>
          <w:bCs/>
          <w:sz w:val="24"/>
          <w:szCs w:val="24"/>
        </w:rPr>
        <w:t xml:space="preserve">R12 — Auditability and dispute evidence. </w:t>
      </w:r>
      <w:r>
        <w:rPr>
          <w:sz w:val="24"/>
          <w:szCs w:val="24"/>
        </w:rPr>
        <w:t xml:space="preserve">It must be possible to produce privacy-preserving evidence that an entitlement was (or was not) used, to resolve disputes.</w:t>
      </w:r>
    </w:p>
    <w:p>
      <w:pPr>
        <w:spacing w:after="120" w:line="276" w:lineRule="auto"/>
        <w:jc w:val="both"/>
      </w:pPr>
      <w:r>
        <w:rPr>
          <w:sz w:val="24"/>
          <w:szCs w:val="24"/>
        </w:rPr>
        <w:t xml:space="preserve">To make the register directly usable in standardisation work, each requirement is given a verification-oriented acceptance criterion below. These criteria are written so that a candidate standard, profile or implementation can be assessed against them; specific numeric targets (for example, the latency budget under R1) are deliberately left to be fixed in the Phase 2 requirements document (D1.2) in consultation with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cantSplit/>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Req</w:t>
            </w:r>
          </w:p>
        </w:tc>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Requirement</w:t>
            </w:r>
          </w:p>
        </w:tc>
        <w:tc>
          <w:tcPr>
            <w:tcW w:type="dxa" w:w="5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Acceptance criterion (verification)</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Peak-load throughput</w:t>
            </w:r>
          </w:p>
        </w:tc>
        <w:tc>
          <w:tcPr>
            <w:tcW w:type="dxa" w:w="5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Verification completes within a defined latency budget at sustained peak arrival rates, without per-user network round-trips that scale with queue length.</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R2</w:t>
            </w:r>
          </w:p>
        </w:tc>
        <w:tc>
          <w:tcPr>
            <w:tcW w:type="dxa" w:w="3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Time- and venue-bound rights</w:t>
            </w:r>
          </w:p>
        </w:tc>
        <w:tc>
          <w:tcPr>
            <w:tcW w:type="dxa" w:w="5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verifier can deterministically evaluate the validity window and place constraints from the presented entitlement, offline.</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R3</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Offline verification</w:t>
            </w:r>
          </w:p>
        </w:tc>
        <w:tc>
          <w:tcPr>
            <w:tcW w:type="dxa" w:w="5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Verification succeeds to a stated assurance level with no connectivity at the point of presentation.</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R4</w:t>
            </w:r>
          </w:p>
        </w:tc>
        <w:tc>
          <w:tcPr>
            <w:tcW w:type="dxa" w:w="3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Group / delegated usage</w:t>
            </w:r>
          </w:p>
        </w:tc>
        <w:tc>
          <w:tcPr>
            <w:tcW w:type="dxa" w:w="5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single holder can present multiple entitlements for distinct beneficiaries in one interaction.</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R5</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Cross-border / multilingual</w:t>
            </w:r>
          </w:p>
        </w:tc>
        <w:tc>
          <w:tcPr>
            <w:tcW w:type="dxa" w:w="5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An entitlement issued in one Member State verifies unchanged in another; semantics are coded, not free-text.</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R6</w:t>
            </w:r>
          </w:p>
        </w:tc>
        <w:tc>
          <w:tcPr>
            <w:tcW w:type="dxa" w:w="3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Data minimisation</w:t>
            </w:r>
          </w:p>
        </w:tc>
        <w:tc>
          <w:tcPr>
            <w:tcW w:type="dxa" w:w="5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Each presentation discloses only the attributes in an agreed minimal set for the stated purpose.</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R7</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Consumer protection</w:t>
            </w:r>
          </w:p>
        </w:tc>
        <w:tc>
          <w:tcPr>
            <w:tcW w:type="dxa" w:w="5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Transfer/resale constraints and refund/withdrawal states are expressible and enforceable; an entitlement can be made non-transferable where required.</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R8</w:t>
            </w:r>
          </w:p>
        </w:tc>
        <w:tc>
          <w:tcPr>
            <w:tcW w:type="dxa" w:w="3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Non-custodial recovery</w:t>
            </w:r>
          </w:p>
        </w:tc>
        <w:tc>
          <w:tcPr>
            <w:tcW w:type="dxa" w:w="5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user can restore access after device loss without any third party gaining custody of keys or credentials.</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R9</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Accessibility</w:t>
            </w:r>
          </w:p>
        </w:tc>
        <w:tc>
          <w:tcPr>
            <w:tcW w:type="dxa" w:w="5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Presentation and verification flows meet European Accessibility Act expectations, including non-visual alternatives.</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R10</w:t>
            </w:r>
          </w:p>
        </w:tc>
        <w:tc>
          <w:tcPr>
            <w:tcW w:type="dxa" w:w="3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Issuer/verifier trust &amp; revocation</w:t>
            </w:r>
          </w:p>
        </w:tc>
        <w:tc>
          <w:tcPr>
            <w:tcW w:type="dxa" w:w="5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verifier can establish issuer legitimacy via an eIDAS-aligned mechanism; issuers can revoke or suspend with timely status propagation.</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R11</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Entitlement representation</w:t>
            </w:r>
          </w:p>
        </w:tc>
        <w:tc>
          <w:tcPr>
            <w:tcW w:type="dxa" w:w="5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Tickets, reservations, access rights and loyalty share a common, machine-readable representation across issuers.</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R12</w:t>
            </w:r>
          </w:p>
        </w:tc>
        <w:tc>
          <w:tcPr>
            <w:tcW w:type="dxa" w:w="3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Auditability</w:t>
            </w:r>
          </w:p>
        </w:tc>
        <w:tc>
          <w:tcPr>
            <w:tcW w:type="dxa" w:w="5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privacy-preserving proof of use or non-use can be produced for dispute resolution without exposing unnecessary personal data.</w:t>
            </w:r>
          </w:p>
        </w:tc>
      </w:tr>
    </w:tbl>
    <w:p>
      <w:pPr>
        <w:pageBreakBefore/>
      </w:pPr>
    </w:p>
    <w:p>
      <w:pPr>
        <w:pStyle w:val="Heading1"/>
        <w:spacing w:after="140" w:before="320"/>
      </w:pPr>
      <w:r>
        <w:t xml:space="preserve">5. Gap analysis</w:t>
      </w:r>
    </w:p>
    <w:p>
      <w:pPr>
        <w:spacing w:after="120" w:line="276" w:lineRule="auto"/>
        <w:jc w:val="both"/>
      </w:pPr>
      <w:r>
        <w:rPr>
          <w:sz w:val="24"/>
          <w:szCs w:val="24"/>
        </w:rPr>
        <w:t xml:space="preserve">This section is the core of the report. For each gap it states the problem, explains why current standards do not close it, and names the standardisation venue best placed to address it. A summary matrix follows, and the full requirement-to-gap traceability is in Annex C.</w:t>
      </w:r>
    </w:p>
    <w:p>
      <w:pPr>
        <w:pStyle w:val="Heading2"/>
        <w:spacing w:after="100" w:before="220"/>
      </w:pPr>
      <w:r>
        <w:t xml:space="preserve">5.1 Identified gaps</w:t>
      </w:r>
    </w:p>
    <w:p>
      <w:pPr>
        <w:pStyle w:val="Heading3"/>
        <w:spacing w:after="80" w:before="160"/>
      </w:pPr>
      <w:r>
        <w:t xml:space="preserve">G1 — No interoperable binding between the credential layer and the token layer</w:t>
      </w:r>
    </w:p>
    <w:p>
      <w:pPr>
        <w:spacing w:after="120" w:line="276" w:lineRule="auto"/>
        <w:jc w:val="both"/>
      </w:pPr>
      <w:r>
        <w:rPr>
          <w:sz w:val="24"/>
          <w:szCs w:val="24"/>
        </w:rPr>
        <w:t xml:space="preserve">A tourism entitlement can be expressed as a Verifiable Credential (carrying trust, selective disclosure and revocation) or as a ledger token such as an ERC-721/1155/6672 (carrying programmable transfer, redemption and on-chain provenance). No standard binds the two, so an entitlement is forced into one world or the other and loses the benefits of the other. Closing this gap requires an agreed mapping and binding pattern. Natural venues: W3C Credentials Community Group (binding pattern), ISO/TS 23516 (interoperability), ETSI ISG PDL (NFT/SSI alignment). Severity: high.</w:t>
      </w:r>
    </w:p>
    <w:p>
      <w:pPr>
        <w:pStyle w:val="Heading3"/>
        <w:spacing w:after="80" w:before="160"/>
      </w:pPr>
      <w:r>
        <w:t xml:space="preserve">G2 — Offline gate verification is not profiled for entitlements</w:t>
      </w:r>
    </w:p>
    <w:p>
      <w:pPr>
        <w:spacing w:after="120" w:line="276" w:lineRule="auto"/>
        <w:jc w:val="both"/>
      </w:pPr>
      <w:r>
        <w:rPr>
          <w:sz w:val="24"/>
          <w:szCs w:val="24"/>
        </w:rPr>
        <w:t xml:space="preserve">The mdoc family (ISO/IEC 18013-5) provides an offline device-retrieval model, but for identity documents; the dominant presentation protocol for credentials, OpenID4VP, generally assumes connectivity. There is no profile defining how a tourism entitlement is verified offline at a gate to a defined assurance level. Natural venues: ISO/IEC 18013 work and OpenID Foundation (profile), with tourism requirements contributed via W3C and ISO/TC 307. Severity: high.</w:t>
      </w:r>
    </w:p>
    <w:p>
      <w:pPr>
        <w:pStyle w:val="Heading3"/>
        <w:spacing w:after="80" w:before="160"/>
      </w:pPr>
      <w:r>
        <w:t xml:space="preserve">G3 — Time-bound and venue-bound rights lack a wallet-portable representation</w:t>
      </w:r>
    </w:p>
    <w:p>
      <w:pPr>
        <w:spacing w:after="120" w:line="276" w:lineRule="auto"/>
        <w:jc w:val="both"/>
      </w:pPr>
      <w:r>
        <w:rPr>
          <w:sz w:val="24"/>
          <w:szCs w:val="24"/>
        </w:rPr>
        <w:t xml:space="preserve">ERC-4907 expresses time-bound usage on EVM chains, but there is no cross-ecosystem or credential-level representation of a validity window and venue constraint that any conformant wallet and verifier can interpret. Natural venues: W3C VCWG (credential expression), ISO/TS 23516. Severity: high.</w:t>
      </w:r>
    </w:p>
    <w:p>
      <w:pPr>
        <w:pStyle w:val="Heading3"/>
        <w:spacing w:after="80" w:before="160"/>
      </w:pPr>
      <w:r>
        <w:t xml:space="preserve">G4 — Venue-redemption semantics are not standardised across layers</w:t>
      </w:r>
    </w:p>
    <w:p>
      <w:pPr>
        <w:spacing w:after="120" w:line="276" w:lineRule="auto"/>
        <w:jc w:val="both"/>
      </w:pPr>
      <w:r>
        <w:rPr>
          <w:sz w:val="24"/>
          <w:szCs w:val="24"/>
        </w:rPr>
        <w:t xml:space="preserve">ERC-6672 records redemption on-chain, but redemption is not linked to credential presentation or to the trust framework, so a venue cannot uniformly “check in” an entitlement regardless of how it was issued. Natural venues: ETSI ISG PDL, W3C CCG. Severity: medium-high.</w:t>
      </w:r>
    </w:p>
    <w:p>
      <w:pPr>
        <w:pStyle w:val="Heading3"/>
        <w:spacing w:after="80" w:before="160"/>
      </w:pPr>
      <w:r>
        <w:t xml:space="preserve">G5 — No throughput benchmark or performance profile for peak-load verification</w:t>
      </w:r>
    </w:p>
    <w:p>
      <w:pPr>
        <w:spacing w:after="120" w:line="276" w:lineRule="auto"/>
        <w:jc w:val="both"/>
      </w:pPr>
      <w:r>
        <w:rPr>
          <w:sz w:val="24"/>
          <w:szCs w:val="24"/>
        </w:rPr>
        <w:t xml:space="preserve">No standard defines acceptable verification latency or a benchmark methodology for peak-load gate scenarios, so operators cannot specify or compare wallets against a sector requirement. Natural venues: ETSI (profile/benchmark), ISO/TC 307. Severity: medium.</w:t>
      </w:r>
    </w:p>
    <w:p>
      <w:pPr>
        <w:pStyle w:val="Heading3"/>
        <w:spacing w:after="80" w:before="160"/>
      </w:pPr>
      <w:r>
        <w:t xml:space="preserve">G6 — Group, family and delegated holding are not modelled</w:t>
      </w:r>
    </w:p>
    <w:p>
      <w:pPr>
        <w:spacing w:after="120" w:line="276" w:lineRule="auto"/>
        <w:jc w:val="both"/>
      </w:pPr>
      <w:r>
        <w:rPr>
          <w:sz w:val="24"/>
          <w:szCs w:val="24"/>
        </w:rPr>
        <w:t xml:space="preserve">The credential model and the ARF largely assume a single holder presenting their own attributes. Group and family usage — routine in tourism — and delegated presentation are unmodelled. Natural venues: W3C VCWG/CCG, EUDI ARF (via requirements). Severity: medium-high.</w:t>
      </w:r>
    </w:p>
    <w:p>
      <w:pPr>
        <w:pStyle w:val="Heading3"/>
        <w:spacing w:after="80" w:before="160"/>
      </w:pPr>
      <w:r>
        <w:t xml:space="preserve">G7 — Cross-border trust establishment for tourism issuers and verifiers is unscaled</w:t>
      </w:r>
    </w:p>
    <w:p>
      <w:pPr>
        <w:spacing w:after="120" w:line="276" w:lineRule="auto"/>
        <w:jc w:val="both"/>
      </w:pPr>
      <w:r>
        <w:rPr>
          <w:sz w:val="24"/>
          <w:szCs w:val="24"/>
        </w:rPr>
        <w:t xml:space="preserve">eIDAS trust lists cover qualified trust service providers, but there is no scalable mechanism for establishing the legitimacy of the very large number of tourism issuers (operators) and verifiers (venues) across borders. Natural venues: ETSI TC ESI, EUDI framework. Severity: high.</w:t>
      </w:r>
    </w:p>
    <w:p>
      <w:pPr>
        <w:pStyle w:val="Heading3"/>
        <w:spacing w:after="80" w:before="160"/>
      </w:pPr>
      <w:r>
        <w:t xml:space="preserve">G8 — No tourism data-minimisation profile</w:t>
      </w:r>
    </w:p>
    <w:p>
      <w:pPr>
        <w:spacing w:after="120" w:line="276" w:lineRule="auto"/>
        <w:jc w:val="both"/>
      </w:pPr>
      <w:r>
        <w:rPr>
          <w:sz w:val="24"/>
          <w:szCs w:val="24"/>
        </w:rPr>
        <w:t xml:space="preserve">Selective disclosure exists (SD-JWT VC, and BBS-style proofs), but there is no agreed minimal attribute set defining what a venue may request for a given purpose, leaving privacy to each implementer. Natural venues: ISO/IEC JTC 1/SC 27 – ISO/TC 307 JWG 4, W3C. Severity: high.</w:t>
      </w:r>
    </w:p>
    <w:p>
      <w:pPr>
        <w:pStyle w:val="Heading3"/>
        <w:spacing w:after="80" w:before="160"/>
      </w:pPr>
      <w:r>
        <w:t xml:space="preserve">G9 — Non-custodial key management and recovery are unstandardised for non-experts</w:t>
      </w:r>
    </w:p>
    <w:p>
      <w:pPr>
        <w:spacing w:after="120" w:line="276" w:lineRule="auto"/>
        <w:jc w:val="both"/>
      </w:pPr>
      <w:r>
        <w:rPr>
          <w:sz w:val="24"/>
          <w:szCs w:val="24"/>
        </w:rPr>
        <w:t xml:space="preserve">Recovery after device loss is essential for travellers, but standard recovery patterns (including ERC-4337 social recovery) are not profiled for the sector, and the tension between recoverability and strict non-custody is unresolved in any standard. Natural venues: ISO/TC 307 (security), Ethereum standards process (account-abstraction profile). Severity: high.</w:t>
      </w:r>
    </w:p>
    <w:p>
      <w:pPr>
        <w:pStyle w:val="Heading3"/>
        <w:spacing w:after="80" w:before="160"/>
      </w:pPr>
      <w:r>
        <w:t xml:space="preserve">G10 — No sectoral attestation profile for tourism in the EUDI framework</w:t>
      </w:r>
    </w:p>
    <w:p>
      <w:pPr>
        <w:spacing w:after="120" w:line="276" w:lineRule="auto"/>
        <w:jc w:val="both"/>
      </w:pPr>
      <w:r>
        <w:rPr>
          <w:sz w:val="24"/>
          <w:szCs w:val="24"/>
        </w:rPr>
        <w:t xml:space="preserve">The ARF is centred on identity (person-identification data) rather than sectoral entitlements; tourism electronic attestations of attributes are not profiled, so there is no agreed way to issue and verify, say, a multi-day regional transport pass as an EUDI-compatible attestation. Natural venues: EUDI framework / eIDAS expert group (via contributed requirements), ETSI TC ESI. Severity: high.</w:t>
      </w:r>
    </w:p>
    <w:p>
      <w:pPr>
        <w:pStyle w:val="Heading3"/>
        <w:spacing w:after="80" w:before="160"/>
      </w:pPr>
      <w:r>
        <w:t xml:space="preserve">G11 — No shared semantics for tourism entitlements across bodies</w:t>
      </w:r>
    </w:p>
    <w:p>
      <w:pPr>
        <w:spacing w:after="120" w:line="276" w:lineRule="auto"/>
        <w:jc w:val="both"/>
      </w:pPr>
      <w:r>
        <w:rPr>
          <w:sz w:val="24"/>
          <w:szCs w:val="24"/>
        </w:rPr>
        <w:t xml:space="preserve">“Ticket”, “reservation”, “entitlement” and “access right” have no shared, cross-body vocabulary spanning W3C, ISO and the Ethereum ecosystem, which blocks interoperability at the meaning level even when formats align. Natural venues: ISO/TC 307 (terminology, ISO 22739 revision), W3C, alignment with tourism data standards. Severity: medium-high.</w:t>
      </w:r>
    </w:p>
    <w:p>
      <w:pPr>
        <w:pStyle w:val="Heading3"/>
        <w:spacing w:after="80" w:before="160"/>
      </w:pPr>
      <w:r>
        <w:t xml:space="preserve">G12 — No standard mechanism for consumer-protection controls</w:t>
      </w:r>
    </w:p>
    <w:p>
      <w:pPr>
        <w:spacing w:after="120" w:line="276" w:lineRule="auto"/>
        <w:jc w:val="both"/>
      </w:pPr>
      <w:r>
        <w:rPr>
          <w:sz w:val="24"/>
          <w:szCs w:val="24"/>
        </w:rPr>
        <w:t xml:space="preserve">Transfer/resale limits, anti-scalping, refunds and cooling-off have no standard expression; the soulbound (ERC-5192) versus transferable tension is unresolved at the standards level. Natural venues: W3C (credential terms), ETSI ISG PDL. Severity: medium.</w:t>
      </w:r>
    </w:p>
    <w:p>
      <w:pPr>
        <w:pStyle w:val="Heading3"/>
        <w:spacing w:after="80" w:before="160"/>
      </w:pPr>
      <w:r>
        <w:t xml:space="preserve">G13 — No accessibility profile for venue presentation flows</w:t>
      </w:r>
    </w:p>
    <w:p>
      <w:pPr>
        <w:spacing w:after="120" w:line="276" w:lineRule="auto"/>
        <w:jc w:val="both"/>
      </w:pPr>
      <w:r>
        <w:rPr>
          <w:sz w:val="24"/>
          <w:szCs w:val="24"/>
        </w:rPr>
        <w:t xml:space="preserve">There is no accessibility profile, consistent with the European Accessibility Act, for the wallet presentation and verification experience at physical venues. Natural venues: ETSI/CEN-CENELEC accessibility work, with EUDI alignment. Severity: medium.</w:t>
      </w:r>
    </w:p>
    <w:p>
      <w:pPr>
        <w:pStyle w:val="Heading3"/>
        <w:spacing w:after="80" w:before="160"/>
      </w:pPr>
      <w:r>
        <w:t xml:space="preserve">G14 — No privacy-preserving auditability and dispute-evidence model</w:t>
      </w:r>
    </w:p>
    <w:p>
      <w:pPr>
        <w:spacing w:after="120" w:line="276" w:lineRule="auto"/>
        <w:jc w:val="both"/>
      </w:pPr>
      <w:r>
        <w:rPr>
          <w:sz w:val="24"/>
          <w:szCs w:val="24"/>
        </w:rPr>
        <w:t xml:space="preserve">Resolving disputes (was the entitlement used?) without exposing unnecessary personal data has no standard model for non-custodial entitlement transactions. Natural venues: ISO/TC 307 JWG 4, W3C. Severity: medium.</w:t>
      </w:r>
    </w:p>
    <w:p>
      <w:pPr>
        <w:pStyle w:val="Heading2"/>
        <w:spacing w:after="100" w:before="220"/>
      </w:pPr>
      <w:r>
        <w:t xml:space="preserve">5.2 Gap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50"/>
        <w:gridCol w:w="2100"/>
        <w:gridCol w:w="1810"/>
        <w:gridCol w:w="900"/>
      </w:tblGrid>
      <w:tr>
        <w:trPr>
          <w:cantSplit/>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Gap</w:t>
            </w:r>
          </w:p>
        </w:tc>
        <w:tc>
          <w:tcPr>
            <w:tcW w:type="dxa" w:w="36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Issue (short)</w:t>
            </w:r>
          </w:p>
        </w:tc>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Most relevant standards</w:t>
            </w:r>
          </w:p>
        </w:tc>
        <w:tc>
          <w:tcPr>
            <w:tcW w:type="dxa" w:w="18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Candidate venue</w:t>
            </w:r>
          </w:p>
        </w:tc>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Severity</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Credential–token binding missing</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 2.0; ERC-721/6672; ISO/TS 23516</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CCG; ISO/TC 307; ETSI PDL</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G2</w:t>
            </w:r>
          </w:p>
        </w:tc>
        <w:tc>
          <w:tcPr>
            <w:tcW w:type="dxa" w:w="36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Offline gate verification unprofiled</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ISO/IEC 18013-5; OpenID4VP</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OpenID Foundation</w:t>
            </w:r>
          </w:p>
        </w:tc>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G3</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Time/venue-bound rights not portable</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ERC-4907; W3C VC 2.0</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 ISO/TS 23516</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G4</w:t>
            </w:r>
          </w:p>
        </w:tc>
        <w:tc>
          <w:tcPr>
            <w:tcW w:type="dxa" w:w="36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Redemption semantics not cross-layer</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ERC-6672</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PDL; W3C CCG</w:t>
            </w:r>
          </w:p>
        </w:tc>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Med-High</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G5</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 throughput benchmark</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(none)</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ISO/TC 307</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Medium</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G6</w:t>
            </w:r>
          </w:p>
        </w:tc>
        <w:tc>
          <w:tcPr>
            <w:tcW w:type="dxa" w:w="36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Group/family/delegation not modelled</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 2.0; EUDI ARF</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VCWG/CCG</w:t>
            </w:r>
          </w:p>
        </w:tc>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Med-High</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G7</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Cross-border issuer/verifier trust</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trust lists; ETSI EN 319 4xx</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TC ESI; EUDI</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G8</w:t>
            </w:r>
          </w:p>
        </w:tc>
        <w:tc>
          <w:tcPr>
            <w:tcW w:type="dxa" w:w="36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 data-minimisation profile</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SD-JWT VC; ISO/TR 23244</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JWG 4; W3C</w:t>
            </w:r>
          </w:p>
        </w:tc>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G9</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Recovery vs non-custody unresolved</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ERC-4337; ISO/TR 23576</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Ethereum</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G10</w:t>
            </w:r>
          </w:p>
        </w:tc>
        <w:tc>
          <w:tcPr>
            <w:tcW w:type="dxa" w:w="36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 tourism attestation profile</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 ARF; SD-JWT VC</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 / eIDAS group; ETSI ESI</w:t>
            </w:r>
          </w:p>
        </w:tc>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G11</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 shared entitlement semantics</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22739; W3C VC 2.0</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W3C</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Med-High</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G12</w:t>
            </w:r>
          </w:p>
        </w:tc>
        <w:tc>
          <w:tcPr>
            <w:tcW w:type="dxa" w:w="36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 consumer-protection controls</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ERC-5192</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ETSI PDL</w:t>
            </w:r>
          </w:p>
        </w:tc>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Medium</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G13</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 accessibility profile</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EAA; (none specific)</w:t>
            </w:r>
          </w:p>
        </w:tc>
        <w:tc>
          <w:tcPr>
            <w:tcW w:type="dxa" w:w="18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ETSI/CEN-CENELEC; EUDI</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Medium</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G14</w:t>
            </w:r>
          </w:p>
        </w:tc>
        <w:tc>
          <w:tcPr>
            <w:tcW w:type="dxa" w:w="36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 privacy-preserving audit model</w:t>
            </w:r>
          </w:p>
        </w:tc>
        <w:tc>
          <w:tcPr>
            <w:tcW w:type="dxa" w:w="2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ISO/TR 23244</w:t>
            </w:r>
          </w:p>
        </w:tc>
        <w:tc>
          <w:tcPr>
            <w:tcW w:type="dxa" w:w="18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JWG 4; W3C</w:t>
            </w:r>
          </w:p>
        </w:tc>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Medium</w:t>
            </w:r>
          </w:p>
        </w:tc>
      </w:tr>
    </w:tbl>
    <w:p>
      <w:pPr>
        <w:pStyle w:val="Heading2"/>
        <w:spacing w:after="100" w:before="220"/>
      </w:pPr>
      <w:r>
        <w:t xml:space="preserve">5.3 Prioritisation and sequencing</w:t>
      </w:r>
    </w:p>
    <w:p>
      <w:pPr>
        <w:spacing w:after="120" w:line="276" w:lineRule="auto"/>
        <w:jc w:val="both"/>
      </w:pPr>
      <w:r>
        <w:rPr>
          <w:sz w:val="24"/>
          <w:szCs w:val="24"/>
        </w:rPr>
        <w:t xml:space="preserve">Not all fourteen gaps can be addressed with equal weight within a fellowship of this scale. The report prioritises five — G1 (credential–token binding), G2 (offline gate verification), G3 (time- and venue-bound rights), G8 (data-minimisation profile) and G10 (tourism attestation profile) — on three criteria: impact (how central the gap is to the sector’s distinctive needs), tractability (whether a focused, well-evidenced contribution can plausibly be taken up within an existing work item during the fellowship), and uptake likelihood (whether an active working group is already moving in the relevant direction, such as ISO/TS 23516, ISO/AWI 7603 or the EUDI attestation work). The remaining gaps are documented in full both for completeness and because several are well suited to lighter-weight liaison contributions — terminology input (G11), accessibility alignment (G13) and audit considerations (G14) — that can be made without a dedicated drafting effort.</w:t>
      </w:r>
    </w:p>
    <w:p>
      <w:pPr>
        <w:pStyle w:val="Heading1"/>
        <w:spacing w:after="140" w:before="320"/>
      </w:pPr>
      <w:r>
        <w:t xml:space="preserve">6. Mapping to EU policy and the ICT Rolling Plan</w:t>
      </w:r>
    </w:p>
    <w:p>
      <w:pPr>
        <w:spacing w:after="120" w:line="276" w:lineRule="auto"/>
        <w:jc w:val="both"/>
      </w:pPr>
      <w:r>
        <w:rPr>
          <w:sz w:val="24"/>
          <w:szCs w:val="24"/>
        </w:rPr>
        <w:t xml:space="preserve">The fellowship’s work is anchored in the European Commission’s Rolling Plan for ICT Standardisation, which is revised annually. The current edition is the Rolling Plan 2026, published in March 2026. Because the original application referenced the 2025 edition, the mapping below is given against the 2026 edition, and the principal change is noted: in 2026 the foundational drivers are Data Economy (3.0.1) and Cybersecurity / Network and Information Security (3.0.2), with ePrivacy reorganised into the societal-challenges section (3.2.10); in earlier editions privacy sat among the foundational drivers. The eID and trust-services chapter and the data-interoperability chapter were both substantially revised in 2026 to reflect the updated eIDAS framework and the Data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Rolling Plan 2026 area</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How this activity contributes</w:t>
            </w:r>
          </w:p>
        </w:tc>
      </w:tr>
      <w:tr>
        <w:trPr>
          <w:cantSplit/>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Blockchain and DLT (Innovation for the Digital Single Market)</w:t>
            </w:r>
          </w:p>
        </w:tc>
        <w:tc>
          <w:tcPr>
            <w:tcW w:type="dxa" w:w="6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Provides tourism-specific requirements, use cases and implementation guidance that strengthen the application of existing blockchain/DLT and credential standards in a high-volume, cross-border sector.</w:t>
            </w:r>
          </w:p>
        </w:tc>
      </w:tr>
      <w:tr>
        <w:trPr>
          <w:cantSplit/>
        </w:trPr>
        <w:tc>
          <w:tcPr>
            <w:tcW w:type="dxa" w:w="3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Electronic identification and trust services incl. e-signatures (3.1.5)</w:t>
            </w:r>
          </w:p>
        </w:tc>
        <w:tc>
          <w:tcPr>
            <w:tcW w:type="dxa" w:w="6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Contributes concrete entitlement and verification use cases for integrating DIDs and Verifiable Credentials with eIDAS trust services and the EUDI Wallet, addressing gaps G7 and G10.</w:t>
            </w:r>
          </w:p>
        </w:tc>
      </w:tr>
      <w:tr>
        <w:trPr>
          <w:cantSplit/>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Data interoperability (3.1.3)</w:t>
            </w:r>
          </w:p>
        </w:tc>
        <w:tc>
          <w:tcPr>
            <w:tcW w:type="dxa" w:w="6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Defines consistent representations and verification flows for tourism entitlements that enable cross-system and cross-border use, addressing gaps G1, G3 and G11.</w:t>
            </w:r>
          </w:p>
        </w:tc>
      </w:tr>
      <w:tr>
        <w:trPr>
          <w:cantSplit/>
        </w:trPr>
        <w:tc>
          <w:tcPr>
            <w:tcW w:type="dxa" w:w="3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Cybersecurity / NIS (3.0.2)</w:t>
            </w:r>
          </w:p>
        </w:tc>
        <w:tc>
          <w:tcPr>
            <w:tcW w:type="dxa" w:w="6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Addresses secure non-custodial key management, recovery and verifier trust (G7, G9), aligning with secure-architecture actions.</w:t>
            </w:r>
          </w:p>
        </w:tc>
      </w:tr>
      <w:tr>
        <w:trPr>
          <w:cantSplit/>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Data Economy (3.0.1)</w:t>
            </w:r>
          </w:p>
        </w:tc>
        <w:tc>
          <w:tcPr>
            <w:tcW w:type="dxa" w:w="6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Supports portable, reusable, user-controlled entitlement data, reducing intermediary lock-in for SMEs.</w:t>
            </w:r>
          </w:p>
        </w:tc>
      </w:tr>
      <w:tr>
        <w:trPr>
          <w:cantSplit/>
        </w:trPr>
        <w:tc>
          <w:tcPr>
            <w:tcW w:type="dxa" w:w="3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ePrivacy (3.2.10)</w:t>
            </w:r>
          </w:p>
        </w:tc>
        <w:tc>
          <w:tcPr>
            <w:tcW w:type="dxa" w:w="6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Supports data minimisation and privacy-preserving verification profiles for the sector (G8, G14).</w:t>
            </w:r>
          </w:p>
        </w:tc>
      </w:tr>
    </w:tbl>
    <w:p>
      <w:pPr>
        <w:spacing w:after="120" w:line="276" w:lineRule="auto"/>
        <w:jc w:val="both"/>
      </w:pPr>
      <w:r>
        <w:rPr>
          <w:sz w:val="24"/>
          <w:szCs w:val="24"/>
        </w:rPr>
        <w:t xml:space="preserve">Beyond the Rolling Plan, the activity supports the EU Digital Identity Wallet implementation under the revised eIDAS framework, the Digital Single Market objective of seamless cross-border services, and the strategic-autonomy objective of reducing dependence on non-European, closed wallet ecosystems by favouring open, interoperable, non-custodial architectures.</w:t>
      </w:r>
    </w:p>
    <w:p>
      <w:pPr>
        <w:pageBreakBefore/>
      </w:pPr>
    </w:p>
    <w:p>
      <w:pPr>
        <w:pStyle w:val="Heading1"/>
        <w:spacing w:after="140" w:before="320"/>
      </w:pPr>
      <w:r>
        <w:t xml:space="preserve">7. Conclusions and inputs to Phase 2</w:t>
      </w:r>
    </w:p>
    <w:p>
      <w:pPr>
        <w:spacing w:after="120" w:line="276" w:lineRule="auto"/>
        <w:jc w:val="both"/>
      </w:pPr>
      <w:r>
        <w:rPr>
          <w:sz w:val="24"/>
          <w:szCs w:val="24"/>
        </w:rPr>
        <w:t xml:space="preserve">The state of the art is one of mature foundations and missing connective tissue. The identity and credential layer (W3C), the trust layer (eIDAS/ETSI), and the ledger-asset layer (Ethereum standards) are each individually strong, and the EUDI Wallet provides a clear European centre of gravity. The deficit is sector-specific: nothing yet ties these layers together for the operational and legal realities of tourism, and nothing profiles them for high-throughput, sometimes-offline, cross-border, SME-operated venue access.</w:t>
      </w:r>
    </w:p>
    <w:p>
      <w:pPr>
        <w:spacing w:after="120" w:line="276" w:lineRule="auto"/>
        <w:jc w:val="both"/>
      </w:pPr>
      <w:r>
        <w:rPr>
          <w:sz w:val="24"/>
          <w:szCs w:val="24"/>
        </w:rPr>
        <w:t xml:space="preserve">Of the fourteen gaps, the report identifies a smaller set as the highest-leverage and most tractable within a fellowship of this scale, and therefore as the priority inputs to Phase 2 contributions: the credential–token binding (G1), the wallet-portable representation of time- and venue-bound rights (G3), the tourism data-minimisation profile (G8), the tourism attestation profile for the EUDI framework (G10), and offline gate verification (G2). These are the gaps where a focused, well-evidenced tourism contribution can most plausibly be taken up by an existing working group, and where the sector’s needs are most distinctive.</w:t>
      </w:r>
    </w:p>
    <w:p>
      <w:pPr>
        <w:spacing w:after="120" w:line="276" w:lineRule="auto"/>
        <w:jc w:val="both"/>
      </w:pPr>
      <w:r>
        <w:rPr>
          <w:sz w:val="24"/>
          <w:szCs w:val="24"/>
        </w:rPr>
        <w:t xml:space="preserve">Accordingly, the recommended Phase 2 routing is: contribute the credential-expression and binding requirements (G1, G3, G6, G11) to the W3C Verifiable Credentials Working Group and Credentials Community Group; contribute interoperability and decentralized-identity requirements (G1, G3, G11) to ISO/TC 307, targeting ISO/TS 23516 and ISO/AWI 7603, with privacy and audit considerations (G8, G14) to JWG 4; contribute trust, attestation and accessibility requirements (G7, G10, G13) via ETSI TC ESI and the EUDI/eIDAS expert process; and contribute NFT-entitlement, redemption and consumer-protection requirements (G4, G12) and permissioned-ledger SSI patterns to ETSI ISG PDL. The key-management and recovery work (G9) is routed to ISO/TC 307 security work and the Ethereum account-abstraction process.</w:t>
      </w:r>
    </w:p>
    <w:p>
      <w:pPr>
        <w:spacing w:after="120" w:line="276" w:lineRule="auto"/>
        <w:jc w:val="both"/>
      </w:pPr>
      <w:r>
        <w:rPr>
          <w:sz w:val="24"/>
          <w:szCs w:val="24"/>
        </w:rPr>
        <w:t xml:space="preserve">The requirements register (Annex B) and the gap traceability matrix (Annex C) are structured so that they can be lifted directly into the Phase 2 requirements and use-cases document (D1.2) and into individual standards contributions. On that basis, the Phase 1 objective — establishing a solid analytical and technical foundation, with a validated gap analysis and a consolidated requirements set — is met.</w:t>
      </w:r>
    </w:p>
    <w:p>
      <w:pPr>
        <w:pStyle w:val="Heading2"/>
        <w:spacing w:after="100" w:before="220"/>
      </w:pPr>
      <w:r>
        <w:t xml:space="preserve">7.1 Summary of recommended Phase 2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560"/>
        <w:gridCol w:w="2200"/>
      </w:tblGrid>
      <w:tr>
        <w:trPr>
          <w:cantSplit/>
          <w:tblHeader/>
        </w:trPr>
        <w:tc>
          <w:tcPr>
            <w:tcW w:type="dxa" w:w="1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Priority gap</w:t>
            </w:r>
          </w:p>
        </w:tc>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Contribution artifact</w:t>
            </w:r>
          </w:p>
        </w:tc>
        <w:tc>
          <w:tcPr>
            <w:tcW w:type="dxa" w:w="2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Target venue</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Form</w:t>
            </w:r>
          </w:p>
        </w:tc>
      </w:tr>
      <w:tr>
        <w:trPr>
          <w:cantSplit/>
        </w:trPr>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Credential–token binding pattern + use cases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CCG; ETSI ISG PDL</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Use case + technical note</w:t>
            </w:r>
          </w:p>
        </w:tc>
      </w:tr>
      <w:tr>
        <w:trPr>
          <w:cantSplit/>
        </w:trPr>
        <w:tc>
          <w:tcPr>
            <w:tcW w:type="dxa" w:w="1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G3</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Time/venue-bound entitlement expression</w:t>
            </w:r>
          </w:p>
        </w:tc>
        <w:tc>
          <w:tcPr>
            <w:tcW w:type="dxa" w:w="2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 ISO/TS 23516</w:t>
            </w:r>
          </w:p>
        </w:tc>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Requirements input</w:t>
            </w:r>
          </w:p>
        </w:tc>
      </w:tr>
      <w:tr>
        <w:trPr>
          <w:cantSplit/>
        </w:trPr>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G2</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Offline gate-verification profile reqs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18013 work; OpenID Fdn</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Requirements input</w:t>
            </w:r>
          </w:p>
        </w:tc>
      </w:tr>
      <w:tr>
        <w:trPr>
          <w:cantSplit/>
        </w:trPr>
        <w:tc>
          <w:tcPr>
            <w:tcW w:type="dxa" w:w="1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G8</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Tourism data-minimisation profile</w:t>
            </w:r>
          </w:p>
        </w:tc>
        <w:tc>
          <w:tcPr>
            <w:tcW w:type="dxa" w:w="2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JWG 4; W3C</w:t>
            </w:r>
          </w:p>
        </w:tc>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Profile draft</w:t>
            </w:r>
          </w:p>
        </w:tc>
      </w:tr>
      <w:tr>
        <w:trPr>
          <w:cantSplit/>
        </w:trPr>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G10</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Tourism attestation (EAA) profile</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 / eIDAS group; ETSI ESI</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Use case + reqs</w:t>
            </w:r>
          </w:p>
        </w:tc>
      </w:tr>
      <w:tr>
        <w:trPr>
          <w:cantSplit/>
        </w:trPr>
        <w:tc>
          <w:tcPr>
            <w:tcW w:type="dxa" w:w="1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G7</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Issuer/verifier trust at sector scale</w:t>
            </w:r>
          </w:p>
        </w:tc>
        <w:tc>
          <w:tcPr>
            <w:tcW w:type="dxa" w:w="2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TC ESI</w:t>
            </w:r>
          </w:p>
        </w:tc>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Requirements input</w:t>
            </w:r>
          </w:p>
        </w:tc>
      </w:tr>
      <w:tr>
        <w:trPr>
          <w:cantSplit/>
        </w:trPr>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G9</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Non-custodial recovery profile</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Ethereum AA</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Technical note</w:t>
            </w:r>
          </w:p>
        </w:tc>
      </w:tr>
      <w:tr>
        <w:trPr>
          <w:cantSplit/>
        </w:trPr>
        <w:tc>
          <w:tcPr>
            <w:tcW w:type="dxa" w:w="1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G4, G12</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Redemption + consumer-protection semantics</w:t>
            </w:r>
          </w:p>
        </w:tc>
        <w:tc>
          <w:tcPr>
            <w:tcW w:type="dxa" w:w="2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ISG PDL</w:t>
            </w:r>
          </w:p>
        </w:tc>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Requirements input</w:t>
            </w:r>
          </w:p>
        </w:tc>
      </w:tr>
    </w:tbl>
    <w:p>
      <w:pPr>
        <w:spacing w:after="120" w:line="276" w:lineRule="auto"/>
        <w:jc w:val="both"/>
      </w:pPr>
      <w:r>
        <w:rPr>
          <w:sz w:val="24"/>
          <w:szCs w:val="24"/>
        </w:rPr>
        <w:t xml:space="preserve">These artifacts correspond directly to the Phase 2 deliverables (draft standards contributions and the open-source reference implementation) and to the fellowship’s key performance indicators on contributions submitted and contributions progressed within an SDO.</w:t>
      </w:r>
    </w:p>
    <w:p>
      <w:pPr>
        <w:pageBreakBefore/>
      </w:pPr>
    </w:p>
    <w:p>
      <w:pPr>
        <w:pStyle w:val="Heading1"/>
        <w:spacing w:after="140" w:before="320"/>
      </w:pPr>
      <w:r>
        <w:t xml:space="preserve">References</w:t>
      </w:r>
    </w:p>
    <w:p>
      <w:pPr>
        <w:spacing w:after="80" w:line="264" w:lineRule="auto"/>
        <w:jc w:val="left"/>
      </w:pPr>
      <w:r>
        <w:rPr>
          <w:b/>
          <w:bCs/>
          <w:sz w:val="19"/>
          <w:szCs w:val="19"/>
        </w:rPr>
        <w:t xml:space="preserve">[1] </w:t>
      </w:r>
      <w:r>
        <w:rPr>
          <w:sz w:val="19"/>
          <w:szCs w:val="19"/>
        </w:rPr>
        <w:t xml:space="preserve">W3C, Verifiable Credentials Data Model v2.0, W3C Recommendation, 15 May 2025. https://www.w3.org/TR/vc-data-model-2.0/</w:t>
      </w:r>
    </w:p>
    <w:p>
      <w:pPr>
        <w:spacing w:after="80" w:line="264" w:lineRule="auto"/>
        <w:jc w:val="left"/>
      </w:pPr>
      <w:r>
        <w:rPr>
          <w:b/>
          <w:bCs/>
          <w:sz w:val="19"/>
          <w:szCs w:val="19"/>
        </w:rPr>
        <w:t xml:space="preserve">[2] </w:t>
      </w:r>
      <w:r>
        <w:rPr>
          <w:sz w:val="19"/>
          <w:szCs w:val="19"/>
        </w:rPr>
        <w:t xml:space="preserve">W3C, “The Verifiable Credentials 2.0 family of specifications is now a W3C Recommendation” (incl. VC-JOSE-COSE, Controlled Identifiers v1.0, Bitstring Status List v1.0, Data Integrity ECDSA cryptosuites), 2025. https://www.w3.org/news/2025/</w:t>
      </w:r>
    </w:p>
    <w:p>
      <w:pPr>
        <w:spacing w:after="80" w:line="264" w:lineRule="auto"/>
        <w:jc w:val="left"/>
      </w:pPr>
      <w:r>
        <w:rPr>
          <w:b/>
          <w:bCs/>
          <w:sz w:val="19"/>
          <w:szCs w:val="19"/>
        </w:rPr>
        <w:t xml:space="preserve">[3] </w:t>
      </w:r>
      <w:r>
        <w:rPr>
          <w:sz w:val="19"/>
          <w:szCs w:val="19"/>
        </w:rPr>
        <w:t xml:space="preserve">W3C, Decentralized Identifiers (DIDs) v1.0, W3C Recommendation, 19 July 2022. https://www.w3.org/TR/did-1.0/</w:t>
      </w:r>
    </w:p>
    <w:p>
      <w:pPr>
        <w:spacing w:after="80" w:line="264" w:lineRule="auto"/>
        <w:jc w:val="left"/>
      </w:pPr>
      <w:r>
        <w:rPr>
          <w:b/>
          <w:bCs/>
          <w:sz w:val="19"/>
          <w:szCs w:val="19"/>
        </w:rPr>
        <w:t xml:space="preserve">[4] </w:t>
      </w:r>
      <w:r>
        <w:rPr>
          <w:sz w:val="19"/>
          <w:szCs w:val="19"/>
        </w:rPr>
        <w:t xml:space="preserve">W3C, Decentralized Identifiers (DIDs) v1.1, W3C Candidate Recommendation, 5 March 2026. https://www.w3.org/TR/did-1.1/</w:t>
      </w:r>
    </w:p>
    <w:p>
      <w:pPr>
        <w:spacing w:after="80" w:line="264" w:lineRule="auto"/>
        <w:jc w:val="left"/>
      </w:pPr>
      <w:r>
        <w:rPr>
          <w:b/>
          <w:bCs/>
          <w:sz w:val="19"/>
          <w:szCs w:val="19"/>
        </w:rPr>
        <w:t xml:space="preserve">[5] </w:t>
      </w:r>
      <w:r>
        <w:rPr>
          <w:sz w:val="19"/>
          <w:szCs w:val="19"/>
        </w:rPr>
        <w:t xml:space="preserve">OpenID Foundation, OpenID for Verifiable Credential Issuance (OpenID4VCI) and OpenID for Verifiable Presentations (OpenID4VP).</w:t>
      </w:r>
    </w:p>
    <w:p>
      <w:pPr>
        <w:spacing w:after="80" w:line="264" w:lineRule="auto"/>
        <w:jc w:val="left"/>
      </w:pPr>
      <w:r>
        <w:rPr>
          <w:b/>
          <w:bCs/>
          <w:sz w:val="19"/>
          <w:szCs w:val="19"/>
        </w:rPr>
        <w:t xml:space="preserve">[6] </w:t>
      </w:r>
      <w:r>
        <w:rPr>
          <w:sz w:val="19"/>
          <w:szCs w:val="19"/>
        </w:rPr>
        <w:t xml:space="preserve">IETF, SD-JWT and SD-JWT VC (Selective Disclosure for JWTs / Verifiable Credentials), work in progress.</w:t>
      </w:r>
    </w:p>
    <w:p>
      <w:pPr>
        <w:spacing w:after="80" w:line="264" w:lineRule="auto"/>
        <w:jc w:val="left"/>
      </w:pPr>
      <w:r>
        <w:rPr>
          <w:b/>
          <w:bCs/>
          <w:sz w:val="19"/>
          <w:szCs w:val="19"/>
        </w:rPr>
        <w:t xml:space="preserve">[7] </w:t>
      </w:r>
      <w:r>
        <w:rPr>
          <w:sz w:val="19"/>
          <w:szCs w:val="19"/>
        </w:rPr>
        <w:t xml:space="preserve">ISO/IEC 18013-5, Personal identification — ISO-compliant driving licence — Part 5: Mobile driving licence (mDL) application; and ISO/IEC 18013-7 (online presentation); ISO/IEC 23220 series.</w:t>
      </w:r>
    </w:p>
    <w:p>
      <w:pPr>
        <w:spacing w:after="80" w:line="264" w:lineRule="auto"/>
        <w:jc w:val="left"/>
      </w:pPr>
      <w:r>
        <w:rPr>
          <w:b/>
          <w:bCs/>
          <w:sz w:val="19"/>
          <w:szCs w:val="19"/>
        </w:rPr>
        <w:t xml:space="preserve">[8] </w:t>
      </w:r>
      <w:r>
        <w:rPr>
          <w:sz w:val="19"/>
          <w:szCs w:val="19"/>
        </w:rPr>
        <w:t xml:space="preserve">ISO 22739:2020, Blockchain and distributed ledger technologies — Vocabulary (under revision).</w:t>
      </w:r>
    </w:p>
    <w:p>
      <w:pPr>
        <w:spacing w:after="80" w:line="264" w:lineRule="auto"/>
        <w:jc w:val="left"/>
      </w:pPr>
      <w:r>
        <w:rPr>
          <w:b/>
          <w:bCs/>
          <w:sz w:val="19"/>
          <w:szCs w:val="19"/>
        </w:rPr>
        <w:t xml:space="preserve">[9] </w:t>
      </w:r>
      <w:r>
        <w:rPr>
          <w:sz w:val="19"/>
          <w:szCs w:val="19"/>
        </w:rPr>
        <w:t xml:space="preserve">ISO 23257:2022, Blockchain and distributed ledger technologies — Reference architecture.</w:t>
      </w:r>
    </w:p>
    <w:p>
      <w:pPr>
        <w:spacing w:after="80" w:line="264" w:lineRule="auto"/>
        <w:jc w:val="left"/>
      </w:pPr>
      <w:r>
        <w:rPr>
          <w:b/>
          <w:bCs/>
          <w:sz w:val="19"/>
          <w:szCs w:val="19"/>
        </w:rPr>
        <w:t xml:space="preserve">[10] </w:t>
      </w:r>
      <w:r>
        <w:rPr>
          <w:sz w:val="19"/>
          <w:szCs w:val="19"/>
        </w:rPr>
        <w:t xml:space="preserve">ISO/TR 23244:2020, Blockchain and DLT — Privacy and personally identifiable information protection considerations.</w:t>
      </w:r>
    </w:p>
    <w:p>
      <w:pPr>
        <w:spacing w:after="80" w:line="264" w:lineRule="auto"/>
        <w:jc w:val="left"/>
      </w:pPr>
      <w:r>
        <w:rPr>
          <w:b/>
          <w:bCs/>
          <w:sz w:val="19"/>
          <w:szCs w:val="19"/>
        </w:rPr>
        <w:t xml:space="preserve">[11] </w:t>
      </w:r>
      <w:r>
        <w:rPr>
          <w:sz w:val="19"/>
          <w:szCs w:val="19"/>
        </w:rPr>
        <w:t xml:space="preserve">ISO/TR 23576:2020, Blockchain and DLT — Security management of digital asset custodians.</w:t>
      </w:r>
    </w:p>
    <w:p>
      <w:pPr>
        <w:spacing w:after="80" w:line="264" w:lineRule="auto"/>
        <w:jc w:val="left"/>
      </w:pPr>
      <w:r>
        <w:rPr>
          <w:b/>
          <w:bCs/>
          <w:sz w:val="19"/>
          <w:szCs w:val="19"/>
        </w:rPr>
        <w:t xml:space="preserve">[12] </w:t>
      </w:r>
      <w:r>
        <w:rPr>
          <w:sz w:val="19"/>
          <w:szCs w:val="19"/>
        </w:rPr>
        <w:t xml:space="preserve">ISO/TS 23635:2022, Blockchain and DLT — Guidelines for governance.</w:t>
      </w:r>
    </w:p>
    <w:p>
      <w:pPr>
        <w:spacing w:after="80" w:line="264" w:lineRule="auto"/>
        <w:jc w:val="left"/>
      </w:pPr>
      <w:r>
        <w:rPr>
          <w:b/>
          <w:bCs/>
          <w:sz w:val="19"/>
          <w:szCs w:val="19"/>
        </w:rPr>
        <w:t xml:space="preserve">[13] </w:t>
      </w:r>
      <w:r>
        <w:rPr>
          <w:sz w:val="19"/>
          <w:szCs w:val="19"/>
        </w:rPr>
        <w:t xml:space="preserve">ISO/TR 23455:2019, Blockchain and DLT — Overview of and interactions between smart contracts.</w:t>
      </w:r>
    </w:p>
    <w:p>
      <w:pPr>
        <w:spacing w:after="80" w:line="264" w:lineRule="auto"/>
        <w:jc w:val="left"/>
      </w:pPr>
      <w:r>
        <w:rPr>
          <w:b/>
          <w:bCs/>
          <w:sz w:val="19"/>
          <w:szCs w:val="19"/>
        </w:rPr>
        <w:t xml:space="preserve">[14] </w:t>
      </w:r>
      <w:r>
        <w:rPr>
          <w:sz w:val="19"/>
          <w:szCs w:val="19"/>
        </w:rPr>
        <w:t xml:space="preserve">ISO/TR 23644:2023, Blockchain and DLT — Overview of trust anchors for DLT-based identity management (TADIM).</w:t>
      </w:r>
    </w:p>
    <w:p>
      <w:pPr>
        <w:spacing w:after="80" w:line="264" w:lineRule="auto"/>
        <w:jc w:val="left"/>
      </w:pPr>
      <w:r>
        <w:rPr>
          <w:b/>
          <w:bCs/>
          <w:sz w:val="19"/>
          <w:szCs w:val="19"/>
        </w:rPr>
        <w:t xml:space="preserve">[15] </w:t>
      </w:r>
      <w:r>
        <w:rPr>
          <w:sz w:val="19"/>
          <w:szCs w:val="19"/>
        </w:rPr>
        <w:t xml:space="preserve">ISO/TR 23249, Blockchain and DLT — Overview of existing DLT systems for identity management (advanced stage).</w:t>
      </w:r>
    </w:p>
    <w:p>
      <w:pPr>
        <w:spacing w:after="80" w:line="264" w:lineRule="auto"/>
        <w:jc w:val="left"/>
      </w:pPr>
      <w:r>
        <w:rPr>
          <w:b/>
          <w:bCs/>
          <w:sz w:val="19"/>
          <w:szCs w:val="19"/>
        </w:rPr>
        <w:t xml:space="preserve">[16] </w:t>
      </w:r>
      <w:r>
        <w:rPr>
          <w:sz w:val="19"/>
          <w:szCs w:val="19"/>
        </w:rPr>
        <w:t xml:space="preserve">ISO/TS 23516, Blockchain and DLT — Interoperability framework (under development, ISO/TC 307 WG 7).</w:t>
      </w:r>
    </w:p>
    <w:p>
      <w:pPr>
        <w:spacing w:after="80" w:line="264" w:lineRule="auto"/>
        <w:jc w:val="left"/>
      </w:pPr>
      <w:r>
        <w:rPr>
          <w:b/>
          <w:bCs/>
          <w:sz w:val="19"/>
          <w:szCs w:val="19"/>
        </w:rPr>
        <w:t xml:space="preserve">[17] </w:t>
      </w:r>
      <w:r>
        <w:rPr>
          <w:sz w:val="19"/>
          <w:szCs w:val="19"/>
        </w:rPr>
        <w:t xml:space="preserve">ISO/AWI 7603, Decentralized identity standard for the identification of subjects and objects (under development, ISO/TC 307).</w:t>
      </w:r>
    </w:p>
    <w:p>
      <w:pPr>
        <w:spacing w:after="80" w:line="264" w:lineRule="auto"/>
        <w:jc w:val="left"/>
      </w:pPr>
      <w:r>
        <w:rPr>
          <w:b/>
          <w:bCs/>
          <w:sz w:val="19"/>
          <w:szCs w:val="19"/>
        </w:rPr>
        <w:t xml:space="preserve">[18] </w:t>
      </w:r>
      <w:r>
        <w:rPr>
          <w:sz w:val="19"/>
          <w:szCs w:val="19"/>
        </w:rPr>
        <w:t xml:space="preserve">ETSI, EN 319 4xx series (TC ESI) — trust service providers, electronic signatures and seals, trust lists.</w:t>
      </w:r>
    </w:p>
    <w:p>
      <w:pPr>
        <w:spacing w:after="80" w:line="264" w:lineRule="auto"/>
        <w:jc w:val="left"/>
      </w:pPr>
      <w:r>
        <w:rPr>
          <w:b/>
          <w:bCs/>
          <w:sz w:val="19"/>
          <w:szCs w:val="19"/>
        </w:rPr>
        <w:t xml:space="preserve">[19] </w:t>
      </w:r>
      <w:r>
        <w:rPr>
          <w:sz w:val="19"/>
          <w:szCs w:val="19"/>
        </w:rPr>
        <w:t xml:space="preserve">ETSI GS PDL 027 (2025), Permissioned Distributed Ledger — user-centric digital identity (UCDID/SSI).</w:t>
      </w:r>
    </w:p>
    <w:p>
      <w:pPr>
        <w:spacing w:after="80" w:line="264" w:lineRule="auto"/>
        <w:jc w:val="left"/>
      </w:pPr>
      <w:r>
        <w:rPr>
          <w:b/>
          <w:bCs/>
          <w:sz w:val="19"/>
          <w:szCs w:val="19"/>
        </w:rPr>
        <w:t xml:space="preserve">[20] </w:t>
      </w:r>
      <w:r>
        <w:rPr>
          <w:sz w:val="19"/>
          <w:szCs w:val="19"/>
        </w:rPr>
        <w:t xml:space="preserve">ETSI GS PDL 033 (2025), Permissioned Distributed Ledger — non-fungible token standards; ETSI GR PDL 034 (2025), trusted data platforms.</w:t>
      </w:r>
    </w:p>
    <w:p>
      <w:pPr>
        <w:spacing w:after="80" w:line="264" w:lineRule="auto"/>
        <w:jc w:val="left"/>
      </w:pPr>
      <w:r>
        <w:rPr>
          <w:b/>
          <w:bCs/>
          <w:sz w:val="19"/>
          <w:szCs w:val="19"/>
        </w:rPr>
        <w:t xml:space="preserve">[21] </w:t>
      </w:r>
      <w:r>
        <w:rPr>
          <w:sz w:val="19"/>
          <w:szCs w:val="19"/>
        </w:rPr>
        <w:t xml:space="preserve">Regulation (EU) 2024/1183 amending Regulation (EU) No 910/2014 (eIDAS 2.0); EU Digital Identity Wallet Architecture and Reference Framework v2.4.0, January 2026, and related Commission Implementing Regulations.</w:t>
      </w:r>
    </w:p>
    <w:p>
      <w:pPr>
        <w:spacing w:after="80" w:line="264" w:lineRule="auto"/>
        <w:jc w:val="left"/>
      </w:pPr>
      <w:r>
        <w:rPr>
          <w:b/>
          <w:bCs/>
          <w:sz w:val="19"/>
          <w:szCs w:val="19"/>
        </w:rPr>
        <w:t xml:space="preserve">[22] </w:t>
      </w:r>
      <w:r>
        <w:rPr>
          <w:sz w:val="19"/>
          <w:szCs w:val="19"/>
        </w:rPr>
        <w:t xml:space="preserve">Ethereum: ERC-20, ERC-721, ERC-1155, ERC-4907 (rentable NFTs), ERC-6672 (multi-redeemable NFTs), ERC-5192 (minimal soulbound), ERC-4337 (account abstraction). https://eips.ethereum.org/</w:t>
      </w:r>
    </w:p>
    <w:p>
      <w:pPr>
        <w:spacing w:after="80" w:line="264" w:lineRule="auto"/>
        <w:jc w:val="left"/>
      </w:pPr>
      <w:r>
        <w:rPr>
          <w:b/>
          <w:bCs/>
          <w:sz w:val="19"/>
          <w:szCs w:val="19"/>
        </w:rPr>
        <w:t xml:space="preserve">[23] </w:t>
      </w:r>
      <w:r>
        <w:rPr>
          <w:sz w:val="19"/>
          <w:szCs w:val="19"/>
        </w:rPr>
        <w:t xml:space="preserve">European Commission, Rolling Plan for ICT Standardisation 2026 (published March 2026). https://interoperable-europe.ec.europa.eu/collection/rolling-plan-ict-standardisation</w:t>
      </w:r>
    </w:p>
    <w:p>
      <w:pPr>
        <w:pageBreakBefore/>
      </w:pPr>
    </w:p>
    <w:p>
      <w:pPr>
        <w:pStyle w:val="Heading1"/>
        <w:spacing w:after="140" w:before="320"/>
      </w:pPr>
      <w:r>
        <w:t xml:space="preserve">Annex A — Standards inventory</w:t>
      </w:r>
    </w:p>
    <w:p>
      <w:pPr>
        <w:spacing w:after="120" w:line="276" w:lineRule="auto"/>
        <w:jc w:val="both"/>
      </w:pPr>
      <w:r>
        <w:rPr>
          <w:i/>
          <w:iCs/>
          <w:sz w:val="19"/>
          <w:szCs w:val="19"/>
        </w:rPr>
        <w:t xml:space="preserve">Status as of May 2026. “Rec” = W3C Recommendation; “CR” = Candidate Recommendation; “IS/TR/TS” = published ISO International Standard / Technical Report / Technical Specification; “WIP” = work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500"/>
        <w:gridCol w:w="1400"/>
        <w:gridCol w:w="3910"/>
      </w:tblGrid>
      <w:tr>
        <w:trPr>
          <w:cantSplit/>
          <w:tblHeader/>
        </w:trPr>
        <w:tc>
          <w:tcPr>
            <w:tcW w:type="dxa" w:w="25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Standard / item</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Body</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Status</w:t>
            </w:r>
          </w:p>
        </w:tc>
        <w:tc>
          <w:tcPr>
            <w:tcW w:type="dxa" w:w="39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Relevance to tourism wallets</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DID Core v1.0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Rec (2022)</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User-controlled identifiers for non-custodial wallets</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DID v1.1</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 (Mar 2026)</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Maintenance revision; method interoperability</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Verifiable Credentials Data Model v2.0 (family)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Rec (May 2025)</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Core model for entitlements/attributes; status, securing, controlled identifiers</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OpenID4VCI / OpenID4VP</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 Fdn</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Maturing</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Issuance and presentation protocol layer (EUDI de facto)</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SD-JWT / SD-JWT VC</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IETF</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WIP</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Selective disclosure; EUDI attestation format</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ISO/IEC 18013-5; -7; 23220</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ISO/IEC</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 / WIP</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Mobile document format; offline retrieval (gate verification)</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22739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 (2020, rev.)</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Vocabulary — shared terminology</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23257</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 (2022)</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Reference architecture</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ISO/TR 23244</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 (2020)</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Privacy / PII protection considerations</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ISO/TR 23576</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 (2020)</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Security of digital asset custodians (key mgmt)</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ISO/TS 23635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TS (2022)</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Governance guidelines</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ISO/TR 23644 (TADIM)</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 (2023)</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Trust anchors for DLT-based identity</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ISO/TS 23516</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WIP</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Interoperability framework (key target)</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ISO/AWI 7603</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WIP</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Decentralized identity w/ Verifiable Credentials (key target)</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EN 319 4xx</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TC ESI</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EN</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Trust services / signatures underpinning eIDAS</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GS PDL 027 / 033 / GR 034</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ISG PDL</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Published 2025</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Permissioned-ledger SSI and NFT standards</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2.0 + EUDI ARF v2.4.0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In force / Jan 2026</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European centre of gravity; attestations of attributes</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ERC-20/721/1155</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Ethereum</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Final</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Fungible / unique / multi-token entitlements</w:t>
            </w:r>
          </w:p>
        </w:tc>
      </w:tr>
      <w:tr>
        <w:trPr>
          <w:cantSplit/>
        </w:trPr>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ERC-4907 / 6672 / 5192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Ethereum</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Final/established</w:t>
            </w:r>
          </w:p>
        </w:tc>
        <w:tc>
          <w:tcPr>
            <w:tcW w:type="dxa" w:w="39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Time-bound; multi-redeemable; soulbound entitlements</w:t>
            </w:r>
          </w:p>
        </w:tc>
      </w:tr>
      <w:tr>
        <w:trPr>
          <w:cantSplit/>
        </w:trPr>
        <w:tc>
          <w:tcPr>
            <w:tcW w:type="dxa" w:w="2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ERC-4337</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Ethereum</w:t>
            </w:r>
          </w:p>
        </w:tc>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Deployed</w:t>
            </w:r>
          </w:p>
        </w:tc>
        <w:tc>
          <w:tcPr>
            <w:tcW w:type="dxa" w:w="39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Account abstraction — recovery / usability</w:t>
            </w:r>
          </w:p>
        </w:tc>
      </w:tr>
    </w:tbl>
    <w:p>
      <w:pPr>
        <w:pageBreakBefore/>
      </w:pPr>
    </w:p>
    <w:p>
      <w:pPr>
        <w:pStyle w:val="Heading1"/>
        <w:spacing w:after="140" w:before="320"/>
      </w:pPr>
      <w:r>
        <w:t xml:space="preserve">Annex B — Requirements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cantSplit/>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ID</w:t>
            </w:r>
          </w:p>
        </w:tc>
        <w:tc>
          <w:tcPr>
            <w:tcW w:type="dxa" w:w="3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Requirement</w:t>
            </w:r>
          </w:p>
        </w:tc>
        <w:tc>
          <w:tcPr>
            <w:tcW w:type="dxa" w:w="5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Rationale</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Peak-load throughput</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Concentrated arrival peaks at gates and hubs</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R2</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Time- and venue-bound rights</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Passes valid for a window at a place</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R3</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Offline / intermittent verification</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Poor connectivity at physical gates</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R4</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Group, family, delegated usage</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One holder presents for several travellers</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R5</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Cross-border, multilingual</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Trips span jurisdictions and languages</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R6</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Data minimisation / privacy</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GDPR purpose limitation and minimisation</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R7</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Consumer protection</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Resale control, refunds, withdrawal rights</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R8</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Non-custodial recovery</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Device loss must not strand a traveller</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R9</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Accessibility</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European Accessibility Act compliance</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R10</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Issuer/verifier trust &amp; revocation</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eIDAS-aligned trust establishment</w:t>
            </w:r>
          </w:p>
        </w:tc>
      </w:tr>
      <w:tr>
        <w:trPr>
          <w:cantSplit/>
        </w:trPr>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R11</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Entitlement representation</w:t>
            </w:r>
          </w:p>
        </w:tc>
        <w:tc>
          <w:tcPr>
            <w:tcW w:type="dxa" w:w="5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Consistent model for tickets/reservations/loyalty</w:t>
            </w:r>
          </w:p>
        </w:tc>
      </w:tr>
      <w:tr>
        <w:trPr>
          <w:cantSplit/>
        </w:trPr>
        <w:tc>
          <w:tcPr>
            <w:tcW w:type="dxa" w:w="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R12</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Auditability / dispute evidence</w:t>
            </w:r>
          </w:p>
        </w:tc>
        <w:tc>
          <w:tcPr>
            <w:tcW w:type="dxa" w:w="5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Privacy-preserving proof of use</w:t>
            </w:r>
          </w:p>
        </w:tc>
      </w:tr>
    </w:tbl>
    <w:p>
      <w:pPr>
        <w:pageBreakBefore/>
      </w:pPr>
    </w:p>
    <w:p>
      <w:pPr>
        <w:pStyle w:val="Heading1"/>
        <w:spacing w:after="140" w:before="320"/>
      </w:pPr>
      <w:r>
        <w:t xml:space="preserve">Annex C — Gap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400"/>
        <w:gridCol w:w="2860"/>
        <w:gridCol w:w="800"/>
      </w:tblGrid>
      <w:tr>
        <w:trPr>
          <w:cantSplit/>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Gap</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Requirement(s)</w:t>
            </w:r>
          </w:p>
        </w:tc>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Most relevant existing standard(s)</w:t>
            </w:r>
          </w:p>
        </w:tc>
        <w:tc>
          <w:tcPr>
            <w:tcW w:type="dxa" w:w="2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Candidate SDO / working group</w:t>
            </w:r>
          </w:p>
        </w:tc>
        <w:tc>
          <w:tcPr>
            <w:tcW w:type="dxa" w:w="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Sev.</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R11, R2</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 2.0; ERC-721/6672; ISO/TS 23516</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CCG; ISO/TC 307; ETSI PDL</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G2</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R3, R1</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ISO/IEC 18013-5; OpenID4VP</w:t>
            </w:r>
          </w:p>
        </w:tc>
        <w:tc>
          <w:tcPr>
            <w:tcW w:type="dxa" w:w="2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OpenID Foundation</w:t>
            </w:r>
          </w:p>
        </w:tc>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R2</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ERC-4907; W3C VC 2.0</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 ISO/TS 23516</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G4</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R11, R1</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ERC-6672</w:t>
            </w:r>
          </w:p>
        </w:tc>
        <w:tc>
          <w:tcPr>
            <w:tcW w:type="dxa" w:w="2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ISG PDL; W3C CCG</w:t>
            </w:r>
          </w:p>
        </w:tc>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Med-High</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(none)</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ISO/TC 307</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Medium</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G6</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R4</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 2.0; EUDI ARF</w:t>
            </w:r>
          </w:p>
        </w:tc>
        <w:tc>
          <w:tcPr>
            <w:tcW w:type="dxa" w:w="2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VCWG/CCG</w:t>
            </w:r>
          </w:p>
        </w:tc>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Med-High</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G7</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R10, R5</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trust lists; ETSI EN 319 4xx</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TC ESI; EUDI</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G8</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R6</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SD-JWT VC; ISO/TR 23244</w:t>
            </w:r>
          </w:p>
        </w:tc>
        <w:tc>
          <w:tcPr>
            <w:tcW w:type="dxa" w:w="2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JWG 4; W3C</w:t>
            </w:r>
          </w:p>
        </w:tc>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R8</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ERC-4337; ISO/TR 23576</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Ethereum</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G10</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R11, R5, R10</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 ARF; SD-JWT VC</w:t>
            </w:r>
          </w:p>
        </w:tc>
        <w:tc>
          <w:tcPr>
            <w:tcW w:type="dxa" w:w="2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 / eIDAS group; ETSI ESI</w:t>
            </w:r>
          </w:p>
        </w:tc>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High</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R5, R11</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22739; W3C VC 2.0</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W3C</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Med-High</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G12</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R7</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ERC-5192</w:t>
            </w:r>
          </w:p>
        </w:tc>
        <w:tc>
          <w:tcPr>
            <w:tcW w:type="dxa" w:w="2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ETSI ISG PDL</w:t>
            </w:r>
          </w:p>
        </w:tc>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Medium</w:t>
            </w:r>
          </w:p>
        </w:tc>
      </w:tr>
      <w:tr>
        <w:trPr>
          <w:cantSplit/>
        </w:trPr>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R9</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EAA</w:t>
            </w:r>
          </w:p>
        </w:tc>
        <w:tc>
          <w:tcPr>
            <w:tcW w:type="dxa" w:w="2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ETSI/CEN-CENELEC; EUDI</w:t>
            </w:r>
          </w:p>
        </w:tc>
        <w:tc>
          <w:tcPr>
            <w:tcW w:type="dxa" w:w="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Medium</w:t>
            </w:r>
          </w:p>
        </w:tc>
      </w:tr>
      <w:tr>
        <w:trPr>
          <w:cantSplit/>
        </w:trPr>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G14</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R12, R6</w:t>
            </w:r>
          </w:p>
        </w:tc>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ISO/TR 23244</w:t>
            </w:r>
          </w:p>
        </w:tc>
        <w:tc>
          <w:tcPr>
            <w:tcW w:type="dxa" w:w="2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JWG 4; W3C</w:t>
            </w:r>
          </w:p>
        </w:tc>
        <w:tc>
          <w:tcPr>
            <w:tcW w:type="dxa" w:w="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Medium</w:t>
            </w:r>
          </w:p>
        </w:tc>
      </w:tr>
    </w:tbl>
    <w:p>
      <w:pPr>
        <w:pageBreakBefore/>
      </w:pPr>
    </w:p>
    <w:p>
      <w:pPr>
        <w:pStyle w:val="Heading1"/>
        <w:spacing w:after="140" w:before="320"/>
      </w:pPr>
      <w:r>
        <w:t xml:space="preserve">Annex D — Glossary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Term</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Meaning</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Account abstraction</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Model (Ethereum ERC-4337) in which a wallet account is a smart contract, enabling social recovery, sponsored fees and session keys without surrendering custody.</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ARF</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Architecture and Reference Framework — the technical specification set for the EU Digital Identity Wallet (v2.4.0, January 2026).</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DID</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Decentralized Identifier — a globally unique identifier whose controller can prove control without a central registry (W3C).</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DLT</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Distributed Ledger Technology — the broader category that includes blockchains.</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EAA (attestation)</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Electronic Attestation of Attributes — an eIDAS attestation about a person or entity; QEAA is its qualified form.</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 / eIDAS 2.0</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 framework for electronic identification and trust services; the revised framework is Regulation (EU) 2024/1183 amending 910/2014.</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 / EIP</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Ethereum Request for Comments / Ethereum Improvement Proposal — the token-interface and protocol standards of the Ethereum ecosystem.</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 Wallet</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 Digital Identity Wallet — the user-controlled wallet each Member State must make available by end-2026.</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European Accessibility Act</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 directive setting accessibility requirements for a wide range of ICT products and services.</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GDPR</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General Data Protection Regulation — EU data-protection law; the source of data-minimisation and purpose-limitation duties.</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mdoc / mDL</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Mobile document / mobile driving licence (ISO/IEC 18013-5), including an offline device-retrieval presentation model.</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NFT</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Non-fungible token — a unique on-ledger token, e.g. an ERC-721 ticket or pass.</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OpenID4VCI / OpenID4VP</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 for Verifiable Credential Issuance / for Verifiable Presentations — the issuance and presentation protocols used by the EUDI ecosystem.</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PID</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Person Identification Data — the core identity dataset in the EUDI framework.</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SD-JWT VC</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Selective-Disclosure JWT Verifiable Credential — an IETF credential format supporting selective disclosure (used by EUDI).</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Selective disclosure</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Revealing only the specific attributes a verifier needs (e.g. “over 18” rather than a full date of birth).</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Soulbound</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non-transferable token (Ethereum ERC-5192), useful for anti-scalping or person-bound loyalty.</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SSI</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Self-Sovereign Identity — the model in which users control their own identifiers and credentials.</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SDO / SSO</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Standards-Development Organisation / Standards-Setting Organisation (e.g. W3C, ISO, ETSI).</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VC</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Verifiable Credential — a tamper-evident, signed set of claims (W3C Verifiable Credentials Data Model 2.0).</w:t>
            </w:r>
          </w:p>
        </w:tc>
      </w:tr>
    </w:tbl>
    <w:p>
      <w:pPr>
        <w:spacing w:after="60"/>
      </w:pPr>
    </w:p>
    <w:p>
      <w:pPr>
        <w:spacing w:after="120" w:line="276" w:lineRule="auto"/>
        <w:jc w:val="both"/>
      </w:pPr>
      <w:r>
        <w:rPr>
          <w:i/>
          <w:iCs/>
          <w:color w:val="595959"/>
          <w:sz w:val="19"/>
          <w:szCs w:val="19"/>
        </w:rPr>
        <w:t xml:space="preserve">End of document.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2"/>
      </w:pBdr>
      <w:tabs>
        <w:tab w:val="right" w:pos="9026"/>
      </w:tabs>
    </w:pPr>
    <w:r>
      <w:rPr>
        <w:color w:val="595959"/>
        <w:sz w:val="16"/>
        <w:szCs w:val="16"/>
      </w:rPr>
      <w:t xml:space="preserve">StandICT.eu 2029 · 2029-01-1530 · D1.1</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StandICT.eu 2029 · 2029-01-1530 · D1.1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left"/>
    </w:pPr>
    <w:r>
      <w:rPr>
        <w:color w:val="595959"/>
        <w:sz w:val="16"/>
        <w:szCs w:val="16"/>
      </w:rPr>
      <w:t xml:space="preserve">State of the Art and Standards Gaps for Non-Custodial Tourism Wallets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4"/>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the Art and Standards Gaps for Non-Custodial Tourism Wallets</dc:title>
  <dc:creator>Hugo Perez</dc:creator>
  <dc:description>StandICT.eu 2029 Fellowship 2029-01-1530 - Deliverable D1.1</dc:description>
  <cp:lastModifiedBy>Un-named</cp:lastModifiedBy>
  <cp:revision>1</cp:revision>
  <dcterms:created xsi:type="dcterms:W3CDTF">2026-05-31T15:20:09.351Z</dcterms:created>
  <dcterms:modified xsi:type="dcterms:W3CDTF">2026-05-31T15:20:09.351Z</dcterms:modified>
</cp:coreProperties>
</file>

<file path=docProps/custom.xml><?xml version="1.0" encoding="utf-8"?>
<Properties xmlns="http://schemas.openxmlformats.org/officeDocument/2006/custom-properties" xmlns:vt="http://schemas.openxmlformats.org/officeDocument/2006/docPropsVTypes"/>
</file>