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A081" w14:textId="77777777" w:rsidR="00746AB9"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Fostering Mental Health Through Fitness.</w:t>
      </w:r>
    </w:p>
    <w:p w14:paraId="2EA85E10"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color w:val="4472C4" w:themeColor="accent1"/>
          <w:sz w:val="21"/>
          <w:szCs w:val="21"/>
          <w:shd w:val="clear" w:color="auto" w:fill="FFFFFF"/>
        </w:rPr>
        <w:t>Mind-Body Exercise Regimens | Nutritional Wellness for Mental Clarity | Community and Group Fitness Dynamics | Restorative Environments for Recovery</w:t>
      </w:r>
    </w:p>
    <w:p w14:paraId="0C2D668E"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44C407CA"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Mind-Body Exercise Regimens</w:t>
      </w:r>
    </w:p>
    <w:p w14:paraId="2F6B9EAF"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The mind-body connection is an important component of overall health, which can be enhanced through exercise regimens that focus on both the physical and mental aspects of fitness. These types of workouts often incorporate elements such as breathing techniques, meditation, or visualization to promote relaxation and stress reduction. Examples of mind-body exercises include yoga, tai chi, Pilates, and Qigong. Regular participation in these activities has been shown to improve mood, reduce anxiety and depression, and enhance cognitive function (1Trusted Source).</w:t>
      </w:r>
    </w:p>
    <w:p w14:paraId="4EB3724B"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55349577"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Nutritional Wellness for Mental Clarity</w:t>
      </w:r>
    </w:p>
    <w:p w14:paraId="5D56D77C"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Proper nutrition plays a crucial role in maintaining mental clarity and supporting brain function. Consuming a balanced diet rich in fruits, vegetables, whole grains, lean proteins, and healthy fats can provide essential nutrients that support neurotransmitter production, cellular energy metabolism, and overall brain health. Additionally, staying hydrated by drinking adequate amounts of water throughout the day helps maintain optimal cognitive functioning (2Trusted Source).</w:t>
      </w:r>
    </w:p>
    <w:p w14:paraId="6795A768"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7344282E"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Community and Group Fitness Dynamics</w:t>
      </w:r>
    </w:p>
    <w:p w14:paraId="18C66007"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Engaging in group fitness classes or participating in community sports programs can offer numerous benefits for mental health. Being part of a supportive and encouraging environment fosters social connections, promotes a sense of belonging, and enhances self-esteem. The camaraderie and shared experiences during group fitness sessions can help alleviate feelings of isolation and loneliness while providing opportunities for personal growth and development (3Trusted Source).</w:t>
      </w:r>
    </w:p>
    <w:p w14:paraId="0D5EB501"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05528D48"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Restorative Environments for Recovery</w:t>
      </w:r>
    </w:p>
    <w:p w14:paraId="4B02B32F"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Creating restorative environments within fitness facilities encourages individuals to prioritize recovery and self-care. Designating specific areas for stretching, foam rolling, or meditation allows participants to engage in active recovery techniques that aid in muscle repair, reduce tension, and promote relaxation. Providing comfortable seating, calming music, or access to nature through outdoor spaces can further contribute to a restful atmosphere conducive to mental restoration (4Trusted Source).</w:t>
      </w:r>
    </w:p>
    <w:p w14:paraId="41A0FC79"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58028519"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Conclusion:</w:t>
      </w:r>
    </w:p>
    <w:p w14:paraId="73B8F36F"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Fitness professionals play a vital role in promoting mental health awareness and offering inclusive programming that caters to diverse needs. By incorporating mind-body exercises, emphasizing proper nutrition, fostering community dynamics, and creating restorative environments, fitness facilities can become safe havens where individuals can nurture their mental well-being alongside their physical fitness goals. Together, we can break down barriers and create a more accessible and inclusive fitness industry that supports the holistic well-being of all individuals.</w:t>
      </w:r>
    </w:p>
    <w:p w14:paraId="195FE3FC"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0EB9FB5D" w14:textId="77777777" w:rsidR="00746AB9" w:rsidRPr="00740985" w:rsidRDefault="00746AB9" w:rsidP="00746AB9">
      <w:pPr>
        <w:pStyle w:val="HTMLPreformatted"/>
        <w:shd w:val="clear" w:color="auto" w:fill="FFFFFF"/>
        <w:jc w:val="both"/>
        <w:rPr>
          <w:rFonts w:ascii="var(--colab-code-font-family)" w:hAnsi="var(--colab-code-font-family)"/>
          <w:b/>
          <w:bCs/>
          <w:color w:val="4472C4" w:themeColor="accent1"/>
        </w:rPr>
      </w:pPr>
      <w:r w:rsidRPr="00740985">
        <w:rPr>
          <w:rFonts w:ascii="var(--colab-code-font-family)" w:hAnsi="var(--colab-code-font-family)"/>
          <w:b/>
          <w:bCs/>
          <w:color w:val="4472C4" w:themeColor="accent1"/>
        </w:rPr>
        <w:t>References:</w:t>
      </w:r>
    </w:p>
    <w:p w14:paraId="0FECD6D6"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 xml:space="preserve">1. </w:t>
      </w:r>
      <w:hyperlink r:id="rId4" w:tgtFrame="_blank" w:history="1">
        <w:r w:rsidRPr="00740985">
          <w:rPr>
            <w:rStyle w:val="Hyperlink"/>
            <w:rFonts w:ascii="var(--colab-code-font-family)" w:hAnsi="var(--colab-code-font-family)"/>
            <w:color w:val="4472C4" w:themeColor="accent1"/>
          </w:rPr>
          <w:t>https://www.ncbi.nlm.nih.gov/pmc/articles/PMC6850797/</w:t>
        </w:r>
      </w:hyperlink>
    </w:p>
    <w:p w14:paraId="0BFA7E20"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 xml:space="preserve">2. </w:t>
      </w:r>
      <w:hyperlink r:id="rId5" w:tgtFrame="_blank" w:history="1">
        <w:r w:rsidRPr="00740985">
          <w:rPr>
            <w:rStyle w:val="Hyperlink"/>
            <w:rFonts w:ascii="var(--colab-code-font-family)" w:hAnsi="var(--colab-code-font-family)"/>
            <w:color w:val="4472C4" w:themeColor="accent1"/>
          </w:rPr>
          <w:t>https://pubmed.ncbi.nlm.nih.gov/29504842/</w:t>
        </w:r>
      </w:hyperlink>
    </w:p>
    <w:p w14:paraId="23C555D0"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 xml:space="preserve">3. </w:t>
      </w:r>
      <w:hyperlink r:id="rId6" w:tgtFrame="_blank" w:history="1">
        <w:r w:rsidRPr="00740985">
          <w:rPr>
            <w:rStyle w:val="Hyperlink"/>
            <w:rFonts w:ascii="var(--colab-code-font-family)" w:hAnsi="var(--colab-code-font-family)"/>
            <w:color w:val="4472C4" w:themeColor="accent1"/>
          </w:rPr>
          <w:t>https://www.sciencedirect.com/science/article/pii/S019745831830154X</w:t>
        </w:r>
      </w:hyperlink>
    </w:p>
    <w:p w14:paraId="6479CB47"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 xml:space="preserve">4. </w:t>
      </w:r>
      <w:hyperlink r:id="rId7" w:tgtFrame="_blank" w:history="1">
        <w:r w:rsidRPr="00740985">
          <w:rPr>
            <w:rStyle w:val="Hyperlink"/>
            <w:rFonts w:ascii="var(--colab-code-font-family)" w:hAnsi="var(--colab-code-font-family)"/>
            <w:color w:val="4472C4" w:themeColor="accent1"/>
          </w:rPr>
          <w:t>https://www.tandfonline.com/doi/abs/10.1080/10632910.2018.1485555?journalCode=wjps20</w:t>
        </w:r>
      </w:hyperlink>
    </w:p>
    <w:p w14:paraId="2F783DE8"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p>
    <w:p w14:paraId="32EBC253" w14:textId="77777777" w:rsidR="00746AB9" w:rsidRPr="00740985" w:rsidRDefault="00746AB9" w:rsidP="00746AB9">
      <w:pPr>
        <w:pStyle w:val="HTMLPreformatted"/>
        <w:shd w:val="clear" w:color="auto" w:fill="FFFFFF"/>
        <w:jc w:val="both"/>
        <w:rPr>
          <w:rFonts w:ascii="var(--colab-code-font-family)" w:hAnsi="var(--colab-code-font-family)"/>
          <w:color w:val="4472C4" w:themeColor="accent1"/>
        </w:rPr>
      </w:pPr>
      <w:r w:rsidRPr="00740985">
        <w:rPr>
          <w:rFonts w:ascii="var(--colab-code-font-family)" w:hAnsi="var(--colab-code-font-family)"/>
          <w:color w:val="4472C4" w:themeColor="accent1"/>
        </w:rPr>
        <w:t>Adam Bornstein is a New York Times bestselling author and the author of You Can’t Screw This Up. He is the founder of Born Fitness, and the co-founder of Arnold’s Pump Club (with Arnold Schwarzenegger) and Pen Name Consulting. An award-winning writer and editor, Bornstein was previously the Chief Nutrition Officer for Ladder, the Fitness and Nutrition editor for Men’s Health, Editorial Director at LIVESTRONG.com, and a columnist for SHAPE, Men’s Fitness, and Muscle &amp; Fitness. He’s also a nutrition and fitness advisor for LeBron James, Cindy Crawford, Lindsey Vonn, and Arnold Schwarzenegger. According to The Huffington Post, Bornstein is “one of the most inspiring sources in all of health and fitness.” His work has been featured in dozens of publications, including The New York Times, Fast Company, ESPN, and GQ, and he’s appeared on Good Morning America, The Today Show, and E! News. He lives in Los Angeles with his wife and two children. The best way to connect with Adam is through his free weekly email newsletter.</w:t>
      </w:r>
    </w:p>
    <w:p w14:paraId="4FA21F68" w14:textId="77777777" w:rsidR="00B7256B" w:rsidRDefault="00B7256B"/>
    <w:sectPr w:rsidR="00B7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colab-code-font-family)">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B9"/>
    <w:rsid w:val="001A695A"/>
    <w:rsid w:val="00314725"/>
    <w:rsid w:val="004029F0"/>
    <w:rsid w:val="00746AB9"/>
    <w:rsid w:val="00AD68B8"/>
    <w:rsid w:val="00B725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135D46"/>
  <w15:chartTrackingRefBased/>
  <w15:docId w15:val="{7D960BC7-9CAC-F04F-B3B6-460C277F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DE" w:eastAsia="en-GB"/>
    </w:rPr>
  </w:style>
  <w:style w:type="character" w:customStyle="1" w:styleId="HTMLPreformattedChar">
    <w:name w:val="HTML Preformatted Char"/>
    <w:basedOn w:val="DefaultParagraphFont"/>
    <w:link w:val="HTMLPreformatted"/>
    <w:uiPriority w:val="99"/>
    <w:semiHidden/>
    <w:rsid w:val="00746AB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46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ndfonline.com/doi/abs/10.1080/10632910.2018.1485555?journalCode=wjps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19745831830154X" TargetMode="External"/><Relationship Id="rId5" Type="http://schemas.openxmlformats.org/officeDocument/2006/relationships/hyperlink" Target="https://pubmed.ncbi.nlm.nih.gov/29504842/" TargetMode="External"/><Relationship Id="rId4" Type="http://schemas.openxmlformats.org/officeDocument/2006/relationships/hyperlink" Target="https://www.ncbi.nlm.nih.gov/pmc/articles/PMC685079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AMOABENG YEBOAH</dc:creator>
  <cp:keywords/>
  <dc:description/>
  <cp:lastModifiedBy>AMOABENG YEBOAH</cp:lastModifiedBy>
  <cp:revision>1</cp:revision>
  <dcterms:created xsi:type="dcterms:W3CDTF">2024-02-04T13:34:00Z</dcterms:created>
  <dcterms:modified xsi:type="dcterms:W3CDTF">2024-02-04T13:34:00Z</dcterms:modified>
</cp:coreProperties>
</file>